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415C54" w14:textId="182884F2" w:rsidR="00541EBD" w:rsidRPr="00541EBD" w:rsidRDefault="00C345CE" w:rsidP="004A1B4A">
      <w:pPr>
        <w:pStyle w:val="Title"/>
      </w:pPr>
      <w:bookmarkStart w:id="0" w:name="_GoBack"/>
      <w:bookmarkEnd w:id="0"/>
      <w:r>
        <w:t>Design</w:t>
      </w:r>
      <w:r w:rsidR="0009450B">
        <w:t xml:space="preserve">: </w:t>
      </w:r>
      <w:r w:rsidR="00541EBD">
        <w:t xml:space="preserve">File Locking </w:t>
      </w:r>
      <w:r w:rsidR="00EC27AF">
        <w:t xml:space="preserve">under </w:t>
      </w:r>
      <w:r w:rsidR="00541EBD">
        <w:t>SWMR - Semantics</w:t>
      </w:r>
      <w:r w:rsidR="00523B8B">
        <w:t>, Programming Model,</w:t>
      </w:r>
      <w:r w:rsidR="00541EBD">
        <w:t xml:space="preserve"> and Implementation</w:t>
      </w:r>
    </w:p>
    <w:p w14:paraId="257FE832" w14:textId="77777777" w:rsidR="00611674" w:rsidRDefault="00E152BC" w:rsidP="004A1B4A">
      <w:pPr>
        <w:pStyle w:val="Author"/>
      </w:pPr>
      <w:r>
        <w:t>Vailin Choi</w:t>
      </w:r>
    </w:p>
    <w:p w14:paraId="36FB8C4C" w14:textId="77777777" w:rsidR="00541EBD" w:rsidRDefault="00541EBD" w:rsidP="004A1B4A">
      <w:pPr>
        <w:pStyle w:val="Author"/>
      </w:pPr>
      <w:r>
        <w:t>Dana Robinson</w:t>
      </w:r>
    </w:p>
    <w:p w14:paraId="6B421A0C" w14:textId="77777777" w:rsidR="00111C89" w:rsidRPr="00111C89" w:rsidRDefault="00111C89" w:rsidP="004A1B4A">
      <w:pPr>
        <w:pStyle w:val="Author"/>
        <w:rPr>
          <w:rFonts w:eastAsiaTheme="minorHAnsi"/>
        </w:rPr>
      </w:pPr>
    </w:p>
    <w:p w14:paraId="61EE216A" w14:textId="65810550" w:rsidR="00F2340B" w:rsidRDefault="00523B8B" w:rsidP="0009450B">
      <w:pPr>
        <w:pStyle w:val="Abstract"/>
      </w:pPr>
      <w:r>
        <w:t>Under</w:t>
      </w:r>
      <w:r w:rsidR="00F2340B">
        <w:t xml:space="preserve"> the new single-writer/multiple-reader (SWMR)</w:t>
      </w:r>
      <w:r>
        <w:t xml:space="preserve"> feature of version 1.</w:t>
      </w:r>
      <w:r w:rsidR="00C345CE">
        <w:t>1</w:t>
      </w:r>
      <w:r>
        <w:t xml:space="preserve">0.0 of the HDF5 </w:t>
      </w:r>
      <w:r w:rsidR="00C345CE">
        <w:t>Library</w:t>
      </w:r>
      <w:r w:rsidR="00F2340B">
        <w:t>, file locking</w:t>
      </w:r>
      <w:r w:rsidR="00F2340B" w:rsidRPr="00F2340B">
        <w:t xml:space="preserve"> </w:t>
      </w:r>
      <w:r>
        <w:t>will be</w:t>
      </w:r>
      <w:r w:rsidR="00F2340B" w:rsidRPr="00F2340B">
        <w:t xml:space="preserve"> used to help prevent </w:t>
      </w:r>
      <w:r>
        <w:t>inappropriate concurrent file access</w:t>
      </w:r>
      <w:r w:rsidR="00F2340B" w:rsidRPr="00F2340B">
        <w:t xml:space="preserve">. This locking is </w:t>
      </w:r>
      <w:r w:rsidR="00F2340B">
        <w:t xml:space="preserve">only </w:t>
      </w:r>
      <w:r w:rsidR="00F2340B" w:rsidRPr="00F2340B">
        <w:t xml:space="preserve">intended to help the user conform to SWMR semantics and is not a </w:t>
      </w:r>
      <w:r w:rsidR="00F2340B">
        <w:t>fundamental</w:t>
      </w:r>
      <w:r w:rsidR="00F2340B" w:rsidRPr="00F2340B">
        <w:t xml:space="preserve"> part of SWMR </w:t>
      </w:r>
      <w:r w:rsidR="00F2340B">
        <w:t>synchronization</w:t>
      </w:r>
      <w:r w:rsidR="00F2340B" w:rsidRPr="00F2340B">
        <w:t>.</w:t>
      </w:r>
    </w:p>
    <w:p w14:paraId="0784BE72" w14:textId="21B5C041" w:rsidR="0009450B" w:rsidRDefault="0009450B" w:rsidP="0009450B">
      <w:pPr>
        <w:pStyle w:val="Abstract"/>
      </w:pPr>
      <w:r>
        <w:t xml:space="preserve">This </w:t>
      </w:r>
      <w:r w:rsidR="00C345CE">
        <w:t>document</w:t>
      </w:r>
      <w:r>
        <w:t xml:space="preserve"> describes </w:t>
      </w:r>
      <w:r w:rsidR="00D85660">
        <w:t>the semantics</w:t>
      </w:r>
      <w:r w:rsidR="00523B8B">
        <w:t xml:space="preserve"> of the file locking operations and programming model. The various system-level file locking calls that will be used are discussed as well as some implementation details. </w:t>
      </w:r>
      <w:r w:rsidR="00F2340B">
        <w:t>The h5clear tool is also described.</w:t>
      </w:r>
    </w:p>
    <w:p w14:paraId="0A8AD437" w14:textId="77777777" w:rsidR="00611674" w:rsidRPr="00913E2A" w:rsidRDefault="00611674" w:rsidP="004A1B4A">
      <w:pPr>
        <w:pStyle w:val="Divider"/>
      </w:pPr>
    </w:p>
    <w:p w14:paraId="0AFBE952" w14:textId="77777777" w:rsidR="00611674" w:rsidRDefault="00611674" w:rsidP="00611674">
      <w:pPr>
        <w:pStyle w:val="Heading1"/>
      </w:pPr>
      <w:r>
        <w:lastRenderedPageBreak/>
        <w:t xml:space="preserve">Introduction    </w:t>
      </w:r>
    </w:p>
    <w:p w14:paraId="0D9FCA3E" w14:textId="3EC1BE36" w:rsidR="0039543C" w:rsidRDefault="0009450B" w:rsidP="0009450B">
      <w:r>
        <w:t xml:space="preserve">The </w:t>
      </w:r>
      <w:r w:rsidR="00C345CE">
        <w:t xml:space="preserve">1.8.x version of the </w:t>
      </w:r>
      <w:r>
        <w:t xml:space="preserve">HDF5 </w:t>
      </w:r>
      <w:r w:rsidR="00C345CE">
        <w:t xml:space="preserve">Library </w:t>
      </w:r>
      <w:r>
        <w:t xml:space="preserve">does not detect concurrent file access by multiple writers and readers. </w:t>
      </w:r>
      <w:r w:rsidR="0039543C">
        <w:t xml:space="preserve">Since the HDF5 </w:t>
      </w:r>
      <w:r w:rsidR="00C345CE">
        <w:t xml:space="preserve">Library </w:t>
      </w:r>
      <w:r w:rsidR="0039543C">
        <w:t xml:space="preserve">is a straightforward </w:t>
      </w:r>
      <w:r w:rsidR="004A1B4A">
        <w:t>input/output (</w:t>
      </w:r>
      <w:r w:rsidR="0039543C">
        <w:t>I/O</w:t>
      </w:r>
      <w:r w:rsidR="004A1B4A">
        <w:t>)</w:t>
      </w:r>
      <w:r w:rsidR="0039543C">
        <w:t xml:space="preserve"> library and not a server</w:t>
      </w:r>
      <w:r w:rsidR="00A741E9">
        <w:t xml:space="preserve"> or other central data store</w:t>
      </w:r>
      <w:r w:rsidR="0039543C">
        <w:t xml:space="preserve">, no state is shared between </w:t>
      </w:r>
      <w:r w:rsidR="00A741E9">
        <w:t xml:space="preserve">reader and writer processes. </w:t>
      </w:r>
      <w:r w:rsidR="00D82016">
        <w:t xml:space="preserve">Nor does the HDF5 </w:t>
      </w:r>
      <w:r w:rsidR="00C345CE">
        <w:t xml:space="preserve">Library </w:t>
      </w:r>
      <w:r w:rsidR="00D82016">
        <w:t xml:space="preserve">support any sort of </w:t>
      </w:r>
      <w:r w:rsidR="00C345CE">
        <w:t>inter-process communication (</w:t>
      </w:r>
      <w:r w:rsidR="00D82016">
        <w:t>IPC</w:t>
      </w:r>
      <w:r w:rsidR="00C345CE">
        <w:t>)</w:t>
      </w:r>
      <w:r w:rsidR="00D82016">
        <w:t xml:space="preserve"> between coordinating processes. </w:t>
      </w:r>
      <w:r w:rsidR="0039543C">
        <w:t xml:space="preserve">This can cause problems when multiple processes open a file and at least one will modify data. </w:t>
      </w:r>
      <w:r w:rsidR="00A741E9">
        <w:t>Obviously, there</w:t>
      </w:r>
      <w:r w:rsidR="0039543C">
        <w:t xml:space="preserve"> would there be problems due to multiple </w:t>
      </w:r>
      <w:r w:rsidR="00A741E9">
        <w:t xml:space="preserve">non-coordinating writers accessing a file, but </w:t>
      </w:r>
      <w:r w:rsidR="00D82016">
        <w:t>difficulties</w:t>
      </w:r>
      <w:r w:rsidR="00A741E9">
        <w:t xml:space="preserve"> can arise even when only one </w:t>
      </w:r>
      <w:r w:rsidR="00D82016">
        <w:t>writer</w:t>
      </w:r>
      <w:r w:rsidR="00A741E9">
        <w:t xml:space="preserve"> is modifying the file. This is due to the internal caching layers of the library and the structure of HDF5 files, which contain a number of file metadata objects which contain offsets that are used to locate data and other file metadata. When some of these metadata objects have not yet been flushed to disk, the on-disk file will contain an incomplete picture of the file, possibly including some offsets </w:t>
      </w:r>
      <w:r w:rsidR="00D82016">
        <w:t>that</w:t>
      </w:r>
      <w:r w:rsidR="00A741E9">
        <w:t xml:space="preserve"> point to unflushed disk regions containing garbage. When these garbage regions are read from a disk by an independent reader process, the library will usually fail.</w:t>
      </w:r>
    </w:p>
    <w:p w14:paraId="5F494FEF" w14:textId="29AAFA74" w:rsidR="0087508C" w:rsidRDefault="00A741E9" w:rsidP="0009450B">
      <w:r>
        <w:t xml:space="preserve">The </w:t>
      </w:r>
      <w:r w:rsidR="0087508C">
        <w:t xml:space="preserve">new </w:t>
      </w:r>
      <w:r>
        <w:t xml:space="preserve">SWMR feature </w:t>
      </w:r>
      <w:r w:rsidR="0087508C">
        <w:t xml:space="preserve">in HDF5 1.10.0 </w:t>
      </w:r>
      <w:r>
        <w:t xml:space="preserve">mitigates the concurrent access problem in a number of ways. The most important changes were to the cache layers, which ensure that the on-disk structures are always </w:t>
      </w:r>
      <w:r w:rsidR="00D82016">
        <w:t xml:space="preserve">complete and </w:t>
      </w:r>
      <w:r>
        <w:t>valid, if not perfectly up-to-date, as well as adding SWMR status flags to the HDF5 file's superblock.</w:t>
      </w:r>
      <w:r w:rsidR="0087508C">
        <w:t xml:space="preserve"> However, correct library behavior still requires the user to be careful about concurrent file access. For example, if a reader process opens a file before a writer process</w:t>
      </w:r>
      <w:r w:rsidR="00D82016">
        <w:t xml:space="preserve"> and the writer performs operations that are not supported under the current SWMR implementation (</w:t>
      </w:r>
      <w:r w:rsidR="004A1B4A">
        <w:t>for example</w:t>
      </w:r>
      <w:r w:rsidR="00D82016">
        <w:t>, dataset or group creation), the reader process could encounter invalid data and crash.</w:t>
      </w:r>
    </w:p>
    <w:p w14:paraId="27245C50" w14:textId="12B85A26" w:rsidR="0009450B" w:rsidRDefault="00D82016" w:rsidP="0009450B">
      <w:r>
        <w:t xml:space="preserve">In order to help users achieve correct SWMR behavior ("SWMR semantics"), we will implement a file locking scheme that will attempt to prevent problematic file accesses. Although not foolproof, particularly with respect to older versions of the HDF5 </w:t>
      </w:r>
      <w:r w:rsidR="004A1B4A">
        <w:t>Library</w:t>
      </w:r>
      <w:r>
        <w:t>, the file locks will help ensure correct use of this somewhat complicated feature.</w:t>
      </w:r>
    </w:p>
    <w:p w14:paraId="07B97A4C" w14:textId="1DB5E530" w:rsidR="00D82016" w:rsidRDefault="00D82016" w:rsidP="0009450B">
      <w:r>
        <w:t xml:space="preserve">Note that this file locking scheme should not be taken to imply that the HDF5 </w:t>
      </w:r>
      <w:r w:rsidR="004A1B4A">
        <w:t xml:space="preserve">Library </w:t>
      </w:r>
      <w:r>
        <w:t>uses region locks to implement SWMR. Aside from the initial file open, locks are not used to manage file I/O between the SWMR processes.</w:t>
      </w:r>
    </w:p>
    <w:p w14:paraId="14DBB4AA" w14:textId="77777777" w:rsidR="00EC27AF" w:rsidRDefault="00EC27AF" w:rsidP="0009450B"/>
    <w:p w14:paraId="38F6315E" w14:textId="7A5FF147" w:rsidR="0009450B" w:rsidRDefault="0009450B" w:rsidP="0009450B">
      <w:pPr>
        <w:pStyle w:val="Heading1"/>
      </w:pPr>
      <w:r>
        <w:lastRenderedPageBreak/>
        <w:t xml:space="preserve">File Locking </w:t>
      </w:r>
      <w:r w:rsidR="00D85660">
        <w:t xml:space="preserve">Semantics </w:t>
      </w:r>
      <w:r w:rsidR="004A1B4A">
        <w:t xml:space="preserve">under </w:t>
      </w:r>
      <w:r w:rsidR="00D85660">
        <w:t>SWMR</w:t>
      </w:r>
    </w:p>
    <w:p w14:paraId="191FD12D" w14:textId="2D3300FF" w:rsidR="00A16D28" w:rsidRDefault="00A16D28" w:rsidP="0009450B">
      <w:r>
        <w:t xml:space="preserve">The particular semantics of file locking will depend on </w:t>
      </w:r>
      <w:r w:rsidR="008246BA">
        <w:t>and be limited by a</w:t>
      </w:r>
      <w:r>
        <w:t xml:space="preserve"> system's available file locking</w:t>
      </w:r>
      <w:r w:rsidR="008246BA">
        <w:t xml:space="preserve"> API calls. The particular system calls will be determined at compile time</w:t>
      </w:r>
      <w:r w:rsidR="004A1B4A">
        <w:t>;</w:t>
      </w:r>
      <w:r w:rsidR="008246BA">
        <w:t xml:space="preserve"> however</w:t>
      </w:r>
      <w:r w:rsidR="004A1B4A">
        <w:t>,</w:t>
      </w:r>
      <w:r w:rsidR="008246BA">
        <w:t xml:space="preserve"> we will endeavor to use file locks that roughly correspond to BSD-style locks based on </w:t>
      </w:r>
      <w:proofErr w:type="gramStart"/>
      <w:r w:rsidR="008246BA">
        <w:t>flock(</w:t>
      </w:r>
      <w:proofErr w:type="gramEnd"/>
      <w:r w:rsidR="008246BA">
        <w:t>2). See the implementation notes and appendices below for more information.</w:t>
      </w:r>
    </w:p>
    <w:p w14:paraId="4DB83D6F" w14:textId="77777777" w:rsidR="004A1B4A" w:rsidRDefault="004A1B4A" w:rsidP="0009450B"/>
    <w:p w14:paraId="0662D8B2" w14:textId="450C473D" w:rsidR="00A16D28" w:rsidRDefault="008246BA" w:rsidP="004A1B4A">
      <w:pPr>
        <w:pStyle w:val="Heading2"/>
      </w:pPr>
      <w:r>
        <w:t>File Exclusion Mechanisms</w:t>
      </w:r>
    </w:p>
    <w:p w14:paraId="57D0C7DA" w14:textId="18BA0EFB" w:rsidR="0009450B" w:rsidRDefault="0009450B" w:rsidP="0009450B">
      <w:r>
        <w:t xml:space="preserve">The </w:t>
      </w:r>
      <w:r w:rsidR="005F21AB">
        <w:t xml:space="preserve">HDF5 </w:t>
      </w:r>
      <w:r w:rsidR="004A1B4A">
        <w:t xml:space="preserve">Library </w:t>
      </w:r>
      <w:r>
        <w:t xml:space="preserve">will employ two means to </w:t>
      </w:r>
      <w:r w:rsidR="008246BA">
        <w:t>regulate access to HDF5 files under SWMR</w:t>
      </w:r>
      <w:r w:rsidR="004A1B4A">
        <w:t>.</w:t>
      </w:r>
    </w:p>
    <w:p w14:paraId="7F8FD4D4" w14:textId="2FC5E7D4" w:rsidR="004532F7" w:rsidRDefault="008246BA" w:rsidP="0009450B">
      <w:pPr>
        <w:pStyle w:val="ListParagraph"/>
        <w:numPr>
          <w:ilvl w:val="0"/>
          <w:numId w:val="26"/>
        </w:numPr>
      </w:pPr>
      <w:r>
        <w:t>File locking API calls to</w:t>
      </w:r>
      <w:r w:rsidR="0009450B">
        <w:t xml:space="preserve"> </w:t>
      </w:r>
      <w:r w:rsidR="00904973">
        <w:t>apply or remove an advisory lock</w:t>
      </w:r>
      <w:r w:rsidR="005F21AB">
        <w:t xml:space="preserve"> </w:t>
      </w:r>
      <w:r w:rsidR="00904973">
        <w:t xml:space="preserve">on an open </w:t>
      </w:r>
      <w:r w:rsidR="004532F7">
        <w:t>file</w:t>
      </w:r>
      <w:r w:rsidR="003910BD">
        <w:t xml:space="preserve">. Note that these will also be used for non-SWMR access as a way to prevent inappropriate file access </w:t>
      </w:r>
      <w:r w:rsidR="004A1B4A">
        <w:t xml:space="preserve">such as might occur with </w:t>
      </w:r>
      <w:r w:rsidR="003910BD">
        <w:t>two writer</w:t>
      </w:r>
      <w:r w:rsidR="004A1B4A">
        <w:t xml:space="preserve"> processe</w:t>
      </w:r>
      <w:r w:rsidR="003910BD">
        <w:t>s.</w:t>
      </w:r>
    </w:p>
    <w:p w14:paraId="7D7E246D" w14:textId="6B487689" w:rsidR="008246BA" w:rsidRDefault="008246BA" w:rsidP="00904973">
      <w:pPr>
        <w:pStyle w:val="ListParagraph"/>
        <w:numPr>
          <w:ilvl w:val="1"/>
          <w:numId w:val="31"/>
        </w:numPr>
      </w:pPr>
      <w:r>
        <w:t xml:space="preserve">Files will be locked during the </w:t>
      </w:r>
      <w:proofErr w:type="gramStart"/>
      <w:r>
        <w:t>H5Fopen(</w:t>
      </w:r>
      <w:proofErr w:type="gramEnd"/>
      <w:r>
        <w:t>) or H5Fcreate() call.</w:t>
      </w:r>
    </w:p>
    <w:p w14:paraId="3F34C698" w14:textId="77777777" w:rsidR="008246BA" w:rsidRDefault="008246BA" w:rsidP="00904973">
      <w:pPr>
        <w:pStyle w:val="ListParagraph"/>
        <w:numPr>
          <w:ilvl w:val="1"/>
          <w:numId w:val="31"/>
        </w:numPr>
      </w:pPr>
      <w:r>
        <w:t>Locks can be shared (read) or exclusive (write).</w:t>
      </w:r>
    </w:p>
    <w:p w14:paraId="0EFA615A" w14:textId="77777777" w:rsidR="008246BA" w:rsidRDefault="008246BA" w:rsidP="00904973">
      <w:pPr>
        <w:pStyle w:val="ListParagraph"/>
        <w:numPr>
          <w:ilvl w:val="1"/>
          <w:numId w:val="31"/>
        </w:numPr>
      </w:pPr>
      <w:r>
        <w:t>Locks will lock the entire file, not regions in the file.</w:t>
      </w:r>
    </w:p>
    <w:p w14:paraId="4BE4B2AA" w14:textId="5370F111" w:rsidR="004532F7" w:rsidRDefault="008246BA" w:rsidP="00904973">
      <w:pPr>
        <w:pStyle w:val="ListParagraph"/>
        <w:numPr>
          <w:ilvl w:val="1"/>
          <w:numId w:val="31"/>
        </w:numPr>
      </w:pPr>
      <w:r>
        <w:t>When non-blocking lock calls are available, locks will not block.</w:t>
      </w:r>
      <w:r w:rsidR="005F21AB">
        <w:t xml:space="preserve">  </w:t>
      </w:r>
    </w:p>
    <w:p w14:paraId="1FA70218" w14:textId="648C04EB" w:rsidR="0009450B" w:rsidRPr="008246BA" w:rsidRDefault="008246BA" w:rsidP="00904973">
      <w:pPr>
        <w:pStyle w:val="ListParagraph"/>
        <w:numPr>
          <w:ilvl w:val="1"/>
          <w:numId w:val="31"/>
        </w:numPr>
      </w:pPr>
      <w:r>
        <w:t>L</w:t>
      </w:r>
      <w:r w:rsidRPr="008246BA">
        <w:t>ock</w:t>
      </w:r>
      <w:r>
        <w:t>s</w:t>
      </w:r>
      <w:r w:rsidRPr="008246BA">
        <w:t xml:space="preserve"> will be</w:t>
      </w:r>
      <w:r w:rsidR="004532F7" w:rsidRPr="008246BA">
        <w:t xml:space="preserve"> released automatically w</w:t>
      </w:r>
      <w:r w:rsidR="005F21AB" w:rsidRPr="008246BA">
        <w:t>hen the file closes</w:t>
      </w:r>
      <w:r>
        <w:t>. Alternatively, the user can unlock the file using the system's unlock call</w:t>
      </w:r>
      <w:r w:rsidR="004A1B4A">
        <w:t>;</w:t>
      </w:r>
      <w:r>
        <w:t xml:space="preserve"> however</w:t>
      </w:r>
      <w:r w:rsidR="004A1B4A">
        <w:t>,</w:t>
      </w:r>
      <w:r>
        <w:t xml:space="preserve"> care will have to be taken to match </w:t>
      </w:r>
      <w:r w:rsidR="00A24C14">
        <w:t xml:space="preserve">the unlock call with </w:t>
      </w:r>
      <w:r>
        <w:t xml:space="preserve">the HDF5 </w:t>
      </w:r>
      <w:r w:rsidR="004A1B4A">
        <w:t xml:space="preserve">Library's </w:t>
      </w:r>
      <w:r w:rsidR="00A74E08">
        <w:t>file locking scheme.</w:t>
      </w:r>
    </w:p>
    <w:p w14:paraId="6508207E" w14:textId="5E53E9D1" w:rsidR="004532F7" w:rsidRDefault="008246BA" w:rsidP="0009450B">
      <w:pPr>
        <w:pStyle w:val="ListParagraph"/>
        <w:numPr>
          <w:ilvl w:val="0"/>
          <w:numId w:val="26"/>
        </w:numPr>
      </w:pPr>
      <w:r>
        <w:t>Setting</w:t>
      </w:r>
      <w:r w:rsidR="0009450B">
        <w:t xml:space="preserve"> a flag in the fil</w:t>
      </w:r>
      <w:r w:rsidR="004532F7">
        <w:t>e’s superblock to mark the file</w:t>
      </w:r>
      <w:r>
        <w:t xml:space="preserve"> as open for writing</w:t>
      </w:r>
      <w:r w:rsidR="003910BD">
        <w:t>.</w:t>
      </w:r>
    </w:p>
    <w:p w14:paraId="03D37072" w14:textId="5A3D51F6" w:rsidR="004532F7" w:rsidRDefault="004532F7" w:rsidP="004532F7">
      <w:pPr>
        <w:pStyle w:val="ListParagraph"/>
        <w:numPr>
          <w:ilvl w:val="1"/>
          <w:numId w:val="30"/>
        </w:numPr>
      </w:pPr>
      <w:r>
        <w:t xml:space="preserve">The library will mark the file </w:t>
      </w:r>
      <w:r w:rsidR="008246BA">
        <w:t>when opened for</w:t>
      </w:r>
      <w:r>
        <w:t xml:space="preserve"> writing based on file open access flags.</w:t>
      </w:r>
      <w:r w:rsidR="00550997">
        <w:t xml:space="preserve"> </w:t>
      </w:r>
      <w:r w:rsidR="008246BA">
        <w:t>This will happen for both SWMR and non-SWMR reading. This</w:t>
      </w:r>
      <w:r w:rsidR="00550997">
        <w:t xml:space="preserve"> marking </w:t>
      </w:r>
      <w:r w:rsidR="00897324">
        <w:t>ensures</w:t>
      </w:r>
      <w:r w:rsidR="00550997">
        <w:t xml:space="preserve"> </w:t>
      </w:r>
      <w:r w:rsidR="00BE1832">
        <w:t xml:space="preserve">file </w:t>
      </w:r>
      <w:r w:rsidR="00897324">
        <w:t>consistency for concurrent accesses.</w:t>
      </w:r>
    </w:p>
    <w:p w14:paraId="1A34D149" w14:textId="58B2CE7E" w:rsidR="007D1699" w:rsidRDefault="005F21AB" w:rsidP="007D1699">
      <w:pPr>
        <w:pStyle w:val="ListParagraph"/>
        <w:numPr>
          <w:ilvl w:val="1"/>
          <w:numId w:val="30"/>
        </w:numPr>
      </w:pPr>
      <w:r>
        <w:t xml:space="preserve"> The library will clear</w:t>
      </w:r>
      <w:r w:rsidR="007D1699">
        <w:t xml:space="preserve"> the flag when the file closes.</w:t>
      </w:r>
    </w:p>
    <w:p w14:paraId="784E37AB" w14:textId="77777777" w:rsidR="004A1B4A" w:rsidRDefault="004A1B4A" w:rsidP="004A1B4A"/>
    <w:p w14:paraId="02AB5B01" w14:textId="2F68BC74" w:rsidR="00A74E08" w:rsidRDefault="00A74E08" w:rsidP="004A1B4A">
      <w:pPr>
        <w:pStyle w:val="Heading2"/>
      </w:pPr>
      <w:r>
        <w:t>Writer Actions</w:t>
      </w:r>
    </w:p>
    <w:p w14:paraId="7C26C608" w14:textId="591CD7E3" w:rsidR="0009450B" w:rsidRDefault="004C78B6" w:rsidP="004C78B6">
      <w:proofErr w:type="gramStart"/>
      <w:r w:rsidRPr="004C78B6">
        <w:rPr>
          <w:b/>
          <w:color w:val="000000" w:themeColor="text1"/>
        </w:rPr>
        <w:t>Without SWMR</w:t>
      </w:r>
      <w:r>
        <w:t>.</w:t>
      </w:r>
      <w:proofErr w:type="gramEnd"/>
      <w:r>
        <w:t xml:space="preserve"> </w:t>
      </w:r>
      <w:r w:rsidR="0009450B">
        <w:t>When a writer process creates</w:t>
      </w:r>
      <w:r>
        <w:t xml:space="preserve"> or </w:t>
      </w:r>
      <w:r w:rsidR="0009450B">
        <w:t xml:space="preserve">opens a file </w:t>
      </w:r>
      <w:r w:rsidR="0009450B" w:rsidRPr="004C78B6">
        <w:rPr>
          <w:b/>
          <w:color w:val="000000" w:themeColor="text1"/>
        </w:rPr>
        <w:t>without</w:t>
      </w:r>
      <w:r w:rsidR="0009450B" w:rsidRPr="004C78B6">
        <w:rPr>
          <w:color w:val="000000" w:themeColor="text1"/>
        </w:rPr>
        <w:t xml:space="preserve"> </w:t>
      </w:r>
      <w:r w:rsidR="0009450B">
        <w:t>SWMR</w:t>
      </w:r>
      <w:r>
        <w:t>, it will</w:t>
      </w:r>
      <w:r w:rsidR="0009450B">
        <w:t>:</w:t>
      </w:r>
    </w:p>
    <w:p w14:paraId="76882574" w14:textId="429311CE" w:rsidR="0009450B" w:rsidRDefault="0009450B" w:rsidP="004C78B6">
      <w:pPr>
        <w:pStyle w:val="ListParagraph"/>
        <w:numPr>
          <w:ilvl w:val="0"/>
          <w:numId w:val="34"/>
        </w:numPr>
      </w:pPr>
      <w:r>
        <w:t>Place an exclusive lock on the file—the file will remain locked until it closes</w:t>
      </w:r>
    </w:p>
    <w:p w14:paraId="6011B96B" w14:textId="006C235E" w:rsidR="0009450B" w:rsidRDefault="00F6726B" w:rsidP="004C78B6">
      <w:pPr>
        <w:pStyle w:val="ListParagraph"/>
        <w:numPr>
          <w:ilvl w:val="0"/>
          <w:numId w:val="34"/>
        </w:numPr>
      </w:pPr>
      <w:r>
        <w:t>Ensure the file</w:t>
      </w:r>
      <w:r w:rsidR="00026A29">
        <w:t>'s superblock</w:t>
      </w:r>
      <w:r w:rsidR="0009450B">
        <w:t xml:space="preserve"> is not already marked </w:t>
      </w:r>
      <w:r w:rsidR="00026A29">
        <w:t>for</w:t>
      </w:r>
      <w:r w:rsidR="0009450B">
        <w:t xml:space="preserve"> writing or SWMR writing mode</w:t>
      </w:r>
    </w:p>
    <w:p w14:paraId="23031577" w14:textId="4F957C6D" w:rsidR="0009450B" w:rsidRDefault="0009450B" w:rsidP="004C78B6">
      <w:pPr>
        <w:pStyle w:val="ListParagraph"/>
        <w:numPr>
          <w:ilvl w:val="0"/>
          <w:numId w:val="34"/>
        </w:numPr>
      </w:pPr>
      <w:r>
        <w:t>Mark the file</w:t>
      </w:r>
      <w:r w:rsidR="00026A29">
        <w:t>'s superblock</w:t>
      </w:r>
      <w:r>
        <w:t xml:space="preserve"> </w:t>
      </w:r>
      <w:r w:rsidR="00026A29">
        <w:t>for</w:t>
      </w:r>
      <w:r>
        <w:t xml:space="preserve"> writing mode</w:t>
      </w:r>
    </w:p>
    <w:p w14:paraId="1198239F" w14:textId="77777777" w:rsidR="004C78B6" w:rsidRPr="004C78B6" w:rsidRDefault="004C78B6" w:rsidP="004C78B6">
      <w:pPr>
        <w:rPr>
          <w:color w:val="000000" w:themeColor="text1"/>
        </w:rPr>
      </w:pPr>
    </w:p>
    <w:p w14:paraId="485B36AB" w14:textId="34D3530B" w:rsidR="0009450B" w:rsidRDefault="004C78B6" w:rsidP="004C78B6">
      <w:proofErr w:type="gramStart"/>
      <w:r w:rsidRPr="004C78B6">
        <w:rPr>
          <w:b/>
          <w:color w:val="000000" w:themeColor="text1"/>
        </w:rPr>
        <w:t>SWMR</w:t>
      </w:r>
      <w:r>
        <w:t>.</w:t>
      </w:r>
      <w:proofErr w:type="gramEnd"/>
      <w:r>
        <w:t xml:space="preserve"> </w:t>
      </w:r>
      <w:r w:rsidR="0009450B">
        <w:t>When a writer process creates</w:t>
      </w:r>
      <w:r>
        <w:t xml:space="preserve"> or </w:t>
      </w:r>
      <w:r w:rsidR="0009450B">
        <w:t xml:space="preserve">opens a file </w:t>
      </w:r>
      <w:r w:rsidR="0009450B" w:rsidRPr="004C78B6">
        <w:rPr>
          <w:b/>
          <w:color w:val="000000" w:themeColor="text1"/>
        </w:rPr>
        <w:t>with</w:t>
      </w:r>
      <w:r w:rsidR="0009450B" w:rsidRPr="004C78B6">
        <w:rPr>
          <w:color w:val="000000" w:themeColor="text1"/>
        </w:rPr>
        <w:t xml:space="preserve"> </w:t>
      </w:r>
      <w:r w:rsidR="0009450B">
        <w:t>SWMR write access</w:t>
      </w:r>
      <w:r>
        <w:t xml:space="preserve">, it </w:t>
      </w:r>
      <w:proofErr w:type="gramStart"/>
      <w:r>
        <w:t xml:space="preserve">will </w:t>
      </w:r>
      <w:r w:rsidR="0009450B">
        <w:t>:</w:t>
      </w:r>
      <w:proofErr w:type="gramEnd"/>
      <w:r w:rsidR="0009450B">
        <w:t xml:space="preserve"> </w:t>
      </w:r>
    </w:p>
    <w:p w14:paraId="6E4D200D" w14:textId="2A258C16" w:rsidR="0009450B" w:rsidRDefault="0009450B" w:rsidP="004C78B6">
      <w:pPr>
        <w:pStyle w:val="ListParagraph"/>
        <w:numPr>
          <w:ilvl w:val="0"/>
          <w:numId w:val="35"/>
        </w:numPr>
      </w:pPr>
      <w:r>
        <w:t xml:space="preserve">Place an exclusive </w:t>
      </w:r>
      <w:r w:rsidR="00524C2B">
        <w:t>lock on the file</w:t>
      </w:r>
    </w:p>
    <w:p w14:paraId="1FD37C13" w14:textId="7D7BFF94" w:rsidR="0009450B" w:rsidRDefault="00F6726B" w:rsidP="004C78B6">
      <w:pPr>
        <w:pStyle w:val="ListParagraph"/>
        <w:numPr>
          <w:ilvl w:val="0"/>
          <w:numId w:val="35"/>
        </w:numPr>
      </w:pPr>
      <w:r>
        <w:t>Ensure</w:t>
      </w:r>
      <w:r w:rsidR="0009450B">
        <w:t xml:space="preserve"> the file</w:t>
      </w:r>
      <w:r w:rsidR="00026A29">
        <w:t>'s superblock</w:t>
      </w:r>
      <w:r w:rsidR="0009450B">
        <w:t xml:space="preserve"> is not already marked </w:t>
      </w:r>
      <w:r w:rsidR="00026A29">
        <w:t>for</w:t>
      </w:r>
      <w:r w:rsidR="0009450B">
        <w:t xml:space="preserve"> writing or SWMR writing mode</w:t>
      </w:r>
    </w:p>
    <w:p w14:paraId="0F4BA75E" w14:textId="1908DDEF" w:rsidR="0009450B" w:rsidRPr="00524C2B" w:rsidRDefault="0009450B" w:rsidP="004C78B6">
      <w:pPr>
        <w:pStyle w:val="ListParagraph"/>
        <w:numPr>
          <w:ilvl w:val="0"/>
          <w:numId w:val="35"/>
        </w:numPr>
      </w:pPr>
      <w:r>
        <w:t xml:space="preserve">Mark the file </w:t>
      </w:r>
      <w:r w:rsidR="006F5AE8">
        <w:t>for</w:t>
      </w:r>
      <w:r>
        <w:t xml:space="preserve"> writing and SWMR writing mode</w:t>
      </w:r>
    </w:p>
    <w:p w14:paraId="6460790B" w14:textId="46A546AD" w:rsidR="00524C2B" w:rsidRPr="006F5AE8" w:rsidRDefault="00524C2B" w:rsidP="004C78B6">
      <w:pPr>
        <w:pStyle w:val="ListParagraph"/>
        <w:numPr>
          <w:ilvl w:val="0"/>
          <w:numId w:val="35"/>
        </w:numPr>
      </w:pPr>
      <w:r w:rsidRPr="00524C2B">
        <w:t xml:space="preserve">Release the lock before returning from </w:t>
      </w:r>
      <w:r w:rsidRPr="004C78B6">
        <w:rPr>
          <w:i/>
        </w:rPr>
        <w:t>H5Fopen</w:t>
      </w:r>
      <w:r w:rsidR="004C78B6" w:rsidRPr="004C78B6">
        <w:rPr>
          <w:i/>
        </w:rPr>
        <w:t xml:space="preserve"> or </w:t>
      </w:r>
      <w:r w:rsidRPr="00104398">
        <w:rPr>
          <w:i/>
        </w:rPr>
        <w:t>H5Fcreate</w:t>
      </w:r>
    </w:p>
    <w:p w14:paraId="34103FC8" w14:textId="77777777" w:rsidR="00253FB5" w:rsidRDefault="00253FB5" w:rsidP="006F5AE8"/>
    <w:p w14:paraId="4139C264" w14:textId="0DC09565" w:rsidR="006F5AE8" w:rsidRDefault="006F5AE8" w:rsidP="006F5AE8">
      <w:r w:rsidRPr="006F5AE8">
        <w:t>Once a writer successfully opens</w:t>
      </w:r>
      <w:r w:rsidR="004C78B6">
        <w:t xml:space="preserve"> or </w:t>
      </w:r>
      <w:r w:rsidRPr="006F5AE8">
        <w:t>creates a file, no other writer can open</w:t>
      </w:r>
      <w:r w:rsidR="004C78B6">
        <w:t xml:space="preserve"> or </w:t>
      </w:r>
      <w:r w:rsidRPr="006F5AE8">
        <w:t>create the file (with</w:t>
      </w:r>
      <w:r w:rsidR="004C78B6">
        <w:t xml:space="preserve"> or </w:t>
      </w:r>
      <w:r w:rsidRPr="006F5AE8">
        <w:t>without SWMR). Readers cannot access the file either</w:t>
      </w:r>
      <w:r w:rsidR="004C78B6">
        <w:t xml:space="preserve"> </w:t>
      </w:r>
      <w:r w:rsidRPr="006F5AE8">
        <w:t>with one exception: if a writer has successfully opened the file with SWMR write, then a reader can access the file with SWMR read.</w:t>
      </w:r>
    </w:p>
    <w:p w14:paraId="6BBAA270" w14:textId="77777777" w:rsidR="004A1B4A" w:rsidRPr="00524C2B" w:rsidRDefault="004A1B4A" w:rsidP="006F5AE8"/>
    <w:p w14:paraId="292A0D69" w14:textId="4999E165" w:rsidR="003B516A" w:rsidRDefault="003B516A" w:rsidP="004A1B4A">
      <w:pPr>
        <w:pStyle w:val="Heading2"/>
      </w:pPr>
      <w:r>
        <w:t>Reader Actions</w:t>
      </w:r>
    </w:p>
    <w:p w14:paraId="6410882A" w14:textId="39BD77EB" w:rsidR="0009450B" w:rsidRDefault="00253FB5" w:rsidP="00253FB5">
      <w:proofErr w:type="gramStart"/>
      <w:r w:rsidRPr="004C78B6">
        <w:rPr>
          <w:b/>
          <w:color w:val="000000" w:themeColor="text1"/>
        </w:rPr>
        <w:t>Without SWMR</w:t>
      </w:r>
      <w:r>
        <w:t>.</w:t>
      </w:r>
      <w:proofErr w:type="gramEnd"/>
      <w:r>
        <w:t xml:space="preserve"> </w:t>
      </w:r>
      <w:r w:rsidR="0009450B">
        <w:t xml:space="preserve">When a reader process opens a file </w:t>
      </w:r>
      <w:r w:rsidR="0009450B" w:rsidRPr="00EC27AF">
        <w:rPr>
          <w:b/>
          <w:color w:val="000000" w:themeColor="text1"/>
        </w:rPr>
        <w:t>without</w:t>
      </w:r>
      <w:r w:rsidR="0009450B" w:rsidRPr="00EC27AF">
        <w:rPr>
          <w:color w:val="000000" w:themeColor="text1"/>
        </w:rPr>
        <w:t xml:space="preserve"> </w:t>
      </w:r>
      <w:r w:rsidR="0009450B">
        <w:t>SWMR</w:t>
      </w:r>
      <w:r>
        <w:t>, it will</w:t>
      </w:r>
      <w:r w:rsidR="0009450B">
        <w:t>:</w:t>
      </w:r>
    </w:p>
    <w:p w14:paraId="6944A60C" w14:textId="6AA593D2" w:rsidR="0009450B" w:rsidRDefault="0009450B" w:rsidP="00607F9C">
      <w:pPr>
        <w:pStyle w:val="ListParagraph"/>
        <w:numPr>
          <w:ilvl w:val="0"/>
          <w:numId w:val="36"/>
        </w:numPr>
      </w:pPr>
      <w:r>
        <w:t>Place a shared lock on the file</w:t>
      </w:r>
    </w:p>
    <w:p w14:paraId="09A2FEB1" w14:textId="6D24C111" w:rsidR="0009450B" w:rsidRDefault="00F6726B" w:rsidP="00607F9C">
      <w:pPr>
        <w:pStyle w:val="ListParagraph"/>
        <w:numPr>
          <w:ilvl w:val="0"/>
          <w:numId w:val="36"/>
        </w:numPr>
      </w:pPr>
      <w:r>
        <w:t>Ensure</w:t>
      </w:r>
      <w:r w:rsidR="0009450B">
        <w:t xml:space="preserve"> the file is not already marked </w:t>
      </w:r>
      <w:r w:rsidR="006F5AE8">
        <w:t>for</w:t>
      </w:r>
      <w:r w:rsidR="0009450B">
        <w:t xml:space="preserve"> writing or SWMR writing mode</w:t>
      </w:r>
    </w:p>
    <w:p w14:paraId="7DB21659" w14:textId="77777777" w:rsidR="00253FB5" w:rsidRDefault="00253FB5" w:rsidP="00253FB5"/>
    <w:p w14:paraId="4D118818" w14:textId="360FAAF4" w:rsidR="0009450B" w:rsidRDefault="00253FB5" w:rsidP="00253FB5">
      <w:proofErr w:type="gramStart"/>
      <w:r w:rsidRPr="004C78B6">
        <w:rPr>
          <w:b/>
          <w:color w:val="000000" w:themeColor="text1"/>
        </w:rPr>
        <w:t>SWMR</w:t>
      </w:r>
      <w:r>
        <w:t>.</w:t>
      </w:r>
      <w:proofErr w:type="gramEnd"/>
      <w:r>
        <w:t xml:space="preserve"> </w:t>
      </w:r>
      <w:r w:rsidR="0009450B">
        <w:t xml:space="preserve">When a reader process opens a file </w:t>
      </w:r>
      <w:r w:rsidR="0009450B" w:rsidRPr="00EC27AF">
        <w:rPr>
          <w:b/>
          <w:color w:val="000000" w:themeColor="text1"/>
        </w:rPr>
        <w:t>with</w:t>
      </w:r>
      <w:r w:rsidR="0009450B" w:rsidRPr="00EC27AF">
        <w:rPr>
          <w:color w:val="000000" w:themeColor="text1"/>
        </w:rPr>
        <w:t xml:space="preserve"> </w:t>
      </w:r>
      <w:r w:rsidR="0009450B">
        <w:t>SWMR</w:t>
      </w:r>
      <w:r>
        <w:t>, it will</w:t>
      </w:r>
      <w:r w:rsidR="0009450B">
        <w:t>:</w:t>
      </w:r>
    </w:p>
    <w:p w14:paraId="349ED89C" w14:textId="121E1D33" w:rsidR="0009450B" w:rsidRDefault="0009450B" w:rsidP="00607F9C">
      <w:pPr>
        <w:pStyle w:val="ListParagraph"/>
        <w:numPr>
          <w:ilvl w:val="0"/>
          <w:numId w:val="37"/>
        </w:numPr>
      </w:pPr>
      <w:r>
        <w:t>Place a shared lock on the file</w:t>
      </w:r>
    </w:p>
    <w:p w14:paraId="4CE8B4FC" w14:textId="77777777" w:rsidR="0009450B" w:rsidRDefault="00F6726B" w:rsidP="00607F9C">
      <w:pPr>
        <w:pStyle w:val="ListParagraph"/>
        <w:numPr>
          <w:ilvl w:val="0"/>
          <w:numId w:val="37"/>
        </w:numPr>
      </w:pPr>
      <w:r>
        <w:t>Ensure</w:t>
      </w:r>
      <w:r w:rsidR="0009450B">
        <w:t xml:space="preserve"> the file is marked in writing </w:t>
      </w:r>
      <w:r w:rsidR="0009450B" w:rsidRPr="0011204A">
        <w:t>and</w:t>
      </w:r>
      <w:r w:rsidR="0009450B">
        <w:t xml:space="preserve"> SWMR writing mode </w:t>
      </w:r>
    </w:p>
    <w:p w14:paraId="6E6BA143" w14:textId="77777777" w:rsidR="00253FB5" w:rsidRDefault="00253FB5" w:rsidP="00B36383"/>
    <w:p w14:paraId="606E3952" w14:textId="101548A4" w:rsidR="00B36383" w:rsidRDefault="00B36383" w:rsidP="00B36383">
      <w:r w:rsidRPr="00B36383">
        <w:t>Once a reader successfully opens a file, no writer can open the file (with</w:t>
      </w:r>
      <w:r w:rsidR="00253FB5">
        <w:t xml:space="preserve"> or </w:t>
      </w:r>
      <w:r w:rsidRPr="00B36383">
        <w:t>without SWMR)</w:t>
      </w:r>
      <w:r w:rsidR="00253FB5">
        <w:t>,</w:t>
      </w:r>
      <w:r w:rsidRPr="00B36383">
        <w:t xml:space="preserve"> but other readers can </w:t>
      </w:r>
      <w:r w:rsidR="00253FB5">
        <w:t xml:space="preserve">open and </w:t>
      </w:r>
      <w:r w:rsidRPr="00B36383">
        <w:t>access the file (with</w:t>
      </w:r>
      <w:r w:rsidR="00253FB5">
        <w:t xml:space="preserve"> or </w:t>
      </w:r>
      <w:r w:rsidRPr="00B36383">
        <w:t>without SWMR).</w:t>
      </w:r>
    </w:p>
    <w:p w14:paraId="71F6A489" w14:textId="77777777" w:rsidR="004A1B4A" w:rsidRDefault="004A1B4A" w:rsidP="00B36383"/>
    <w:p w14:paraId="5EA89908" w14:textId="4C2FEEEC" w:rsidR="007D1699" w:rsidRPr="00EC27AF" w:rsidRDefault="007D1699" w:rsidP="004A1B4A">
      <w:pPr>
        <w:pStyle w:val="Heading2"/>
      </w:pPr>
      <w:r w:rsidRPr="00EC27AF">
        <w:t>HDF5 Library Compatibility</w:t>
      </w:r>
      <w:r w:rsidR="00607F9C" w:rsidRPr="00EC27AF">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4950"/>
      </w:tblGrid>
      <w:tr w:rsidR="007D1699" w14:paraId="61F5D94F" w14:textId="77777777" w:rsidTr="00F85487">
        <w:trPr>
          <w:jc w:val="center"/>
        </w:trPr>
        <w:tc>
          <w:tcPr>
            <w:tcW w:w="2430" w:type="dxa"/>
          </w:tcPr>
          <w:p w14:paraId="7A6A3941" w14:textId="1F3B63A5" w:rsidR="007D1699" w:rsidRDefault="007D1699" w:rsidP="007D1699">
            <w:r>
              <w:t>HDF5 1.10.x</w:t>
            </w:r>
          </w:p>
        </w:tc>
        <w:tc>
          <w:tcPr>
            <w:tcW w:w="4950" w:type="dxa"/>
          </w:tcPr>
          <w:p w14:paraId="58236C12" w14:textId="1B907CD8" w:rsidR="007D1699" w:rsidRDefault="007D1699" w:rsidP="00F85487">
            <w:r>
              <w:t>Full SWMR</w:t>
            </w:r>
            <w:r w:rsidR="00F85487">
              <w:t>;</w:t>
            </w:r>
            <w:r>
              <w:t xml:space="preserve"> respects locks and superblock</w:t>
            </w:r>
            <w:r w:rsidR="00F85487">
              <w:t>.</w:t>
            </w:r>
          </w:p>
        </w:tc>
      </w:tr>
      <w:tr w:rsidR="007D1699" w14:paraId="61D7BB51" w14:textId="77777777" w:rsidTr="00F85487">
        <w:trPr>
          <w:jc w:val="center"/>
        </w:trPr>
        <w:tc>
          <w:tcPr>
            <w:tcW w:w="2430" w:type="dxa"/>
          </w:tcPr>
          <w:p w14:paraId="2F9EA5AF" w14:textId="446A6BAF" w:rsidR="007D1699" w:rsidRDefault="007D1699" w:rsidP="007D1699">
            <w:r>
              <w:t>HDF5 1.8.y (y = TBD)</w:t>
            </w:r>
          </w:p>
        </w:tc>
        <w:tc>
          <w:tcPr>
            <w:tcW w:w="4950" w:type="dxa"/>
          </w:tcPr>
          <w:p w14:paraId="7446F952" w14:textId="367891E6" w:rsidR="007D1699" w:rsidRDefault="007D1699" w:rsidP="007D1699">
            <w:r>
              <w:t>Will respect locks</w:t>
            </w:r>
            <w:r w:rsidR="00F85487">
              <w:t>,</w:t>
            </w:r>
            <w:r>
              <w:t xml:space="preserve"> but </w:t>
            </w:r>
            <w:r w:rsidR="00F85487">
              <w:t xml:space="preserve">will </w:t>
            </w:r>
            <w:r>
              <w:t>not participate in SWMR</w:t>
            </w:r>
            <w:r w:rsidR="00F85487">
              <w:t>.</w:t>
            </w:r>
          </w:p>
        </w:tc>
      </w:tr>
      <w:tr w:rsidR="007D1699" w14:paraId="5AE5E068" w14:textId="77777777" w:rsidTr="00F85487">
        <w:trPr>
          <w:jc w:val="center"/>
        </w:trPr>
        <w:tc>
          <w:tcPr>
            <w:tcW w:w="2430" w:type="dxa"/>
          </w:tcPr>
          <w:p w14:paraId="2C3A0E6F" w14:textId="41B20200" w:rsidR="007D1699" w:rsidRDefault="007D1699" w:rsidP="007D1699">
            <w:r>
              <w:t>HDF5 1.8.0 - 1.8.(y-1)</w:t>
            </w:r>
          </w:p>
        </w:tc>
        <w:tc>
          <w:tcPr>
            <w:tcW w:w="4950" w:type="dxa"/>
          </w:tcPr>
          <w:p w14:paraId="4A488367" w14:textId="334265B9" w:rsidR="007D1699" w:rsidRDefault="007D1699" w:rsidP="009F4877">
            <w:r>
              <w:t xml:space="preserve">Will ignore SWMR. </w:t>
            </w:r>
            <w:r w:rsidR="009F4877">
              <w:t>All file open/create succeed.</w:t>
            </w:r>
          </w:p>
        </w:tc>
      </w:tr>
    </w:tbl>
    <w:p w14:paraId="2B939F7B" w14:textId="77777777" w:rsidR="007D1699" w:rsidRPr="007D1699" w:rsidRDefault="007D1699" w:rsidP="007D1699"/>
    <w:p w14:paraId="5A14A0E4" w14:textId="77777777" w:rsidR="007C3712" w:rsidRDefault="007C3712">
      <w:pPr>
        <w:spacing w:after="0"/>
        <w:rPr>
          <w:rFonts w:asciiTheme="majorHAnsi" w:eastAsiaTheme="majorEastAsia" w:hAnsiTheme="majorHAnsi" w:cstheme="majorBidi"/>
          <w:b/>
          <w:bCs/>
          <w:color w:val="000000" w:themeColor="text1"/>
          <w:sz w:val="26"/>
          <w:szCs w:val="26"/>
        </w:rPr>
      </w:pPr>
      <w:r>
        <w:br w:type="page"/>
      </w:r>
    </w:p>
    <w:p w14:paraId="2043A8A0" w14:textId="4E742DFA" w:rsidR="00AF27A9" w:rsidRDefault="00AF27A9" w:rsidP="004A1B4A">
      <w:pPr>
        <w:pStyle w:val="Heading2"/>
      </w:pPr>
      <w:r>
        <w:lastRenderedPageBreak/>
        <w:t>SWMR Compatibility Matrices</w:t>
      </w:r>
    </w:p>
    <w:p w14:paraId="54FE66D9" w14:textId="5FF25723" w:rsidR="0009450B" w:rsidRDefault="0009450B" w:rsidP="0009450B">
      <w:r>
        <w:t>The table</w:t>
      </w:r>
      <w:r w:rsidR="00011E74">
        <w:t xml:space="preserve"> below</w:t>
      </w:r>
      <w:r>
        <w:t xml:space="preserve"> </w:t>
      </w:r>
      <w:r w:rsidR="00011E74">
        <w:t>depicts</w:t>
      </w:r>
      <w:r>
        <w:t xml:space="preserve"> the </w:t>
      </w:r>
      <w:r w:rsidR="00011E74">
        <w:t xml:space="preserve">result of a second file open after the first open succeeds—file opens by writer and reader with combinations of </w:t>
      </w:r>
      <w:r w:rsidR="006236B9">
        <w:t xml:space="preserve">versions and </w:t>
      </w:r>
      <w:r w:rsidR="00011E74">
        <w:t>access flags</w:t>
      </w:r>
      <w:r w:rsidR="007C3712">
        <w:t>.</w:t>
      </w:r>
    </w:p>
    <w:p w14:paraId="24900609" w14:textId="77777777" w:rsidR="00B4593B" w:rsidRDefault="00B4593B" w:rsidP="0009450B"/>
    <w:p w14:paraId="44445E09" w14:textId="111225F7" w:rsidR="00B4593B" w:rsidRDefault="00B4593B" w:rsidP="007C3712">
      <w:pPr>
        <w:pStyle w:val="Heading3"/>
      </w:pPr>
      <w:r>
        <w:t>1</w:t>
      </w:r>
      <w:r w:rsidRPr="00B4593B">
        <w:rPr>
          <w:vertAlign w:val="superscript"/>
        </w:rPr>
        <w:t>st</w:t>
      </w:r>
      <w:r>
        <w:t xml:space="preserve"> </w:t>
      </w:r>
      <w:r w:rsidR="005B44B6">
        <w:t>Open</w:t>
      </w:r>
      <w:r>
        <w:t xml:space="preserve"> </w:t>
      </w:r>
      <w:r w:rsidR="007D1699">
        <w:t>1.10</w:t>
      </w:r>
      <w:r>
        <w:t xml:space="preserve"> / 2</w:t>
      </w:r>
      <w:r w:rsidRPr="00B4593B">
        <w:rPr>
          <w:vertAlign w:val="superscript"/>
        </w:rPr>
        <w:t>nd</w:t>
      </w:r>
      <w:r>
        <w:t xml:space="preserve"> </w:t>
      </w:r>
      <w:r w:rsidR="005B44B6">
        <w:t xml:space="preserve">Open </w:t>
      </w:r>
      <w:r w:rsidR="007D1699">
        <w:t>1.10</w:t>
      </w:r>
    </w:p>
    <w:tbl>
      <w:tblPr>
        <w:tblStyle w:val="TableGrid"/>
        <w:tblW w:w="10224" w:type="dxa"/>
        <w:tblBorders>
          <w:left w:val="none" w:sz="0" w:space="0" w:color="auto"/>
        </w:tblBorders>
        <w:tblLayout w:type="fixed"/>
        <w:tblLook w:val="04A0" w:firstRow="1" w:lastRow="0" w:firstColumn="1" w:lastColumn="0" w:noHBand="0" w:noVBand="1"/>
      </w:tblPr>
      <w:tblGrid>
        <w:gridCol w:w="1008"/>
        <w:gridCol w:w="2304"/>
        <w:gridCol w:w="1242"/>
        <w:gridCol w:w="2124"/>
        <w:gridCol w:w="2070"/>
        <w:gridCol w:w="1476"/>
      </w:tblGrid>
      <w:tr w:rsidR="0009450B" w14:paraId="64EED9D1" w14:textId="77777777" w:rsidTr="007D1699">
        <w:tc>
          <w:tcPr>
            <w:tcW w:w="1008" w:type="dxa"/>
            <w:vMerge w:val="restart"/>
            <w:tcBorders>
              <w:top w:val="nil"/>
              <w:right w:val="nil"/>
            </w:tcBorders>
          </w:tcPr>
          <w:p w14:paraId="3EBC83E6" w14:textId="77777777" w:rsidR="0009450B" w:rsidRPr="00DA3787" w:rsidRDefault="0009450B" w:rsidP="007D1699">
            <w:pPr>
              <w:rPr>
                <w:rFonts w:cs="Consolas"/>
              </w:rPr>
            </w:pPr>
          </w:p>
        </w:tc>
        <w:tc>
          <w:tcPr>
            <w:tcW w:w="2304" w:type="dxa"/>
            <w:tcBorders>
              <w:top w:val="nil"/>
              <w:left w:val="nil"/>
              <w:right w:val="nil"/>
            </w:tcBorders>
          </w:tcPr>
          <w:p w14:paraId="611CEC10" w14:textId="77777777" w:rsidR="0009450B" w:rsidRPr="00DA3787" w:rsidRDefault="0009450B" w:rsidP="007D1699">
            <w:pPr>
              <w:rPr>
                <w:rFonts w:cs="Consolas"/>
              </w:rPr>
            </w:pPr>
          </w:p>
        </w:tc>
        <w:tc>
          <w:tcPr>
            <w:tcW w:w="6912" w:type="dxa"/>
            <w:gridSpan w:val="4"/>
            <w:tcBorders>
              <w:top w:val="nil"/>
              <w:left w:val="nil"/>
              <w:right w:val="nil"/>
            </w:tcBorders>
            <w:shd w:val="clear" w:color="auto" w:fill="auto"/>
          </w:tcPr>
          <w:p w14:paraId="2D991607" w14:textId="04DAA88B" w:rsidR="0009450B" w:rsidRPr="00DA3787" w:rsidRDefault="007C3712" w:rsidP="00011E74">
            <w:pPr>
              <w:jc w:val="center"/>
              <w:rPr>
                <w:b/>
                <w:i/>
              </w:rPr>
            </w:pPr>
            <w:r>
              <w:rPr>
                <w:b/>
                <w:i/>
              </w:rPr>
              <w:t>First Open</w:t>
            </w:r>
            <w:r w:rsidR="004F7A3A">
              <w:rPr>
                <w:b/>
                <w:i/>
              </w:rPr>
              <w:t>/</w:t>
            </w:r>
            <w:r>
              <w:rPr>
                <w:b/>
                <w:i/>
              </w:rPr>
              <w:t xml:space="preserve">Create </w:t>
            </w:r>
            <w:r w:rsidR="004C4D71">
              <w:rPr>
                <w:b/>
                <w:i/>
              </w:rPr>
              <w:t>(1.10)</w:t>
            </w:r>
          </w:p>
        </w:tc>
      </w:tr>
      <w:tr w:rsidR="0009450B" w14:paraId="41F09D04" w14:textId="77777777" w:rsidTr="007D1699">
        <w:tc>
          <w:tcPr>
            <w:tcW w:w="1008" w:type="dxa"/>
            <w:vMerge/>
            <w:tcBorders>
              <w:bottom w:val="nil"/>
            </w:tcBorders>
          </w:tcPr>
          <w:p w14:paraId="3A270782" w14:textId="77777777" w:rsidR="0009450B" w:rsidRPr="00DA3787" w:rsidRDefault="0009450B" w:rsidP="007D1699">
            <w:pPr>
              <w:rPr>
                <w:rFonts w:cs="Consolas"/>
              </w:rPr>
            </w:pPr>
          </w:p>
        </w:tc>
        <w:tc>
          <w:tcPr>
            <w:tcW w:w="2304" w:type="dxa"/>
          </w:tcPr>
          <w:p w14:paraId="0657E53D" w14:textId="77777777" w:rsidR="0009450B" w:rsidRPr="002658E5" w:rsidRDefault="00F6726B" w:rsidP="00B4593B">
            <w:pPr>
              <w:jc w:val="center"/>
              <w:rPr>
                <w:rFonts w:cs="Consolas"/>
                <w:i/>
              </w:rPr>
            </w:pPr>
            <w:r>
              <w:rPr>
                <w:rFonts w:cs="Consolas"/>
                <w:i/>
              </w:rPr>
              <w:t xml:space="preserve">file open </w:t>
            </w:r>
            <w:r w:rsidR="0009450B" w:rsidRPr="002658E5">
              <w:rPr>
                <w:rFonts w:cs="Consolas"/>
                <w:i/>
              </w:rPr>
              <w:t>access flags</w:t>
            </w:r>
          </w:p>
        </w:tc>
        <w:tc>
          <w:tcPr>
            <w:tcW w:w="1242" w:type="dxa"/>
            <w:shd w:val="pct10" w:color="auto" w:fill="auto"/>
          </w:tcPr>
          <w:p w14:paraId="750214EC" w14:textId="33873D2A" w:rsidR="0009450B" w:rsidRPr="00D37E69" w:rsidRDefault="004F7A3A" w:rsidP="00B4593B">
            <w:pPr>
              <w:jc w:val="center"/>
              <w:rPr>
                <w:i/>
              </w:rPr>
            </w:pPr>
            <w:r>
              <w:rPr>
                <w:i/>
              </w:rPr>
              <w:t>read</w:t>
            </w:r>
          </w:p>
        </w:tc>
        <w:tc>
          <w:tcPr>
            <w:tcW w:w="2124" w:type="dxa"/>
            <w:shd w:val="pct10" w:color="auto" w:fill="auto"/>
          </w:tcPr>
          <w:p w14:paraId="6BE991AD" w14:textId="6642349F" w:rsidR="0009450B" w:rsidRPr="00D37E69" w:rsidRDefault="0009450B" w:rsidP="00B4593B">
            <w:pPr>
              <w:jc w:val="center"/>
              <w:rPr>
                <w:i/>
              </w:rPr>
            </w:pPr>
            <w:r w:rsidRPr="00D37E69">
              <w:rPr>
                <w:i/>
              </w:rPr>
              <w:t>write</w:t>
            </w:r>
          </w:p>
        </w:tc>
        <w:tc>
          <w:tcPr>
            <w:tcW w:w="2070" w:type="dxa"/>
            <w:shd w:val="pct10" w:color="auto" w:fill="auto"/>
          </w:tcPr>
          <w:p w14:paraId="7A868212" w14:textId="011AA0DD" w:rsidR="0009450B" w:rsidRPr="00D37E69" w:rsidRDefault="0009450B" w:rsidP="00B4593B">
            <w:pPr>
              <w:jc w:val="center"/>
              <w:rPr>
                <w:i/>
              </w:rPr>
            </w:pPr>
            <w:r w:rsidRPr="00D37E69">
              <w:rPr>
                <w:i/>
              </w:rPr>
              <w:t>SWMR read</w:t>
            </w:r>
          </w:p>
        </w:tc>
        <w:tc>
          <w:tcPr>
            <w:tcW w:w="1476" w:type="dxa"/>
            <w:shd w:val="pct10" w:color="auto" w:fill="auto"/>
          </w:tcPr>
          <w:p w14:paraId="1538DFDB" w14:textId="14E992BA" w:rsidR="0009450B" w:rsidRPr="00D37E69" w:rsidRDefault="004F7A3A">
            <w:pPr>
              <w:jc w:val="center"/>
              <w:rPr>
                <w:i/>
              </w:rPr>
            </w:pPr>
            <w:r>
              <w:rPr>
                <w:i/>
              </w:rPr>
              <w:t>SWMR write</w:t>
            </w:r>
          </w:p>
        </w:tc>
      </w:tr>
      <w:tr w:rsidR="0009450B" w14:paraId="38273F12" w14:textId="77777777" w:rsidTr="007C3712">
        <w:tc>
          <w:tcPr>
            <w:tcW w:w="1008" w:type="dxa"/>
            <w:vMerge w:val="restart"/>
            <w:tcBorders>
              <w:top w:val="nil"/>
              <w:bottom w:val="nil"/>
            </w:tcBorders>
            <w:shd w:val="clear" w:color="auto" w:fill="auto"/>
          </w:tcPr>
          <w:p w14:paraId="46C46EBB" w14:textId="77777777" w:rsidR="00011E74" w:rsidRDefault="00011E74" w:rsidP="007C3712">
            <w:pPr>
              <w:jc w:val="center"/>
              <w:rPr>
                <w:b/>
                <w:i/>
              </w:rPr>
            </w:pPr>
          </w:p>
          <w:p w14:paraId="3109A48D" w14:textId="177208F1" w:rsidR="0009450B" w:rsidRPr="00011E74" w:rsidRDefault="004C4D71" w:rsidP="007C3712">
            <w:pPr>
              <w:jc w:val="center"/>
              <w:rPr>
                <w:b/>
                <w:i/>
              </w:rPr>
            </w:pPr>
            <w:r>
              <w:rPr>
                <w:b/>
                <w:i/>
              </w:rPr>
              <w:t>S</w:t>
            </w:r>
            <w:r w:rsidR="0009450B" w:rsidRPr="00DA3787">
              <w:rPr>
                <w:b/>
                <w:i/>
              </w:rPr>
              <w:t>econd</w:t>
            </w:r>
            <w:r>
              <w:rPr>
                <w:b/>
                <w:i/>
              </w:rPr>
              <w:t xml:space="preserve"> </w:t>
            </w:r>
            <w:r w:rsidR="007C3712" w:rsidRPr="00DA3787">
              <w:rPr>
                <w:b/>
                <w:i/>
              </w:rPr>
              <w:t>Open</w:t>
            </w:r>
            <w:r w:rsidR="007C3712">
              <w:rPr>
                <w:b/>
                <w:i/>
              </w:rPr>
              <w:t xml:space="preserve"> </w:t>
            </w:r>
            <w:r>
              <w:rPr>
                <w:b/>
                <w:i/>
              </w:rPr>
              <w:t>(1.10)</w:t>
            </w:r>
          </w:p>
        </w:tc>
        <w:tc>
          <w:tcPr>
            <w:tcW w:w="2304" w:type="dxa"/>
            <w:shd w:val="pct10" w:color="auto" w:fill="auto"/>
          </w:tcPr>
          <w:p w14:paraId="59FA8C5D" w14:textId="5DC045BB" w:rsidR="0009450B" w:rsidRPr="00D37E69" w:rsidRDefault="004F7A3A" w:rsidP="00B4593B">
            <w:pPr>
              <w:jc w:val="center"/>
              <w:rPr>
                <w:i/>
              </w:rPr>
            </w:pPr>
            <w:r>
              <w:rPr>
                <w:i/>
              </w:rPr>
              <w:t>read</w:t>
            </w:r>
          </w:p>
        </w:tc>
        <w:tc>
          <w:tcPr>
            <w:tcW w:w="1242" w:type="dxa"/>
            <w:shd w:val="clear" w:color="auto" w:fill="EAF1DD" w:themeFill="accent3" w:themeFillTint="33"/>
          </w:tcPr>
          <w:p w14:paraId="7BE7AF23" w14:textId="343FF951" w:rsidR="0009450B" w:rsidRPr="004F7A3A" w:rsidRDefault="004F7A3A" w:rsidP="00B4593B">
            <w:pPr>
              <w:jc w:val="center"/>
            </w:pPr>
            <w:r w:rsidRPr="004F7A3A">
              <w:t>succeed</w:t>
            </w:r>
          </w:p>
        </w:tc>
        <w:tc>
          <w:tcPr>
            <w:tcW w:w="2124" w:type="dxa"/>
            <w:shd w:val="clear" w:color="auto" w:fill="F2DBDB" w:themeFill="accent2" w:themeFillTint="33"/>
          </w:tcPr>
          <w:p w14:paraId="0236CC60" w14:textId="77777777" w:rsidR="0009450B" w:rsidRPr="004F7A3A" w:rsidRDefault="0009450B" w:rsidP="00B4593B">
            <w:pPr>
              <w:jc w:val="center"/>
            </w:pPr>
            <w:r w:rsidRPr="004F7A3A">
              <w:t>fail</w:t>
            </w:r>
          </w:p>
        </w:tc>
        <w:tc>
          <w:tcPr>
            <w:tcW w:w="2070" w:type="dxa"/>
            <w:shd w:val="clear" w:color="auto" w:fill="EAF1DD" w:themeFill="accent3" w:themeFillTint="33"/>
          </w:tcPr>
          <w:p w14:paraId="0B4B3FB1" w14:textId="154C5EDC" w:rsidR="0009450B" w:rsidRPr="004F7A3A" w:rsidRDefault="004F7A3A" w:rsidP="00B4593B">
            <w:pPr>
              <w:jc w:val="center"/>
            </w:pPr>
            <w:r w:rsidRPr="004F7A3A">
              <w:t>succeed</w:t>
            </w:r>
          </w:p>
        </w:tc>
        <w:tc>
          <w:tcPr>
            <w:tcW w:w="1476" w:type="dxa"/>
            <w:shd w:val="clear" w:color="auto" w:fill="F2DBDB" w:themeFill="accent2" w:themeFillTint="33"/>
          </w:tcPr>
          <w:p w14:paraId="60D72159" w14:textId="2DDFEDDF" w:rsidR="0009450B" w:rsidRPr="004F7A3A" w:rsidRDefault="004F7A3A" w:rsidP="00B4593B">
            <w:pPr>
              <w:jc w:val="center"/>
            </w:pPr>
            <w:r w:rsidRPr="004F7A3A">
              <w:t>fail</w:t>
            </w:r>
            <w:r w:rsidRPr="004F7A3A" w:rsidDel="004F7A3A">
              <w:t xml:space="preserve"> </w:t>
            </w:r>
          </w:p>
        </w:tc>
      </w:tr>
      <w:tr w:rsidR="0009450B" w14:paraId="36BFDC9E" w14:textId="77777777" w:rsidTr="007C3712">
        <w:tc>
          <w:tcPr>
            <w:tcW w:w="1008" w:type="dxa"/>
            <w:vMerge/>
            <w:tcBorders>
              <w:bottom w:val="nil"/>
            </w:tcBorders>
            <w:shd w:val="clear" w:color="auto" w:fill="auto"/>
          </w:tcPr>
          <w:p w14:paraId="54AB67BC" w14:textId="77777777" w:rsidR="0009450B" w:rsidRPr="00DA3787" w:rsidRDefault="0009450B" w:rsidP="007D1699">
            <w:pPr>
              <w:rPr>
                <w:b/>
              </w:rPr>
            </w:pPr>
          </w:p>
        </w:tc>
        <w:tc>
          <w:tcPr>
            <w:tcW w:w="2304" w:type="dxa"/>
            <w:shd w:val="pct10" w:color="auto" w:fill="auto"/>
          </w:tcPr>
          <w:p w14:paraId="4EB77B1A" w14:textId="02B55696" w:rsidR="0009450B" w:rsidRPr="00D37E69" w:rsidRDefault="004F7A3A" w:rsidP="00B4593B">
            <w:pPr>
              <w:jc w:val="center"/>
              <w:rPr>
                <w:i/>
              </w:rPr>
            </w:pPr>
            <w:r>
              <w:rPr>
                <w:i/>
              </w:rPr>
              <w:t>write</w:t>
            </w:r>
          </w:p>
        </w:tc>
        <w:tc>
          <w:tcPr>
            <w:tcW w:w="1242" w:type="dxa"/>
            <w:shd w:val="clear" w:color="auto" w:fill="F2DBDB" w:themeFill="accent2" w:themeFillTint="33"/>
          </w:tcPr>
          <w:p w14:paraId="6FFA6C2F" w14:textId="77777777" w:rsidR="0009450B" w:rsidRPr="004F7A3A" w:rsidRDefault="0009450B" w:rsidP="00B4593B">
            <w:pPr>
              <w:jc w:val="center"/>
            </w:pPr>
            <w:r w:rsidRPr="004F7A3A">
              <w:t>fail</w:t>
            </w:r>
          </w:p>
        </w:tc>
        <w:tc>
          <w:tcPr>
            <w:tcW w:w="2124" w:type="dxa"/>
            <w:shd w:val="clear" w:color="auto" w:fill="F2DBDB" w:themeFill="accent2" w:themeFillTint="33"/>
          </w:tcPr>
          <w:p w14:paraId="75153BCF" w14:textId="77777777" w:rsidR="0009450B" w:rsidRPr="004F7A3A" w:rsidRDefault="0009450B" w:rsidP="00B4593B">
            <w:pPr>
              <w:jc w:val="center"/>
            </w:pPr>
            <w:r w:rsidRPr="004F7A3A">
              <w:t>fail</w:t>
            </w:r>
          </w:p>
        </w:tc>
        <w:tc>
          <w:tcPr>
            <w:tcW w:w="2070" w:type="dxa"/>
            <w:shd w:val="clear" w:color="auto" w:fill="F2DBDB" w:themeFill="accent2" w:themeFillTint="33"/>
          </w:tcPr>
          <w:p w14:paraId="4AA47467" w14:textId="01C7726A" w:rsidR="0009450B" w:rsidRPr="004F7A3A" w:rsidRDefault="004F7A3A" w:rsidP="00B4593B">
            <w:pPr>
              <w:jc w:val="center"/>
            </w:pPr>
            <w:r w:rsidRPr="004F7A3A">
              <w:t>fail</w:t>
            </w:r>
          </w:p>
        </w:tc>
        <w:tc>
          <w:tcPr>
            <w:tcW w:w="1476" w:type="dxa"/>
            <w:shd w:val="clear" w:color="auto" w:fill="F2DBDB" w:themeFill="accent2" w:themeFillTint="33"/>
          </w:tcPr>
          <w:p w14:paraId="2212652B" w14:textId="5B7D0FA5" w:rsidR="0009450B" w:rsidRPr="004F7A3A" w:rsidRDefault="004F7A3A" w:rsidP="00B4593B">
            <w:pPr>
              <w:jc w:val="center"/>
            </w:pPr>
            <w:r w:rsidRPr="004F7A3A">
              <w:t>fail</w:t>
            </w:r>
          </w:p>
        </w:tc>
      </w:tr>
      <w:tr w:rsidR="0009450B" w14:paraId="1A9238C5" w14:textId="77777777" w:rsidTr="007C3712">
        <w:tc>
          <w:tcPr>
            <w:tcW w:w="1008" w:type="dxa"/>
            <w:vMerge/>
            <w:tcBorders>
              <w:bottom w:val="nil"/>
            </w:tcBorders>
            <w:shd w:val="clear" w:color="auto" w:fill="auto"/>
          </w:tcPr>
          <w:p w14:paraId="797F6380" w14:textId="77777777" w:rsidR="0009450B" w:rsidRPr="00DA3787" w:rsidRDefault="0009450B" w:rsidP="007D1699">
            <w:pPr>
              <w:rPr>
                <w:b/>
              </w:rPr>
            </w:pPr>
          </w:p>
        </w:tc>
        <w:tc>
          <w:tcPr>
            <w:tcW w:w="2304" w:type="dxa"/>
            <w:shd w:val="pct10" w:color="auto" w:fill="auto"/>
          </w:tcPr>
          <w:p w14:paraId="271917FE" w14:textId="3ACD1B69" w:rsidR="0009450B" w:rsidRPr="00D37E69" w:rsidRDefault="0009450B" w:rsidP="00B4593B">
            <w:pPr>
              <w:jc w:val="center"/>
              <w:rPr>
                <w:i/>
              </w:rPr>
            </w:pPr>
            <w:r w:rsidRPr="00D37E69">
              <w:rPr>
                <w:i/>
              </w:rPr>
              <w:t>SWMR read</w:t>
            </w:r>
          </w:p>
        </w:tc>
        <w:tc>
          <w:tcPr>
            <w:tcW w:w="1242" w:type="dxa"/>
            <w:shd w:val="clear" w:color="auto" w:fill="EAF1DD" w:themeFill="accent3" w:themeFillTint="33"/>
          </w:tcPr>
          <w:p w14:paraId="08BA33BC" w14:textId="67CE1430" w:rsidR="0009450B" w:rsidRPr="004F7A3A" w:rsidRDefault="004F7A3A" w:rsidP="00B4593B">
            <w:pPr>
              <w:jc w:val="center"/>
            </w:pPr>
            <w:r w:rsidRPr="004F7A3A">
              <w:t>succeed</w:t>
            </w:r>
          </w:p>
        </w:tc>
        <w:tc>
          <w:tcPr>
            <w:tcW w:w="2124" w:type="dxa"/>
            <w:shd w:val="clear" w:color="auto" w:fill="F2DBDB" w:themeFill="accent2" w:themeFillTint="33"/>
          </w:tcPr>
          <w:p w14:paraId="6A5F5935" w14:textId="67E9532C" w:rsidR="0009450B" w:rsidRPr="004F7A3A" w:rsidRDefault="004F7A3A" w:rsidP="00B4593B">
            <w:pPr>
              <w:jc w:val="center"/>
            </w:pPr>
            <w:r w:rsidRPr="004F7A3A">
              <w:t>fail</w:t>
            </w:r>
          </w:p>
        </w:tc>
        <w:tc>
          <w:tcPr>
            <w:tcW w:w="2070" w:type="dxa"/>
            <w:shd w:val="clear" w:color="auto" w:fill="EAF1DD" w:themeFill="accent3" w:themeFillTint="33"/>
          </w:tcPr>
          <w:p w14:paraId="66EE4302" w14:textId="77777777" w:rsidR="0009450B" w:rsidRPr="004F7A3A" w:rsidRDefault="0009450B" w:rsidP="00B4593B">
            <w:pPr>
              <w:jc w:val="center"/>
            </w:pPr>
            <w:r w:rsidRPr="004F7A3A">
              <w:t>succeed</w:t>
            </w:r>
          </w:p>
        </w:tc>
        <w:tc>
          <w:tcPr>
            <w:tcW w:w="1476" w:type="dxa"/>
            <w:shd w:val="clear" w:color="auto" w:fill="EAF1DD" w:themeFill="accent3" w:themeFillTint="33"/>
          </w:tcPr>
          <w:p w14:paraId="5D8D8E20" w14:textId="77777777" w:rsidR="0009450B" w:rsidRPr="004F7A3A" w:rsidRDefault="0009450B" w:rsidP="00B4593B">
            <w:pPr>
              <w:jc w:val="center"/>
            </w:pPr>
            <w:r w:rsidRPr="004F7A3A">
              <w:t>succeed</w:t>
            </w:r>
          </w:p>
        </w:tc>
      </w:tr>
      <w:tr w:rsidR="0009450B" w14:paraId="6B354D4D" w14:textId="77777777" w:rsidTr="007C3712">
        <w:trPr>
          <w:trHeight w:val="305"/>
        </w:trPr>
        <w:tc>
          <w:tcPr>
            <w:tcW w:w="1008" w:type="dxa"/>
            <w:vMerge/>
            <w:tcBorders>
              <w:bottom w:val="nil"/>
            </w:tcBorders>
            <w:shd w:val="clear" w:color="auto" w:fill="auto"/>
          </w:tcPr>
          <w:p w14:paraId="76989A8E" w14:textId="77777777" w:rsidR="0009450B" w:rsidRPr="00DA3787" w:rsidRDefault="0009450B" w:rsidP="007D1699">
            <w:pPr>
              <w:rPr>
                <w:b/>
              </w:rPr>
            </w:pPr>
          </w:p>
        </w:tc>
        <w:tc>
          <w:tcPr>
            <w:tcW w:w="2304" w:type="dxa"/>
            <w:shd w:val="pct10" w:color="auto" w:fill="auto"/>
          </w:tcPr>
          <w:p w14:paraId="576E343E" w14:textId="7D28A1BD" w:rsidR="0009450B" w:rsidRPr="00D37E69" w:rsidRDefault="004F7A3A" w:rsidP="00B4593B">
            <w:pPr>
              <w:jc w:val="center"/>
              <w:rPr>
                <w:i/>
              </w:rPr>
            </w:pPr>
            <w:r w:rsidRPr="00D37E69">
              <w:rPr>
                <w:i/>
              </w:rPr>
              <w:t>SWMR write</w:t>
            </w:r>
          </w:p>
        </w:tc>
        <w:tc>
          <w:tcPr>
            <w:tcW w:w="1242" w:type="dxa"/>
            <w:shd w:val="clear" w:color="auto" w:fill="F2DBDB" w:themeFill="accent2" w:themeFillTint="33"/>
          </w:tcPr>
          <w:p w14:paraId="39D715B3" w14:textId="744DB755" w:rsidR="0009450B" w:rsidRPr="004F7A3A" w:rsidRDefault="0009450B" w:rsidP="00B4593B">
            <w:pPr>
              <w:jc w:val="center"/>
            </w:pPr>
            <w:r w:rsidRPr="004F7A3A">
              <w:t>fail</w:t>
            </w:r>
          </w:p>
        </w:tc>
        <w:tc>
          <w:tcPr>
            <w:tcW w:w="2124" w:type="dxa"/>
            <w:shd w:val="clear" w:color="auto" w:fill="F2DBDB" w:themeFill="accent2" w:themeFillTint="33"/>
          </w:tcPr>
          <w:p w14:paraId="0B685271" w14:textId="50C01761" w:rsidR="0009450B" w:rsidRPr="004F7A3A" w:rsidRDefault="0009450B" w:rsidP="00B4593B">
            <w:pPr>
              <w:jc w:val="center"/>
            </w:pPr>
            <w:r w:rsidRPr="004F7A3A">
              <w:t>fail</w:t>
            </w:r>
          </w:p>
        </w:tc>
        <w:tc>
          <w:tcPr>
            <w:tcW w:w="2070" w:type="dxa"/>
            <w:shd w:val="clear" w:color="auto" w:fill="F2DBDB" w:themeFill="accent2" w:themeFillTint="33"/>
          </w:tcPr>
          <w:p w14:paraId="3C2F676F" w14:textId="1AD1B8F0" w:rsidR="0009450B" w:rsidRPr="004F7A3A" w:rsidRDefault="004F7A3A" w:rsidP="00B4593B">
            <w:pPr>
              <w:jc w:val="center"/>
            </w:pPr>
            <w:r w:rsidRPr="004F7A3A">
              <w:t>fail</w:t>
            </w:r>
          </w:p>
        </w:tc>
        <w:tc>
          <w:tcPr>
            <w:tcW w:w="1476" w:type="dxa"/>
            <w:shd w:val="clear" w:color="auto" w:fill="F2DBDB" w:themeFill="accent2" w:themeFillTint="33"/>
          </w:tcPr>
          <w:p w14:paraId="019FD183" w14:textId="7AB08A9A" w:rsidR="0009450B" w:rsidRPr="004F7A3A" w:rsidRDefault="004F7A3A" w:rsidP="00B4593B">
            <w:pPr>
              <w:jc w:val="center"/>
            </w:pPr>
            <w:r w:rsidRPr="004F7A3A">
              <w:t>fail</w:t>
            </w:r>
          </w:p>
        </w:tc>
      </w:tr>
    </w:tbl>
    <w:p w14:paraId="0EFA4DCC" w14:textId="77777777" w:rsidR="007C3712" w:rsidRDefault="007C3712" w:rsidP="0009450B"/>
    <w:p w14:paraId="0CB36874" w14:textId="004730C1" w:rsidR="007D1699" w:rsidRDefault="007D1699" w:rsidP="007C3712">
      <w:pPr>
        <w:pStyle w:val="Heading3"/>
      </w:pPr>
      <w:r>
        <w:t>1</w:t>
      </w:r>
      <w:r w:rsidRPr="00B4593B">
        <w:rPr>
          <w:vertAlign w:val="superscript"/>
        </w:rPr>
        <w:t>st</w:t>
      </w:r>
      <w:r>
        <w:t xml:space="preserve"> </w:t>
      </w:r>
      <w:r w:rsidR="005B44B6">
        <w:t>Open</w:t>
      </w:r>
      <w:r>
        <w:t xml:space="preserve"> 1.10 / 2</w:t>
      </w:r>
      <w:r w:rsidRPr="00B4593B">
        <w:rPr>
          <w:vertAlign w:val="superscript"/>
        </w:rPr>
        <w:t>nd</w:t>
      </w:r>
      <w:r>
        <w:t xml:space="preserve"> </w:t>
      </w:r>
      <w:r w:rsidR="005B44B6">
        <w:t xml:space="preserve">Open </w:t>
      </w:r>
      <w:r>
        <w:t>1.8</w:t>
      </w:r>
      <w:r w:rsidR="009F4877">
        <w:t>.y+</w:t>
      </w:r>
    </w:p>
    <w:tbl>
      <w:tblPr>
        <w:tblStyle w:val="TableGrid"/>
        <w:tblW w:w="10224" w:type="dxa"/>
        <w:tblBorders>
          <w:left w:val="none" w:sz="0" w:space="0" w:color="auto"/>
        </w:tblBorders>
        <w:tblLayout w:type="fixed"/>
        <w:tblLook w:val="04A0" w:firstRow="1" w:lastRow="0" w:firstColumn="1" w:lastColumn="0" w:noHBand="0" w:noVBand="1"/>
      </w:tblPr>
      <w:tblGrid>
        <w:gridCol w:w="1008"/>
        <w:gridCol w:w="2304"/>
        <w:gridCol w:w="1242"/>
        <w:gridCol w:w="2124"/>
        <w:gridCol w:w="2070"/>
        <w:gridCol w:w="1476"/>
      </w:tblGrid>
      <w:tr w:rsidR="007D1699" w14:paraId="26E66EC0" w14:textId="77777777" w:rsidTr="007D1699">
        <w:tc>
          <w:tcPr>
            <w:tcW w:w="1008" w:type="dxa"/>
            <w:vMerge w:val="restart"/>
            <w:tcBorders>
              <w:top w:val="nil"/>
              <w:right w:val="nil"/>
            </w:tcBorders>
          </w:tcPr>
          <w:p w14:paraId="59BAF4EB" w14:textId="77777777" w:rsidR="007D1699" w:rsidRPr="00DA3787" w:rsidRDefault="007D1699" w:rsidP="007D1699">
            <w:pPr>
              <w:rPr>
                <w:rFonts w:cs="Consolas"/>
              </w:rPr>
            </w:pPr>
          </w:p>
        </w:tc>
        <w:tc>
          <w:tcPr>
            <w:tcW w:w="2304" w:type="dxa"/>
            <w:tcBorders>
              <w:top w:val="nil"/>
              <w:left w:val="nil"/>
              <w:right w:val="nil"/>
            </w:tcBorders>
          </w:tcPr>
          <w:p w14:paraId="7452BFD9" w14:textId="77777777" w:rsidR="007D1699" w:rsidRPr="00DA3787" w:rsidRDefault="007D1699" w:rsidP="007D1699">
            <w:pPr>
              <w:rPr>
                <w:rFonts w:cs="Consolas"/>
              </w:rPr>
            </w:pPr>
          </w:p>
        </w:tc>
        <w:tc>
          <w:tcPr>
            <w:tcW w:w="6912" w:type="dxa"/>
            <w:gridSpan w:val="4"/>
            <w:tcBorders>
              <w:top w:val="nil"/>
              <w:left w:val="nil"/>
              <w:right w:val="nil"/>
            </w:tcBorders>
            <w:shd w:val="clear" w:color="auto" w:fill="auto"/>
          </w:tcPr>
          <w:p w14:paraId="2596D7ED" w14:textId="2D04E9F7" w:rsidR="007D1699" w:rsidRPr="00DA3787" w:rsidRDefault="007C3712" w:rsidP="007D1699">
            <w:pPr>
              <w:jc w:val="center"/>
              <w:rPr>
                <w:b/>
                <w:i/>
              </w:rPr>
            </w:pPr>
            <w:r>
              <w:rPr>
                <w:b/>
                <w:i/>
              </w:rPr>
              <w:t xml:space="preserve">First Open/Create </w:t>
            </w:r>
            <w:r w:rsidR="004C4D71">
              <w:rPr>
                <w:b/>
                <w:i/>
              </w:rPr>
              <w:t>(1.10)</w:t>
            </w:r>
          </w:p>
        </w:tc>
      </w:tr>
      <w:tr w:rsidR="007D1699" w14:paraId="387722EC" w14:textId="77777777" w:rsidTr="007D1699">
        <w:tc>
          <w:tcPr>
            <w:tcW w:w="1008" w:type="dxa"/>
            <w:vMerge/>
            <w:tcBorders>
              <w:bottom w:val="nil"/>
            </w:tcBorders>
          </w:tcPr>
          <w:p w14:paraId="71337272" w14:textId="77777777" w:rsidR="007D1699" w:rsidRPr="00DA3787" w:rsidRDefault="007D1699" w:rsidP="007D1699">
            <w:pPr>
              <w:rPr>
                <w:rFonts w:cs="Consolas"/>
              </w:rPr>
            </w:pPr>
          </w:p>
        </w:tc>
        <w:tc>
          <w:tcPr>
            <w:tcW w:w="2304" w:type="dxa"/>
          </w:tcPr>
          <w:p w14:paraId="5DBA702E" w14:textId="77777777" w:rsidR="007D1699" w:rsidRPr="002658E5" w:rsidRDefault="007D1699" w:rsidP="007D1699">
            <w:pPr>
              <w:jc w:val="center"/>
              <w:rPr>
                <w:rFonts w:cs="Consolas"/>
                <w:i/>
              </w:rPr>
            </w:pPr>
            <w:r>
              <w:rPr>
                <w:rFonts w:cs="Consolas"/>
                <w:i/>
              </w:rPr>
              <w:t xml:space="preserve">file open </w:t>
            </w:r>
            <w:r w:rsidRPr="002658E5">
              <w:rPr>
                <w:rFonts w:cs="Consolas"/>
                <w:i/>
              </w:rPr>
              <w:t>access flags</w:t>
            </w:r>
          </w:p>
        </w:tc>
        <w:tc>
          <w:tcPr>
            <w:tcW w:w="1242" w:type="dxa"/>
            <w:shd w:val="pct10" w:color="auto" w:fill="auto"/>
          </w:tcPr>
          <w:p w14:paraId="546E7CC9" w14:textId="61C237B8" w:rsidR="007D1699" w:rsidRPr="00D37E69" w:rsidRDefault="004F7A3A" w:rsidP="007D1699">
            <w:pPr>
              <w:jc w:val="center"/>
              <w:rPr>
                <w:i/>
              </w:rPr>
            </w:pPr>
            <w:r>
              <w:rPr>
                <w:i/>
              </w:rPr>
              <w:t>read</w:t>
            </w:r>
          </w:p>
        </w:tc>
        <w:tc>
          <w:tcPr>
            <w:tcW w:w="2124" w:type="dxa"/>
            <w:shd w:val="pct10" w:color="auto" w:fill="auto"/>
          </w:tcPr>
          <w:p w14:paraId="2DB61053" w14:textId="72E07EC2" w:rsidR="007D1699" w:rsidRPr="00D37E69" w:rsidRDefault="007D1699" w:rsidP="007D1699">
            <w:pPr>
              <w:jc w:val="center"/>
              <w:rPr>
                <w:i/>
              </w:rPr>
            </w:pPr>
            <w:r w:rsidRPr="00D37E69">
              <w:rPr>
                <w:i/>
              </w:rPr>
              <w:t>write</w:t>
            </w:r>
          </w:p>
        </w:tc>
        <w:tc>
          <w:tcPr>
            <w:tcW w:w="2070" w:type="dxa"/>
            <w:shd w:val="pct10" w:color="auto" w:fill="auto"/>
          </w:tcPr>
          <w:p w14:paraId="3C9D09CF" w14:textId="77777777" w:rsidR="007D1699" w:rsidRPr="00D37E69" w:rsidRDefault="007D1699" w:rsidP="007D1699">
            <w:pPr>
              <w:jc w:val="center"/>
              <w:rPr>
                <w:i/>
              </w:rPr>
            </w:pPr>
            <w:r w:rsidRPr="00D37E69">
              <w:rPr>
                <w:i/>
              </w:rPr>
              <w:t>SWMR read</w:t>
            </w:r>
          </w:p>
        </w:tc>
        <w:tc>
          <w:tcPr>
            <w:tcW w:w="1476" w:type="dxa"/>
            <w:shd w:val="pct10" w:color="auto" w:fill="auto"/>
          </w:tcPr>
          <w:p w14:paraId="6F8E12E1" w14:textId="296BCE6A" w:rsidR="007D1699" w:rsidRPr="00D37E69" w:rsidRDefault="004F7A3A" w:rsidP="007D1699">
            <w:pPr>
              <w:jc w:val="center"/>
              <w:rPr>
                <w:i/>
              </w:rPr>
            </w:pPr>
            <w:r>
              <w:rPr>
                <w:i/>
              </w:rPr>
              <w:t>SWMR write</w:t>
            </w:r>
          </w:p>
        </w:tc>
      </w:tr>
      <w:tr w:rsidR="007D1699" w14:paraId="1D83D87B" w14:textId="77777777" w:rsidTr="007C3712">
        <w:tc>
          <w:tcPr>
            <w:tcW w:w="1008" w:type="dxa"/>
            <w:vMerge w:val="restart"/>
            <w:tcBorders>
              <w:top w:val="nil"/>
              <w:bottom w:val="nil"/>
            </w:tcBorders>
            <w:shd w:val="clear" w:color="auto" w:fill="auto"/>
          </w:tcPr>
          <w:p w14:paraId="4D8381D7" w14:textId="77777777" w:rsidR="007D1699" w:rsidRDefault="007D1699" w:rsidP="007C3712">
            <w:pPr>
              <w:jc w:val="center"/>
              <w:rPr>
                <w:b/>
                <w:i/>
              </w:rPr>
            </w:pPr>
          </w:p>
          <w:p w14:paraId="5A858340" w14:textId="62237B38" w:rsidR="007D1699" w:rsidRPr="00011E74" w:rsidRDefault="007C3712" w:rsidP="007C3712">
            <w:pPr>
              <w:jc w:val="center"/>
              <w:rPr>
                <w:b/>
                <w:i/>
              </w:rPr>
            </w:pPr>
            <w:r>
              <w:rPr>
                <w:b/>
                <w:i/>
              </w:rPr>
              <w:t xml:space="preserve">Second </w:t>
            </w:r>
            <w:r w:rsidRPr="00DA3787">
              <w:rPr>
                <w:b/>
                <w:i/>
              </w:rPr>
              <w:t>Open</w:t>
            </w:r>
            <w:r>
              <w:rPr>
                <w:b/>
                <w:i/>
              </w:rPr>
              <w:t xml:space="preserve"> </w:t>
            </w:r>
            <w:r w:rsidR="004C4D71">
              <w:rPr>
                <w:b/>
                <w:i/>
              </w:rPr>
              <w:t>(1.8.y+)</w:t>
            </w:r>
          </w:p>
        </w:tc>
        <w:tc>
          <w:tcPr>
            <w:tcW w:w="2304" w:type="dxa"/>
            <w:shd w:val="pct10" w:color="auto" w:fill="auto"/>
          </w:tcPr>
          <w:p w14:paraId="4F0920E4" w14:textId="063AF534" w:rsidR="007D1699" w:rsidRPr="00D37E69" w:rsidRDefault="004F7A3A" w:rsidP="007D1699">
            <w:pPr>
              <w:jc w:val="center"/>
              <w:rPr>
                <w:i/>
              </w:rPr>
            </w:pPr>
            <w:r>
              <w:rPr>
                <w:i/>
              </w:rPr>
              <w:t>read</w:t>
            </w:r>
          </w:p>
        </w:tc>
        <w:tc>
          <w:tcPr>
            <w:tcW w:w="1242" w:type="dxa"/>
            <w:shd w:val="clear" w:color="auto" w:fill="EAF1DD" w:themeFill="accent3" w:themeFillTint="33"/>
          </w:tcPr>
          <w:p w14:paraId="2C3FA139" w14:textId="1EDD87E9" w:rsidR="007D1699" w:rsidRPr="00DA3787" w:rsidRDefault="004F7A3A" w:rsidP="007D1699">
            <w:pPr>
              <w:jc w:val="center"/>
            </w:pPr>
            <w:r w:rsidRPr="00DA3787">
              <w:t>succeed</w:t>
            </w:r>
          </w:p>
        </w:tc>
        <w:tc>
          <w:tcPr>
            <w:tcW w:w="2124" w:type="dxa"/>
            <w:shd w:val="clear" w:color="auto" w:fill="F2DBDB" w:themeFill="accent2" w:themeFillTint="33"/>
          </w:tcPr>
          <w:p w14:paraId="2018CBBF" w14:textId="24D02029" w:rsidR="007D1699" w:rsidRPr="00DA3787" w:rsidRDefault="00A3185F" w:rsidP="007D1699">
            <w:pPr>
              <w:jc w:val="center"/>
            </w:pPr>
            <w:r>
              <w:t>fail</w:t>
            </w:r>
          </w:p>
        </w:tc>
        <w:tc>
          <w:tcPr>
            <w:tcW w:w="2070" w:type="dxa"/>
            <w:shd w:val="clear" w:color="auto" w:fill="EAF1DD" w:themeFill="accent3" w:themeFillTint="33"/>
          </w:tcPr>
          <w:p w14:paraId="724D0F2A" w14:textId="33B3BC14" w:rsidR="007D1699" w:rsidRPr="00DA3787" w:rsidRDefault="004F7A3A" w:rsidP="007D1699">
            <w:pPr>
              <w:jc w:val="center"/>
            </w:pPr>
            <w:r w:rsidRPr="007C3712">
              <w:rPr>
                <w:shd w:val="clear" w:color="auto" w:fill="EAF1DD" w:themeFill="accent3" w:themeFillTint="33"/>
              </w:rPr>
              <w:t>succeed</w:t>
            </w:r>
          </w:p>
        </w:tc>
        <w:tc>
          <w:tcPr>
            <w:tcW w:w="1476" w:type="dxa"/>
            <w:shd w:val="clear" w:color="auto" w:fill="F2DBDB" w:themeFill="accent2" w:themeFillTint="33"/>
          </w:tcPr>
          <w:p w14:paraId="114BA19E" w14:textId="2C67C499" w:rsidR="007D1699" w:rsidRPr="00DA3787" w:rsidRDefault="00CC3B96" w:rsidP="007D1699">
            <w:pPr>
              <w:jc w:val="center"/>
            </w:pPr>
            <w:r w:rsidRPr="00DA3787">
              <w:t>fail</w:t>
            </w:r>
          </w:p>
        </w:tc>
      </w:tr>
      <w:tr w:rsidR="007D1699" w14:paraId="2AD0DE52" w14:textId="77777777" w:rsidTr="007C3712">
        <w:tc>
          <w:tcPr>
            <w:tcW w:w="1008" w:type="dxa"/>
            <w:vMerge/>
            <w:tcBorders>
              <w:bottom w:val="nil"/>
            </w:tcBorders>
            <w:shd w:val="clear" w:color="auto" w:fill="auto"/>
          </w:tcPr>
          <w:p w14:paraId="6614B55B" w14:textId="77777777" w:rsidR="007D1699" w:rsidRPr="00DA3787" w:rsidRDefault="007D1699" w:rsidP="007D1699">
            <w:pPr>
              <w:rPr>
                <w:b/>
              </w:rPr>
            </w:pPr>
          </w:p>
        </w:tc>
        <w:tc>
          <w:tcPr>
            <w:tcW w:w="2304" w:type="dxa"/>
            <w:shd w:val="pct10" w:color="auto" w:fill="auto"/>
          </w:tcPr>
          <w:p w14:paraId="437E599F" w14:textId="11431B38" w:rsidR="007D1699" w:rsidRPr="00D37E69" w:rsidRDefault="007D1699" w:rsidP="007D1699">
            <w:pPr>
              <w:jc w:val="center"/>
              <w:rPr>
                <w:i/>
              </w:rPr>
            </w:pPr>
            <w:r w:rsidRPr="00D37E69">
              <w:rPr>
                <w:i/>
              </w:rPr>
              <w:t>write</w:t>
            </w:r>
          </w:p>
        </w:tc>
        <w:tc>
          <w:tcPr>
            <w:tcW w:w="1242" w:type="dxa"/>
            <w:shd w:val="clear" w:color="auto" w:fill="F2DBDB" w:themeFill="accent2" w:themeFillTint="33"/>
          </w:tcPr>
          <w:p w14:paraId="61410260" w14:textId="5677DF8D" w:rsidR="007D1699" w:rsidRPr="004F7A3A" w:rsidRDefault="004F7A3A" w:rsidP="007D1699">
            <w:pPr>
              <w:jc w:val="center"/>
            </w:pPr>
            <w:r w:rsidRPr="00DA3787">
              <w:t>fail</w:t>
            </w:r>
            <w:r w:rsidRPr="004F7A3A" w:rsidDel="004F7A3A">
              <w:t xml:space="preserve"> </w:t>
            </w:r>
          </w:p>
        </w:tc>
        <w:tc>
          <w:tcPr>
            <w:tcW w:w="2124" w:type="dxa"/>
            <w:shd w:val="clear" w:color="auto" w:fill="F2DBDB" w:themeFill="accent2" w:themeFillTint="33"/>
          </w:tcPr>
          <w:p w14:paraId="16050002" w14:textId="4FC80481" w:rsidR="007D1699" w:rsidRPr="004F7A3A" w:rsidRDefault="004F7A3A" w:rsidP="007D1699">
            <w:pPr>
              <w:jc w:val="center"/>
            </w:pPr>
            <w:r w:rsidRPr="00DA3787">
              <w:t>fail</w:t>
            </w:r>
            <w:r w:rsidRPr="004F7A3A" w:rsidDel="004F7A3A">
              <w:t xml:space="preserve"> </w:t>
            </w:r>
          </w:p>
        </w:tc>
        <w:tc>
          <w:tcPr>
            <w:tcW w:w="2070" w:type="dxa"/>
            <w:shd w:val="clear" w:color="auto" w:fill="F2DBDB" w:themeFill="accent2" w:themeFillTint="33"/>
          </w:tcPr>
          <w:p w14:paraId="58DE0C1D" w14:textId="4761B25D" w:rsidR="007D1699" w:rsidRPr="004F7A3A" w:rsidRDefault="004F7A3A" w:rsidP="007D1699">
            <w:pPr>
              <w:jc w:val="center"/>
            </w:pPr>
            <w:r w:rsidRPr="00DA3787">
              <w:t>fail</w:t>
            </w:r>
            <w:r w:rsidRPr="004F7A3A" w:rsidDel="004F7A3A">
              <w:t xml:space="preserve"> </w:t>
            </w:r>
          </w:p>
        </w:tc>
        <w:tc>
          <w:tcPr>
            <w:tcW w:w="1476" w:type="dxa"/>
            <w:shd w:val="clear" w:color="auto" w:fill="F2DBDB" w:themeFill="accent2" w:themeFillTint="33"/>
          </w:tcPr>
          <w:p w14:paraId="5983A800" w14:textId="0A046A09" w:rsidR="007D1699" w:rsidRPr="004F7A3A" w:rsidRDefault="004F7A3A" w:rsidP="007D1699">
            <w:pPr>
              <w:jc w:val="center"/>
            </w:pPr>
            <w:r w:rsidRPr="00DA3787">
              <w:t>fail</w:t>
            </w:r>
            <w:r w:rsidRPr="004F7A3A" w:rsidDel="004F7A3A">
              <w:t xml:space="preserve"> </w:t>
            </w:r>
          </w:p>
        </w:tc>
      </w:tr>
      <w:tr w:rsidR="007D1699" w14:paraId="65634DA8" w14:textId="77777777" w:rsidTr="007C3712">
        <w:tc>
          <w:tcPr>
            <w:tcW w:w="1008" w:type="dxa"/>
            <w:vMerge/>
            <w:tcBorders>
              <w:bottom w:val="nil"/>
            </w:tcBorders>
            <w:shd w:val="clear" w:color="auto" w:fill="auto"/>
          </w:tcPr>
          <w:p w14:paraId="29EDACDB" w14:textId="77777777" w:rsidR="007D1699" w:rsidRPr="00DA3787" w:rsidRDefault="007D1699" w:rsidP="007D1699">
            <w:pPr>
              <w:rPr>
                <w:b/>
              </w:rPr>
            </w:pPr>
          </w:p>
        </w:tc>
        <w:tc>
          <w:tcPr>
            <w:tcW w:w="2304" w:type="dxa"/>
            <w:shd w:val="pct10" w:color="auto" w:fill="auto"/>
          </w:tcPr>
          <w:p w14:paraId="1E0D28D3" w14:textId="77777777" w:rsidR="007D1699" w:rsidRPr="00D37E69" w:rsidRDefault="007D1699" w:rsidP="007D1699">
            <w:pPr>
              <w:jc w:val="center"/>
              <w:rPr>
                <w:i/>
              </w:rPr>
            </w:pPr>
            <w:r w:rsidRPr="00D37E69">
              <w:rPr>
                <w:i/>
              </w:rPr>
              <w:t>SWMR read</w:t>
            </w:r>
          </w:p>
        </w:tc>
        <w:tc>
          <w:tcPr>
            <w:tcW w:w="1242" w:type="dxa"/>
            <w:shd w:val="clear" w:color="auto" w:fill="F2F2F2" w:themeFill="background1" w:themeFillShade="F2"/>
          </w:tcPr>
          <w:p w14:paraId="79E3E344" w14:textId="33629BEE" w:rsidR="007D1699" w:rsidRPr="004F7A3A" w:rsidRDefault="00A3185F" w:rsidP="007D1699">
            <w:pPr>
              <w:jc w:val="center"/>
            </w:pPr>
            <w:r w:rsidRPr="004F7A3A">
              <w:t>N/A</w:t>
            </w:r>
          </w:p>
        </w:tc>
        <w:tc>
          <w:tcPr>
            <w:tcW w:w="2124" w:type="dxa"/>
            <w:shd w:val="clear" w:color="auto" w:fill="F2F2F2" w:themeFill="background1" w:themeFillShade="F2"/>
          </w:tcPr>
          <w:p w14:paraId="3692A5E2" w14:textId="54006486" w:rsidR="007D1699" w:rsidRPr="004F7A3A" w:rsidRDefault="00A3185F" w:rsidP="007D1699">
            <w:pPr>
              <w:jc w:val="center"/>
            </w:pPr>
            <w:r w:rsidRPr="004F7A3A">
              <w:t>N/A</w:t>
            </w:r>
          </w:p>
        </w:tc>
        <w:tc>
          <w:tcPr>
            <w:tcW w:w="2070" w:type="dxa"/>
            <w:shd w:val="clear" w:color="auto" w:fill="F2F2F2" w:themeFill="background1" w:themeFillShade="F2"/>
          </w:tcPr>
          <w:p w14:paraId="32F2A472" w14:textId="48B44A89" w:rsidR="007D1699" w:rsidRPr="004F7A3A" w:rsidRDefault="00A3185F" w:rsidP="007D1699">
            <w:pPr>
              <w:jc w:val="center"/>
            </w:pPr>
            <w:r w:rsidRPr="004F7A3A">
              <w:t>N/A</w:t>
            </w:r>
          </w:p>
        </w:tc>
        <w:tc>
          <w:tcPr>
            <w:tcW w:w="1476" w:type="dxa"/>
            <w:shd w:val="clear" w:color="auto" w:fill="F2F2F2" w:themeFill="background1" w:themeFillShade="F2"/>
          </w:tcPr>
          <w:p w14:paraId="219B7EFC" w14:textId="479C54EB" w:rsidR="007D1699" w:rsidRPr="004F7A3A" w:rsidRDefault="00A3185F" w:rsidP="007D1699">
            <w:pPr>
              <w:jc w:val="center"/>
            </w:pPr>
            <w:r w:rsidRPr="004F7A3A">
              <w:t>N/A</w:t>
            </w:r>
          </w:p>
        </w:tc>
      </w:tr>
      <w:tr w:rsidR="007D1699" w14:paraId="62199E3B" w14:textId="77777777" w:rsidTr="007C3712">
        <w:trPr>
          <w:trHeight w:val="305"/>
        </w:trPr>
        <w:tc>
          <w:tcPr>
            <w:tcW w:w="1008" w:type="dxa"/>
            <w:vMerge/>
            <w:tcBorders>
              <w:bottom w:val="nil"/>
            </w:tcBorders>
            <w:shd w:val="clear" w:color="auto" w:fill="auto"/>
          </w:tcPr>
          <w:p w14:paraId="2DA70425" w14:textId="77777777" w:rsidR="007D1699" w:rsidRPr="00DA3787" w:rsidRDefault="007D1699" w:rsidP="007D1699">
            <w:pPr>
              <w:rPr>
                <w:b/>
              </w:rPr>
            </w:pPr>
          </w:p>
        </w:tc>
        <w:tc>
          <w:tcPr>
            <w:tcW w:w="2304" w:type="dxa"/>
            <w:shd w:val="pct10" w:color="auto" w:fill="auto"/>
          </w:tcPr>
          <w:p w14:paraId="7B56B84F" w14:textId="6664A359" w:rsidR="007D1699" w:rsidRPr="00D37E69" w:rsidRDefault="004F7A3A" w:rsidP="007D1699">
            <w:pPr>
              <w:jc w:val="center"/>
              <w:rPr>
                <w:i/>
              </w:rPr>
            </w:pPr>
            <w:r>
              <w:rPr>
                <w:i/>
              </w:rPr>
              <w:t>SWMR write</w:t>
            </w:r>
          </w:p>
        </w:tc>
        <w:tc>
          <w:tcPr>
            <w:tcW w:w="1242" w:type="dxa"/>
            <w:shd w:val="clear" w:color="auto" w:fill="F2F2F2" w:themeFill="background1" w:themeFillShade="F2"/>
          </w:tcPr>
          <w:p w14:paraId="48E9A9BB" w14:textId="3DDB837F" w:rsidR="007D1699" w:rsidRPr="00DA3787" w:rsidRDefault="004F7A3A" w:rsidP="007D1699">
            <w:pPr>
              <w:jc w:val="center"/>
            </w:pPr>
            <w:r w:rsidRPr="004D5108">
              <w:t>N/A</w:t>
            </w:r>
          </w:p>
        </w:tc>
        <w:tc>
          <w:tcPr>
            <w:tcW w:w="2124" w:type="dxa"/>
            <w:shd w:val="clear" w:color="auto" w:fill="F2F2F2" w:themeFill="background1" w:themeFillShade="F2"/>
          </w:tcPr>
          <w:p w14:paraId="47214EAA" w14:textId="295063C6" w:rsidR="007D1699" w:rsidRPr="00DA3787" w:rsidRDefault="004F7A3A" w:rsidP="007D1699">
            <w:pPr>
              <w:jc w:val="center"/>
            </w:pPr>
            <w:r w:rsidRPr="004D5108">
              <w:t>N/A</w:t>
            </w:r>
          </w:p>
        </w:tc>
        <w:tc>
          <w:tcPr>
            <w:tcW w:w="2070" w:type="dxa"/>
            <w:shd w:val="clear" w:color="auto" w:fill="F2F2F2" w:themeFill="background1" w:themeFillShade="F2"/>
          </w:tcPr>
          <w:p w14:paraId="63D3A087" w14:textId="0C106518" w:rsidR="007D1699" w:rsidRPr="00DA3787" w:rsidRDefault="004F7A3A" w:rsidP="007D1699">
            <w:pPr>
              <w:jc w:val="center"/>
            </w:pPr>
            <w:r w:rsidRPr="004D5108">
              <w:t>N/A</w:t>
            </w:r>
          </w:p>
        </w:tc>
        <w:tc>
          <w:tcPr>
            <w:tcW w:w="1476" w:type="dxa"/>
            <w:shd w:val="clear" w:color="auto" w:fill="F2F2F2" w:themeFill="background1" w:themeFillShade="F2"/>
          </w:tcPr>
          <w:p w14:paraId="48C253E7" w14:textId="6C030C1A" w:rsidR="007D1699" w:rsidRPr="00DA3787" w:rsidRDefault="004F7A3A" w:rsidP="007D1699">
            <w:pPr>
              <w:jc w:val="center"/>
            </w:pPr>
            <w:r w:rsidRPr="004D5108">
              <w:t>N/A</w:t>
            </w:r>
          </w:p>
        </w:tc>
      </w:tr>
    </w:tbl>
    <w:p w14:paraId="296E6F5F" w14:textId="77777777" w:rsidR="007D1699" w:rsidRDefault="007D1699" w:rsidP="0009450B"/>
    <w:p w14:paraId="0A71F9E4" w14:textId="77777777" w:rsidR="007C3712" w:rsidRDefault="007C3712">
      <w:pPr>
        <w:spacing w:after="0"/>
        <w:rPr>
          <w:rFonts w:asciiTheme="majorHAnsi" w:eastAsiaTheme="majorEastAsia" w:hAnsiTheme="majorHAnsi" w:cstheme="majorBidi"/>
          <w:b/>
          <w:bCs/>
          <w:color w:val="000000" w:themeColor="text1"/>
        </w:rPr>
      </w:pPr>
      <w:r>
        <w:br w:type="page"/>
      </w:r>
    </w:p>
    <w:p w14:paraId="6D5C9ABE" w14:textId="4625FC2F" w:rsidR="009F4877" w:rsidRDefault="009F4877" w:rsidP="007C3712">
      <w:pPr>
        <w:pStyle w:val="Heading3"/>
      </w:pPr>
      <w:r>
        <w:lastRenderedPageBreak/>
        <w:t>1</w:t>
      </w:r>
      <w:r w:rsidRPr="00B4593B">
        <w:rPr>
          <w:vertAlign w:val="superscript"/>
        </w:rPr>
        <w:t>st</w:t>
      </w:r>
      <w:r>
        <w:t xml:space="preserve"> </w:t>
      </w:r>
      <w:r w:rsidR="005B44B6">
        <w:t xml:space="preserve">Open </w:t>
      </w:r>
      <w:r>
        <w:t>1.8.y+ / 2</w:t>
      </w:r>
      <w:r w:rsidRPr="00B4593B">
        <w:rPr>
          <w:vertAlign w:val="superscript"/>
        </w:rPr>
        <w:t>nd</w:t>
      </w:r>
      <w:r>
        <w:t xml:space="preserve"> </w:t>
      </w:r>
      <w:r w:rsidR="005B44B6">
        <w:t xml:space="preserve">Open </w:t>
      </w:r>
      <w:r>
        <w:t>1.10</w:t>
      </w:r>
    </w:p>
    <w:tbl>
      <w:tblPr>
        <w:tblStyle w:val="TableGrid"/>
        <w:tblW w:w="10224" w:type="dxa"/>
        <w:tblBorders>
          <w:left w:val="none" w:sz="0" w:space="0" w:color="auto"/>
        </w:tblBorders>
        <w:tblLayout w:type="fixed"/>
        <w:tblLook w:val="04A0" w:firstRow="1" w:lastRow="0" w:firstColumn="1" w:lastColumn="0" w:noHBand="0" w:noVBand="1"/>
      </w:tblPr>
      <w:tblGrid>
        <w:gridCol w:w="1008"/>
        <w:gridCol w:w="2304"/>
        <w:gridCol w:w="1242"/>
        <w:gridCol w:w="2124"/>
        <w:gridCol w:w="2070"/>
        <w:gridCol w:w="1476"/>
      </w:tblGrid>
      <w:tr w:rsidR="009F4877" w14:paraId="5EB63AE5" w14:textId="77777777" w:rsidTr="00C91AC3">
        <w:tc>
          <w:tcPr>
            <w:tcW w:w="1008" w:type="dxa"/>
            <w:vMerge w:val="restart"/>
            <w:tcBorders>
              <w:top w:val="nil"/>
              <w:right w:val="nil"/>
            </w:tcBorders>
          </w:tcPr>
          <w:p w14:paraId="14A94CA8" w14:textId="77777777" w:rsidR="009F4877" w:rsidRPr="00DA3787" w:rsidRDefault="009F4877" w:rsidP="00C91AC3">
            <w:pPr>
              <w:rPr>
                <w:rFonts w:cs="Consolas"/>
              </w:rPr>
            </w:pPr>
          </w:p>
        </w:tc>
        <w:tc>
          <w:tcPr>
            <w:tcW w:w="2304" w:type="dxa"/>
            <w:tcBorders>
              <w:top w:val="nil"/>
              <w:left w:val="nil"/>
              <w:right w:val="nil"/>
            </w:tcBorders>
          </w:tcPr>
          <w:p w14:paraId="3DEE9695" w14:textId="77777777" w:rsidR="009F4877" w:rsidRPr="00DA3787" w:rsidRDefault="009F4877" w:rsidP="00C91AC3">
            <w:pPr>
              <w:rPr>
                <w:rFonts w:cs="Consolas"/>
              </w:rPr>
            </w:pPr>
          </w:p>
        </w:tc>
        <w:tc>
          <w:tcPr>
            <w:tcW w:w="6912" w:type="dxa"/>
            <w:gridSpan w:val="4"/>
            <w:tcBorders>
              <w:top w:val="nil"/>
              <w:left w:val="nil"/>
              <w:right w:val="nil"/>
            </w:tcBorders>
            <w:shd w:val="clear" w:color="auto" w:fill="auto"/>
          </w:tcPr>
          <w:p w14:paraId="0513ABE6" w14:textId="19AF58DA" w:rsidR="009F4877" w:rsidRPr="00DA3787" w:rsidRDefault="007C3712" w:rsidP="00C91AC3">
            <w:pPr>
              <w:jc w:val="center"/>
              <w:rPr>
                <w:b/>
                <w:i/>
              </w:rPr>
            </w:pPr>
            <w:r>
              <w:rPr>
                <w:b/>
                <w:i/>
              </w:rPr>
              <w:t>First Open</w:t>
            </w:r>
            <w:r w:rsidR="004F7A3A">
              <w:rPr>
                <w:b/>
                <w:i/>
              </w:rPr>
              <w:t>/</w:t>
            </w:r>
            <w:r>
              <w:rPr>
                <w:b/>
                <w:i/>
              </w:rPr>
              <w:t xml:space="preserve">Create </w:t>
            </w:r>
            <w:r w:rsidR="004C4D71">
              <w:rPr>
                <w:b/>
                <w:i/>
              </w:rPr>
              <w:t>(1.8.y+)</w:t>
            </w:r>
          </w:p>
        </w:tc>
      </w:tr>
      <w:tr w:rsidR="009F4877" w14:paraId="715E4598" w14:textId="77777777" w:rsidTr="00C91AC3">
        <w:tc>
          <w:tcPr>
            <w:tcW w:w="1008" w:type="dxa"/>
            <w:vMerge/>
            <w:tcBorders>
              <w:bottom w:val="nil"/>
            </w:tcBorders>
          </w:tcPr>
          <w:p w14:paraId="0FFE40B5" w14:textId="77777777" w:rsidR="009F4877" w:rsidRPr="00DA3787" w:rsidRDefault="009F4877" w:rsidP="00C91AC3">
            <w:pPr>
              <w:rPr>
                <w:rFonts w:cs="Consolas"/>
              </w:rPr>
            </w:pPr>
          </w:p>
        </w:tc>
        <w:tc>
          <w:tcPr>
            <w:tcW w:w="2304" w:type="dxa"/>
          </w:tcPr>
          <w:p w14:paraId="2805073E" w14:textId="77777777" w:rsidR="009F4877" w:rsidRPr="002658E5" w:rsidRDefault="009F4877" w:rsidP="00C91AC3">
            <w:pPr>
              <w:jc w:val="center"/>
              <w:rPr>
                <w:rFonts w:cs="Consolas"/>
                <w:i/>
              </w:rPr>
            </w:pPr>
            <w:r>
              <w:rPr>
                <w:rFonts w:cs="Consolas"/>
                <w:i/>
              </w:rPr>
              <w:t xml:space="preserve">file open </w:t>
            </w:r>
            <w:r w:rsidRPr="002658E5">
              <w:rPr>
                <w:rFonts w:cs="Consolas"/>
                <w:i/>
              </w:rPr>
              <w:t>access flags</w:t>
            </w:r>
          </w:p>
        </w:tc>
        <w:tc>
          <w:tcPr>
            <w:tcW w:w="1242" w:type="dxa"/>
            <w:shd w:val="pct10" w:color="auto" w:fill="auto"/>
          </w:tcPr>
          <w:p w14:paraId="63F3A4CC" w14:textId="4BF43F1A" w:rsidR="009F4877" w:rsidRPr="00D37E69" w:rsidRDefault="008E1F8C" w:rsidP="00C91AC3">
            <w:pPr>
              <w:jc w:val="center"/>
              <w:rPr>
                <w:i/>
              </w:rPr>
            </w:pPr>
            <w:r>
              <w:rPr>
                <w:i/>
              </w:rPr>
              <w:t>read</w:t>
            </w:r>
          </w:p>
        </w:tc>
        <w:tc>
          <w:tcPr>
            <w:tcW w:w="2124" w:type="dxa"/>
            <w:shd w:val="pct10" w:color="auto" w:fill="auto"/>
          </w:tcPr>
          <w:p w14:paraId="150606B2" w14:textId="74259372" w:rsidR="009F4877" w:rsidRPr="00D37E69" w:rsidRDefault="009F4877" w:rsidP="00C91AC3">
            <w:pPr>
              <w:jc w:val="center"/>
              <w:rPr>
                <w:i/>
              </w:rPr>
            </w:pPr>
            <w:r w:rsidRPr="00D37E69">
              <w:rPr>
                <w:i/>
              </w:rPr>
              <w:t>write</w:t>
            </w:r>
          </w:p>
        </w:tc>
        <w:tc>
          <w:tcPr>
            <w:tcW w:w="2070" w:type="dxa"/>
            <w:shd w:val="pct10" w:color="auto" w:fill="auto"/>
          </w:tcPr>
          <w:p w14:paraId="233B9350" w14:textId="77777777" w:rsidR="009F4877" w:rsidRPr="00D37E69" w:rsidRDefault="009F4877" w:rsidP="00C91AC3">
            <w:pPr>
              <w:jc w:val="center"/>
              <w:rPr>
                <w:i/>
              </w:rPr>
            </w:pPr>
            <w:r w:rsidRPr="00D37E69">
              <w:rPr>
                <w:i/>
              </w:rPr>
              <w:t>SWMR read</w:t>
            </w:r>
          </w:p>
        </w:tc>
        <w:tc>
          <w:tcPr>
            <w:tcW w:w="1476" w:type="dxa"/>
            <w:shd w:val="pct10" w:color="auto" w:fill="auto"/>
          </w:tcPr>
          <w:p w14:paraId="3F8F23D4" w14:textId="609675CC" w:rsidR="009F4877" w:rsidRPr="00D37E69" w:rsidRDefault="008E1F8C" w:rsidP="00C91AC3">
            <w:pPr>
              <w:jc w:val="center"/>
              <w:rPr>
                <w:i/>
              </w:rPr>
            </w:pPr>
            <w:r>
              <w:rPr>
                <w:i/>
              </w:rPr>
              <w:t>SWMR write</w:t>
            </w:r>
          </w:p>
        </w:tc>
      </w:tr>
      <w:tr w:rsidR="009F4877" w14:paraId="503179BD" w14:textId="77777777" w:rsidTr="007C3712">
        <w:tc>
          <w:tcPr>
            <w:tcW w:w="1008" w:type="dxa"/>
            <w:vMerge w:val="restart"/>
            <w:tcBorders>
              <w:top w:val="nil"/>
              <w:bottom w:val="nil"/>
            </w:tcBorders>
            <w:shd w:val="clear" w:color="auto" w:fill="auto"/>
          </w:tcPr>
          <w:p w14:paraId="48A0C04B" w14:textId="77777777" w:rsidR="009F4877" w:rsidRDefault="009F4877" w:rsidP="007C3712">
            <w:pPr>
              <w:jc w:val="center"/>
              <w:rPr>
                <w:b/>
                <w:i/>
              </w:rPr>
            </w:pPr>
          </w:p>
          <w:p w14:paraId="7BEBE4BF" w14:textId="3C92983C" w:rsidR="009F4877" w:rsidRPr="00011E74" w:rsidRDefault="007C3712" w:rsidP="007C3712">
            <w:pPr>
              <w:jc w:val="center"/>
              <w:rPr>
                <w:b/>
                <w:i/>
              </w:rPr>
            </w:pPr>
            <w:r>
              <w:rPr>
                <w:b/>
                <w:i/>
              </w:rPr>
              <w:t xml:space="preserve">Second </w:t>
            </w:r>
            <w:r w:rsidRPr="00DA3787">
              <w:rPr>
                <w:b/>
                <w:i/>
              </w:rPr>
              <w:t>Open</w:t>
            </w:r>
            <w:r>
              <w:rPr>
                <w:b/>
                <w:i/>
              </w:rPr>
              <w:t xml:space="preserve"> </w:t>
            </w:r>
            <w:r w:rsidR="004C4D71">
              <w:rPr>
                <w:b/>
                <w:i/>
              </w:rPr>
              <w:t>(1.10)</w:t>
            </w:r>
          </w:p>
        </w:tc>
        <w:tc>
          <w:tcPr>
            <w:tcW w:w="2304" w:type="dxa"/>
            <w:shd w:val="pct10" w:color="auto" w:fill="auto"/>
          </w:tcPr>
          <w:p w14:paraId="23B35E50" w14:textId="5EE70F1C" w:rsidR="009F4877" w:rsidRPr="00D37E69" w:rsidRDefault="008E1F8C" w:rsidP="00C91AC3">
            <w:pPr>
              <w:jc w:val="center"/>
              <w:rPr>
                <w:i/>
              </w:rPr>
            </w:pPr>
            <w:r>
              <w:rPr>
                <w:i/>
              </w:rPr>
              <w:t>read</w:t>
            </w:r>
          </w:p>
        </w:tc>
        <w:tc>
          <w:tcPr>
            <w:tcW w:w="1242" w:type="dxa"/>
            <w:shd w:val="clear" w:color="auto" w:fill="EAF1DD" w:themeFill="accent3" w:themeFillTint="33"/>
          </w:tcPr>
          <w:p w14:paraId="3335DE55" w14:textId="613B92CA" w:rsidR="009F4877" w:rsidRPr="00DA3787" w:rsidRDefault="008E1F8C" w:rsidP="00C91AC3">
            <w:pPr>
              <w:jc w:val="center"/>
            </w:pPr>
            <w:r w:rsidRPr="004D5108">
              <w:rPr>
                <w:shd w:val="clear" w:color="auto" w:fill="EAF1DD" w:themeFill="accent3" w:themeFillTint="33"/>
              </w:rPr>
              <w:t>succeed</w:t>
            </w:r>
          </w:p>
        </w:tc>
        <w:tc>
          <w:tcPr>
            <w:tcW w:w="2124" w:type="dxa"/>
            <w:shd w:val="clear" w:color="auto" w:fill="F2DBDB" w:themeFill="accent2" w:themeFillTint="33"/>
          </w:tcPr>
          <w:p w14:paraId="349F305B" w14:textId="457B459F" w:rsidR="009F4877" w:rsidRPr="00DA3787" w:rsidRDefault="008E1F8C" w:rsidP="00C91AC3">
            <w:pPr>
              <w:jc w:val="center"/>
            </w:pPr>
            <w:r w:rsidRPr="00DA3787">
              <w:t>fail</w:t>
            </w:r>
          </w:p>
        </w:tc>
        <w:tc>
          <w:tcPr>
            <w:tcW w:w="2070" w:type="dxa"/>
            <w:shd w:val="clear" w:color="auto" w:fill="F2F2F2" w:themeFill="background1" w:themeFillShade="F2"/>
          </w:tcPr>
          <w:p w14:paraId="5A0EE5DA" w14:textId="7FA67A5A" w:rsidR="009F4877" w:rsidRPr="00DA3787" w:rsidRDefault="00A3185F" w:rsidP="00C91AC3">
            <w:pPr>
              <w:jc w:val="center"/>
            </w:pPr>
            <w:r>
              <w:t>N/A</w:t>
            </w:r>
          </w:p>
        </w:tc>
        <w:tc>
          <w:tcPr>
            <w:tcW w:w="1476" w:type="dxa"/>
            <w:shd w:val="clear" w:color="auto" w:fill="F2F2F2" w:themeFill="background1" w:themeFillShade="F2"/>
          </w:tcPr>
          <w:p w14:paraId="0894D163" w14:textId="252AB05E" w:rsidR="009F4877" w:rsidRPr="00DA3787" w:rsidRDefault="008E1F8C" w:rsidP="00C91AC3">
            <w:pPr>
              <w:jc w:val="center"/>
            </w:pPr>
            <w:r>
              <w:t>N/A</w:t>
            </w:r>
          </w:p>
        </w:tc>
      </w:tr>
      <w:tr w:rsidR="009F4877" w14:paraId="69BD7C4A" w14:textId="77777777" w:rsidTr="007C3712">
        <w:tc>
          <w:tcPr>
            <w:tcW w:w="1008" w:type="dxa"/>
            <w:vMerge/>
            <w:tcBorders>
              <w:bottom w:val="nil"/>
            </w:tcBorders>
            <w:shd w:val="clear" w:color="auto" w:fill="auto"/>
          </w:tcPr>
          <w:p w14:paraId="15181909" w14:textId="77777777" w:rsidR="009F4877" w:rsidRPr="00DA3787" w:rsidRDefault="009F4877" w:rsidP="00C91AC3">
            <w:pPr>
              <w:rPr>
                <w:b/>
              </w:rPr>
            </w:pPr>
          </w:p>
        </w:tc>
        <w:tc>
          <w:tcPr>
            <w:tcW w:w="2304" w:type="dxa"/>
            <w:shd w:val="pct10" w:color="auto" w:fill="auto"/>
          </w:tcPr>
          <w:p w14:paraId="58852BC9" w14:textId="71BCC430" w:rsidR="009F4877" w:rsidRPr="00D37E69" w:rsidRDefault="009F4877" w:rsidP="00C91AC3">
            <w:pPr>
              <w:jc w:val="center"/>
              <w:rPr>
                <w:i/>
              </w:rPr>
            </w:pPr>
            <w:r w:rsidRPr="00D37E69">
              <w:rPr>
                <w:i/>
              </w:rPr>
              <w:t>write</w:t>
            </w:r>
          </w:p>
        </w:tc>
        <w:tc>
          <w:tcPr>
            <w:tcW w:w="1242" w:type="dxa"/>
            <w:shd w:val="clear" w:color="auto" w:fill="F2DBDB" w:themeFill="accent2" w:themeFillTint="33"/>
          </w:tcPr>
          <w:p w14:paraId="07ED9CBC" w14:textId="065568BE" w:rsidR="009F4877" w:rsidRPr="00DA3787" w:rsidRDefault="004C4D71" w:rsidP="00C91AC3">
            <w:pPr>
              <w:jc w:val="center"/>
            </w:pPr>
            <w:r w:rsidRPr="00DA3787">
              <w:t>fail</w:t>
            </w:r>
          </w:p>
        </w:tc>
        <w:tc>
          <w:tcPr>
            <w:tcW w:w="2124" w:type="dxa"/>
            <w:shd w:val="clear" w:color="auto" w:fill="F2DBDB" w:themeFill="accent2" w:themeFillTint="33"/>
          </w:tcPr>
          <w:p w14:paraId="41A27C30" w14:textId="71BF4E8F" w:rsidR="009F4877" w:rsidRPr="00DA3787" w:rsidRDefault="008E1F8C" w:rsidP="00C91AC3">
            <w:pPr>
              <w:jc w:val="center"/>
            </w:pPr>
            <w:r w:rsidRPr="00DA3787">
              <w:t>fail</w:t>
            </w:r>
          </w:p>
        </w:tc>
        <w:tc>
          <w:tcPr>
            <w:tcW w:w="2070" w:type="dxa"/>
            <w:shd w:val="clear" w:color="auto" w:fill="F2F2F2" w:themeFill="background1" w:themeFillShade="F2"/>
          </w:tcPr>
          <w:p w14:paraId="11831781" w14:textId="5BDB1AF8" w:rsidR="009F4877" w:rsidRPr="00DA3787" w:rsidRDefault="00A3185F" w:rsidP="00C91AC3">
            <w:pPr>
              <w:jc w:val="center"/>
            </w:pPr>
            <w:r>
              <w:t>N/A</w:t>
            </w:r>
          </w:p>
        </w:tc>
        <w:tc>
          <w:tcPr>
            <w:tcW w:w="1476" w:type="dxa"/>
            <w:shd w:val="clear" w:color="auto" w:fill="F2F2F2" w:themeFill="background1" w:themeFillShade="F2"/>
          </w:tcPr>
          <w:p w14:paraId="6D297013" w14:textId="5335BE28" w:rsidR="009F4877" w:rsidRPr="00DA3787" w:rsidRDefault="008E1F8C" w:rsidP="00C91AC3">
            <w:pPr>
              <w:jc w:val="center"/>
            </w:pPr>
            <w:r>
              <w:t>N/A</w:t>
            </w:r>
          </w:p>
        </w:tc>
      </w:tr>
      <w:tr w:rsidR="009F4877" w14:paraId="441FA6FA" w14:textId="77777777" w:rsidTr="007C3712">
        <w:tc>
          <w:tcPr>
            <w:tcW w:w="1008" w:type="dxa"/>
            <w:vMerge/>
            <w:tcBorders>
              <w:bottom w:val="nil"/>
            </w:tcBorders>
            <w:shd w:val="clear" w:color="auto" w:fill="auto"/>
          </w:tcPr>
          <w:p w14:paraId="25561899" w14:textId="77777777" w:rsidR="009F4877" w:rsidRPr="00DA3787" w:rsidRDefault="009F4877" w:rsidP="00C91AC3">
            <w:pPr>
              <w:rPr>
                <w:b/>
              </w:rPr>
            </w:pPr>
          </w:p>
        </w:tc>
        <w:tc>
          <w:tcPr>
            <w:tcW w:w="2304" w:type="dxa"/>
            <w:shd w:val="pct10" w:color="auto" w:fill="auto"/>
          </w:tcPr>
          <w:p w14:paraId="72FA66C4" w14:textId="77777777" w:rsidR="009F4877" w:rsidRPr="00D37E69" w:rsidRDefault="009F4877" w:rsidP="00C91AC3">
            <w:pPr>
              <w:jc w:val="center"/>
              <w:rPr>
                <w:i/>
              </w:rPr>
            </w:pPr>
            <w:r w:rsidRPr="00D37E69">
              <w:rPr>
                <w:i/>
              </w:rPr>
              <w:t>SWMR read</w:t>
            </w:r>
          </w:p>
        </w:tc>
        <w:tc>
          <w:tcPr>
            <w:tcW w:w="1242" w:type="dxa"/>
            <w:shd w:val="clear" w:color="auto" w:fill="EAF1DD" w:themeFill="accent3" w:themeFillTint="33"/>
          </w:tcPr>
          <w:p w14:paraId="0B456E75" w14:textId="4FCCE843" w:rsidR="009F4877" w:rsidRPr="00DA3787" w:rsidRDefault="008E1F8C" w:rsidP="00C91AC3">
            <w:pPr>
              <w:jc w:val="center"/>
            </w:pPr>
            <w:r w:rsidRPr="004D5108">
              <w:rPr>
                <w:shd w:val="clear" w:color="auto" w:fill="EAF1DD" w:themeFill="accent3" w:themeFillTint="33"/>
              </w:rPr>
              <w:t>succeed</w:t>
            </w:r>
          </w:p>
        </w:tc>
        <w:tc>
          <w:tcPr>
            <w:tcW w:w="2124" w:type="dxa"/>
            <w:shd w:val="clear" w:color="auto" w:fill="F2DBDB" w:themeFill="accent2" w:themeFillTint="33"/>
          </w:tcPr>
          <w:p w14:paraId="01AB3EB9" w14:textId="02F7231E" w:rsidR="009F4877" w:rsidRPr="00DA3787" w:rsidRDefault="008E1F8C" w:rsidP="00C91AC3">
            <w:pPr>
              <w:jc w:val="center"/>
            </w:pPr>
            <w:r w:rsidRPr="00DA3787">
              <w:t>fail</w:t>
            </w:r>
          </w:p>
        </w:tc>
        <w:tc>
          <w:tcPr>
            <w:tcW w:w="2070" w:type="dxa"/>
            <w:shd w:val="clear" w:color="auto" w:fill="F2F2F2" w:themeFill="background1" w:themeFillShade="F2"/>
          </w:tcPr>
          <w:p w14:paraId="2191E5DF" w14:textId="1824EE6A" w:rsidR="009F4877" w:rsidRPr="00DA3787" w:rsidRDefault="00A3185F" w:rsidP="00C91AC3">
            <w:pPr>
              <w:jc w:val="center"/>
            </w:pPr>
            <w:r>
              <w:t>N/A</w:t>
            </w:r>
          </w:p>
        </w:tc>
        <w:tc>
          <w:tcPr>
            <w:tcW w:w="1476" w:type="dxa"/>
            <w:shd w:val="clear" w:color="auto" w:fill="F2F2F2" w:themeFill="background1" w:themeFillShade="F2"/>
          </w:tcPr>
          <w:p w14:paraId="752C6B5C" w14:textId="5E0AE208" w:rsidR="009F4877" w:rsidRPr="00DA3787" w:rsidRDefault="008E1F8C" w:rsidP="00C91AC3">
            <w:pPr>
              <w:jc w:val="center"/>
            </w:pPr>
            <w:r>
              <w:t>N/A</w:t>
            </w:r>
          </w:p>
        </w:tc>
      </w:tr>
      <w:tr w:rsidR="009F4877" w14:paraId="2D4E4661" w14:textId="77777777" w:rsidTr="007C3712">
        <w:trPr>
          <w:trHeight w:val="305"/>
        </w:trPr>
        <w:tc>
          <w:tcPr>
            <w:tcW w:w="1008" w:type="dxa"/>
            <w:vMerge/>
            <w:tcBorders>
              <w:bottom w:val="nil"/>
            </w:tcBorders>
            <w:shd w:val="clear" w:color="auto" w:fill="auto"/>
          </w:tcPr>
          <w:p w14:paraId="0D5596B8" w14:textId="77777777" w:rsidR="009F4877" w:rsidRPr="00DA3787" w:rsidRDefault="009F4877" w:rsidP="00C91AC3">
            <w:pPr>
              <w:rPr>
                <w:b/>
              </w:rPr>
            </w:pPr>
          </w:p>
        </w:tc>
        <w:tc>
          <w:tcPr>
            <w:tcW w:w="2304" w:type="dxa"/>
            <w:shd w:val="pct10" w:color="auto" w:fill="auto"/>
          </w:tcPr>
          <w:p w14:paraId="2783D8C7" w14:textId="628E2639" w:rsidR="009F4877" w:rsidRPr="00D37E69" w:rsidRDefault="008E1F8C" w:rsidP="00C91AC3">
            <w:pPr>
              <w:jc w:val="center"/>
              <w:rPr>
                <w:i/>
              </w:rPr>
            </w:pPr>
            <w:r>
              <w:rPr>
                <w:i/>
              </w:rPr>
              <w:t>SWMR write</w:t>
            </w:r>
          </w:p>
        </w:tc>
        <w:tc>
          <w:tcPr>
            <w:tcW w:w="1242" w:type="dxa"/>
            <w:shd w:val="clear" w:color="auto" w:fill="F2DBDB" w:themeFill="accent2" w:themeFillTint="33"/>
          </w:tcPr>
          <w:p w14:paraId="08200C29" w14:textId="32BEB7D5" w:rsidR="009F4877" w:rsidRPr="00DA3787" w:rsidRDefault="004C4D71" w:rsidP="00C91AC3">
            <w:pPr>
              <w:jc w:val="center"/>
            </w:pPr>
            <w:r w:rsidRPr="00DA3787">
              <w:t>fail</w:t>
            </w:r>
          </w:p>
        </w:tc>
        <w:tc>
          <w:tcPr>
            <w:tcW w:w="2124" w:type="dxa"/>
            <w:shd w:val="clear" w:color="auto" w:fill="F2DBDB" w:themeFill="accent2" w:themeFillTint="33"/>
          </w:tcPr>
          <w:p w14:paraId="507F2768" w14:textId="025D36F9" w:rsidR="009F4877" w:rsidRPr="00DA3787" w:rsidRDefault="008E1F8C" w:rsidP="00C91AC3">
            <w:pPr>
              <w:jc w:val="center"/>
            </w:pPr>
            <w:r w:rsidRPr="00DA3787">
              <w:t>fail</w:t>
            </w:r>
          </w:p>
        </w:tc>
        <w:tc>
          <w:tcPr>
            <w:tcW w:w="2070" w:type="dxa"/>
            <w:shd w:val="clear" w:color="auto" w:fill="F2F2F2" w:themeFill="background1" w:themeFillShade="F2"/>
          </w:tcPr>
          <w:p w14:paraId="3917A88F" w14:textId="5DBF8A2E" w:rsidR="009F4877" w:rsidRPr="00DA3787" w:rsidRDefault="00A3185F" w:rsidP="00C91AC3">
            <w:pPr>
              <w:jc w:val="center"/>
            </w:pPr>
            <w:r>
              <w:t>N/A</w:t>
            </w:r>
          </w:p>
        </w:tc>
        <w:tc>
          <w:tcPr>
            <w:tcW w:w="1476" w:type="dxa"/>
            <w:shd w:val="clear" w:color="auto" w:fill="F2F2F2" w:themeFill="background1" w:themeFillShade="F2"/>
          </w:tcPr>
          <w:p w14:paraId="5BAA3F61" w14:textId="3A486706" w:rsidR="009F4877" w:rsidRPr="00DA3787" w:rsidRDefault="008E1F8C" w:rsidP="00C91AC3">
            <w:pPr>
              <w:jc w:val="center"/>
            </w:pPr>
            <w:r>
              <w:t>N/A</w:t>
            </w:r>
          </w:p>
        </w:tc>
      </w:tr>
    </w:tbl>
    <w:p w14:paraId="518C5088" w14:textId="77777777" w:rsidR="007C3712" w:rsidRDefault="007C3712" w:rsidP="0009450B"/>
    <w:p w14:paraId="233ACCBE" w14:textId="06A53224" w:rsidR="009F4877" w:rsidRDefault="009F4877" w:rsidP="007C3712">
      <w:pPr>
        <w:pStyle w:val="Heading3"/>
      </w:pPr>
      <w:r>
        <w:t>1</w:t>
      </w:r>
      <w:r w:rsidRPr="00B4593B">
        <w:rPr>
          <w:vertAlign w:val="superscript"/>
        </w:rPr>
        <w:t>st</w:t>
      </w:r>
      <w:r>
        <w:t xml:space="preserve"> </w:t>
      </w:r>
      <w:r w:rsidR="005B44B6">
        <w:t xml:space="preserve">Open </w:t>
      </w:r>
      <w:r>
        <w:t>1.8.y+ / 2</w:t>
      </w:r>
      <w:r w:rsidRPr="00B4593B">
        <w:rPr>
          <w:vertAlign w:val="superscript"/>
        </w:rPr>
        <w:t>nd</w:t>
      </w:r>
      <w:r>
        <w:t xml:space="preserve"> </w:t>
      </w:r>
      <w:r w:rsidR="005B44B6">
        <w:t xml:space="preserve">Open </w:t>
      </w:r>
      <w:r>
        <w:t>1.8.y+</w:t>
      </w:r>
    </w:p>
    <w:tbl>
      <w:tblPr>
        <w:tblStyle w:val="TableGrid"/>
        <w:tblW w:w="10224" w:type="dxa"/>
        <w:tblBorders>
          <w:left w:val="none" w:sz="0" w:space="0" w:color="auto"/>
        </w:tblBorders>
        <w:tblLayout w:type="fixed"/>
        <w:tblLook w:val="04A0" w:firstRow="1" w:lastRow="0" w:firstColumn="1" w:lastColumn="0" w:noHBand="0" w:noVBand="1"/>
      </w:tblPr>
      <w:tblGrid>
        <w:gridCol w:w="1008"/>
        <w:gridCol w:w="2304"/>
        <w:gridCol w:w="1242"/>
        <w:gridCol w:w="2124"/>
        <w:gridCol w:w="2070"/>
        <w:gridCol w:w="1476"/>
      </w:tblGrid>
      <w:tr w:rsidR="009F4877" w14:paraId="1BFB7583" w14:textId="77777777" w:rsidTr="00C91AC3">
        <w:tc>
          <w:tcPr>
            <w:tcW w:w="1008" w:type="dxa"/>
            <w:vMerge w:val="restart"/>
            <w:tcBorders>
              <w:top w:val="nil"/>
              <w:right w:val="nil"/>
            </w:tcBorders>
          </w:tcPr>
          <w:p w14:paraId="21CD4E32" w14:textId="77777777" w:rsidR="009F4877" w:rsidRPr="00DA3787" w:rsidRDefault="009F4877" w:rsidP="00C91AC3">
            <w:pPr>
              <w:rPr>
                <w:rFonts w:cs="Consolas"/>
              </w:rPr>
            </w:pPr>
          </w:p>
        </w:tc>
        <w:tc>
          <w:tcPr>
            <w:tcW w:w="2304" w:type="dxa"/>
            <w:tcBorders>
              <w:top w:val="nil"/>
              <w:left w:val="nil"/>
              <w:right w:val="nil"/>
            </w:tcBorders>
          </w:tcPr>
          <w:p w14:paraId="5C3D9E57" w14:textId="77777777" w:rsidR="009F4877" w:rsidRPr="00DA3787" w:rsidRDefault="009F4877" w:rsidP="00C91AC3">
            <w:pPr>
              <w:rPr>
                <w:rFonts w:cs="Consolas"/>
              </w:rPr>
            </w:pPr>
          </w:p>
        </w:tc>
        <w:tc>
          <w:tcPr>
            <w:tcW w:w="6912" w:type="dxa"/>
            <w:gridSpan w:val="4"/>
            <w:tcBorders>
              <w:top w:val="nil"/>
              <w:left w:val="nil"/>
              <w:right w:val="nil"/>
            </w:tcBorders>
            <w:shd w:val="clear" w:color="auto" w:fill="auto"/>
          </w:tcPr>
          <w:p w14:paraId="42F06910" w14:textId="33F61C33" w:rsidR="009F4877" w:rsidRPr="00DA3787" w:rsidRDefault="007C3712" w:rsidP="00C91AC3">
            <w:pPr>
              <w:jc w:val="center"/>
              <w:rPr>
                <w:b/>
                <w:i/>
              </w:rPr>
            </w:pPr>
            <w:r>
              <w:rPr>
                <w:b/>
                <w:i/>
              </w:rPr>
              <w:t>First Open</w:t>
            </w:r>
            <w:r w:rsidR="004F7A3A">
              <w:rPr>
                <w:b/>
                <w:i/>
              </w:rPr>
              <w:t>/</w:t>
            </w:r>
            <w:r>
              <w:rPr>
                <w:b/>
                <w:i/>
              </w:rPr>
              <w:t xml:space="preserve">Create </w:t>
            </w:r>
            <w:r w:rsidR="004C4D71">
              <w:rPr>
                <w:b/>
                <w:i/>
              </w:rPr>
              <w:t>(1.8.y+)</w:t>
            </w:r>
          </w:p>
        </w:tc>
      </w:tr>
      <w:tr w:rsidR="009F4877" w14:paraId="44E60ACE" w14:textId="77777777" w:rsidTr="00C91AC3">
        <w:tc>
          <w:tcPr>
            <w:tcW w:w="1008" w:type="dxa"/>
            <w:vMerge/>
            <w:tcBorders>
              <w:bottom w:val="nil"/>
            </w:tcBorders>
          </w:tcPr>
          <w:p w14:paraId="18D7EF3F" w14:textId="77777777" w:rsidR="009F4877" w:rsidRPr="00DA3787" w:rsidRDefault="009F4877" w:rsidP="00C91AC3">
            <w:pPr>
              <w:rPr>
                <w:rFonts w:cs="Consolas"/>
              </w:rPr>
            </w:pPr>
          </w:p>
        </w:tc>
        <w:tc>
          <w:tcPr>
            <w:tcW w:w="2304" w:type="dxa"/>
          </w:tcPr>
          <w:p w14:paraId="2F01F065" w14:textId="77777777" w:rsidR="009F4877" w:rsidRPr="002658E5" w:rsidRDefault="009F4877" w:rsidP="00C91AC3">
            <w:pPr>
              <w:jc w:val="center"/>
              <w:rPr>
                <w:rFonts w:cs="Consolas"/>
                <w:i/>
              </w:rPr>
            </w:pPr>
            <w:r>
              <w:rPr>
                <w:rFonts w:cs="Consolas"/>
                <w:i/>
              </w:rPr>
              <w:t xml:space="preserve">file open </w:t>
            </w:r>
            <w:r w:rsidRPr="002658E5">
              <w:rPr>
                <w:rFonts w:cs="Consolas"/>
                <w:i/>
              </w:rPr>
              <w:t>access flags</w:t>
            </w:r>
          </w:p>
        </w:tc>
        <w:tc>
          <w:tcPr>
            <w:tcW w:w="1242" w:type="dxa"/>
            <w:shd w:val="pct10" w:color="auto" w:fill="auto"/>
          </w:tcPr>
          <w:p w14:paraId="7870287B" w14:textId="10778F68" w:rsidR="009F4877" w:rsidRPr="00D37E69" w:rsidRDefault="008E1F8C" w:rsidP="00C91AC3">
            <w:pPr>
              <w:jc w:val="center"/>
              <w:rPr>
                <w:i/>
              </w:rPr>
            </w:pPr>
            <w:r>
              <w:rPr>
                <w:i/>
              </w:rPr>
              <w:t>read</w:t>
            </w:r>
          </w:p>
        </w:tc>
        <w:tc>
          <w:tcPr>
            <w:tcW w:w="2124" w:type="dxa"/>
            <w:shd w:val="pct10" w:color="auto" w:fill="auto"/>
          </w:tcPr>
          <w:p w14:paraId="01CDF611" w14:textId="55C54E50" w:rsidR="009F4877" w:rsidRPr="00D37E69" w:rsidRDefault="009F4877" w:rsidP="00C91AC3">
            <w:pPr>
              <w:jc w:val="center"/>
              <w:rPr>
                <w:i/>
              </w:rPr>
            </w:pPr>
            <w:r w:rsidRPr="00D37E69">
              <w:rPr>
                <w:i/>
              </w:rPr>
              <w:t>write</w:t>
            </w:r>
          </w:p>
        </w:tc>
        <w:tc>
          <w:tcPr>
            <w:tcW w:w="2070" w:type="dxa"/>
            <w:shd w:val="pct10" w:color="auto" w:fill="auto"/>
          </w:tcPr>
          <w:p w14:paraId="5565958F" w14:textId="77777777" w:rsidR="009F4877" w:rsidRPr="00D37E69" w:rsidRDefault="009F4877" w:rsidP="00C91AC3">
            <w:pPr>
              <w:jc w:val="center"/>
              <w:rPr>
                <w:i/>
              </w:rPr>
            </w:pPr>
            <w:r w:rsidRPr="00D37E69">
              <w:rPr>
                <w:i/>
              </w:rPr>
              <w:t>SWMR read</w:t>
            </w:r>
          </w:p>
        </w:tc>
        <w:tc>
          <w:tcPr>
            <w:tcW w:w="1476" w:type="dxa"/>
            <w:shd w:val="pct10" w:color="auto" w:fill="auto"/>
          </w:tcPr>
          <w:p w14:paraId="35276F4F" w14:textId="0D5A427C" w:rsidR="009F4877" w:rsidRPr="00D37E69" w:rsidRDefault="008E1F8C" w:rsidP="00C91AC3">
            <w:pPr>
              <w:jc w:val="center"/>
              <w:rPr>
                <w:i/>
              </w:rPr>
            </w:pPr>
            <w:r>
              <w:rPr>
                <w:i/>
              </w:rPr>
              <w:t>SWMR write</w:t>
            </w:r>
          </w:p>
        </w:tc>
      </w:tr>
      <w:tr w:rsidR="009F4877" w14:paraId="5FCB4CF4" w14:textId="77777777" w:rsidTr="007C3712">
        <w:tc>
          <w:tcPr>
            <w:tcW w:w="1008" w:type="dxa"/>
            <w:vMerge w:val="restart"/>
            <w:tcBorders>
              <w:top w:val="nil"/>
              <w:bottom w:val="nil"/>
            </w:tcBorders>
            <w:shd w:val="clear" w:color="auto" w:fill="auto"/>
          </w:tcPr>
          <w:p w14:paraId="48396A43" w14:textId="77777777" w:rsidR="009F4877" w:rsidRDefault="009F4877" w:rsidP="007C3712">
            <w:pPr>
              <w:jc w:val="center"/>
              <w:rPr>
                <w:b/>
                <w:i/>
              </w:rPr>
            </w:pPr>
          </w:p>
          <w:p w14:paraId="041780F8" w14:textId="1843CE83" w:rsidR="009F4877" w:rsidRPr="00011E74" w:rsidRDefault="007C3712" w:rsidP="007C3712">
            <w:pPr>
              <w:jc w:val="center"/>
              <w:rPr>
                <w:b/>
                <w:i/>
              </w:rPr>
            </w:pPr>
            <w:r>
              <w:rPr>
                <w:b/>
                <w:i/>
              </w:rPr>
              <w:t xml:space="preserve">Second </w:t>
            </w:r>
            <w:r w:rsidRPr="00DA3787">
              <w:rPr>
                <w:b/>
                <w:i/>
              </w:rPr>
              <w:t>Open</w:t>
            </w:r>
            <w:r>
              <w:rPr>
                <w:b/>
                <w:i/>
              </w:rPr>
              <w:t xml:space="preserve"> </w:t>
            </w:r>
            <w:r w:rsidR="004C4D71">
              <w:rPr>
                <w:b/>
                <w:i/>
              </w:rPr>
              <w:t>(1.8.y+)</w:t>
            </w:r>
          </w:p>
        </w:tc>
        <w:tc>
          <w:tcPr>
            <w:tcW w:w="2304" w:type="dxa"/>
            <w:shd w:val="pct10" w:color="auto" w:fill="auto"/>
          </w:tcPr>
          <w:p w14:paraId="14BB5328" w14:textId="7C56328E" w:rsidR="009F4877" w:rsidRPr="00D37E69" w:rsidRDefault="008E1F8C" w:rsidP="00C91AC3">
            <w:pPr>
              <w:jc w:val="center"/>
              <w:rPr>
                <w:i/>
              </w:rPr>
            </w:pPr>
            <w:r>
              <w:rPr>
                <w:i/>
              </w:rPr>
              <w:t>read</w:t>
            </w:r>
          </w:p>
        </w:tc>
        <w:tc>
          <w:tcPr>
            <w:tcW w:w="1242" w:type="dxa"/>
            <w:shd w:val="clear" w:color="auto" w:fill="EAF1DD" w:themeFill="accent3" w:themeFillTint="33"/>
          </w:tcPr>
          <w:p w14:paraId="7171EDAF" w14:textId="11DE6FEB" w:rsidR="009F4877" w:rsidRPr="00DA3787" w:rsidRDefault="008E1F8C" w:rsidP="00C91AC3">
            <w:pPr>
              <w:jc w:val="center"/>
            </w:pPr>
            <w:r w:rsidRPr="004D5108">
              <w:rPr>
                <w:shd w:val="clear" w:color="auto" w:fill="EAF1DD" w:themeFill="accent3" w:themeFillTint="33"/>
              </w:rPr>
              <w:t>succeed</w:t>
            </w:r>
          </w:p>
        </w:tc>
        <w:tc>
          <w:tcPr>
            <w:tcW w:w="2124" w:type="dxa"/>
            <w:shd w:val="clear" w:color="auto" w:fill="F2DBDB" w:themeFill="accent2" w:themeFillTint="33"/>
          </w:tcPr>
          <w:p w14:paraId="3AB84FB5" w14:textId="1D78474A" w:rsidR="009F4877" w:rsidRPr="00DA3787" w:rsidRDefault="008E1F8C" w:rsidP="00C91AC3">
            <w:pPr>
              <w:jc w:val="center"/>
            </w:pPr>
            <w:r w:rsidRPr="00DA3787">
              <w:t>fail</w:t>
            </w:r>
          </w:p>
        </w:tc>
        <w:tc>
          <w:tcPr>
            <w:tcW w:w="2070" w:type="dxa"/>
            <w:shd w:val="clear" w:color="auto" w:fill="F2F2F2" w:themeFill="background1" w:themeFillShade="F2"/>
          </w:tcPr>
          <w:p w14:paraId="4BD6936B" w14:textId="32D14DF6" w:rsidR="009F4877" w:rsidRPr="00DA3787" w:rsidRDefault="00A3185F" w:rsidP="00C91AC3">
            <w:pPr>
              <w:jc w:val="center"/>
            </w:pPr>
            <w:r>
              <w:t>N/A</w:t>
            </w:r>
          </w:p>
        </w:tc>
        <w:tc>
          <w:tcPr>
            <w:tcW w:w="1476" w:type="dxa"/>
            <w:shd w:val="clear" w:color="auto" w:fill="F2F2F2" w:themeFill="background1" w:themeFillShade="F2"/>
          </w:tcPr>
          <w:p w14:paraId="01E24059" w14:textId="2A53AF36" w:rsidR="009F4877" w:rsidRPr="00DA3787" w:rsidRDefault="008E1F8C" w:rsidP="00C91AC3">
            <w:pPr>
              <w:jc w:val="center"/>
            </w:pPr>
            <w:r>
              <w:t>N/A</w:t>
            </w:r>
          </w:p>
        </w:tc>
      </w:tr>
      <w:tr w:rsidR="009F4877" w14:paraId="231B974F" w14:textId="77777777" w:rsidTr="007C3712">
        <w:tc>
          <w:tcPr>
            <w:tcW w:w="1008" w:type="dxa"/>
            <w:vMerge/>
            <w:tcBorders>
              <w:bottom w:val="nil"/>
            </w:tcBorders>
            <w:shd w:val="clear" w:color="auto" w:fill="auto"/>
          </w:tcPr>
          <w:p w14:paraId="15541672" w14:textId="77777777" w:rsidR="009F4877" w:rsidRPr="00DA3787" w:rsidRDefault="009F4877" w:rsidP="00C91AC3">
            <w:pPr>
              <w:rPr>
                <w:b/>
              </w:rPr>
            </w:pPr>
          </w:p>
        </w:tc>
        <w:tc>
          <w:tcPr>
            <w:tcW w:w="2304" w:type="dxa"/>
            <w:shd w:val="pct10" w:color="auto" w:fill="auto"/>
          </w:tcPr>
          <w:p w14:paraId="55EDC9D0" w14:textId="67756F79" w:rsidR="009F4877" w:rsidRPr="00D37E69" w:rsidRDefault="009F4877" w:rsidP="00C91AC3">
            <w:pPr>
              <w:jc w:val="center"/>
              <w:rPr>
                <w:i/>
              </w:rPr>
            </w:pPr>
            <w:r w:rsidRPr="00D37E69">
              <w:rPr>
                <w:i/>
              </w:rPr>
              <w:t>write</w:t>
            </w:r>
          </w:p>
        </w:tc>
        <w:tc>
          <w:tcPr>
            <w:tcW w:w="1242" w:type="dxa"/>
            <w:shd w:val="clear" w:color="auto" w:fill="F2DBDB" w:themeFill="accent2" w:themeFillTint="33"/>
          </w:tcPr>
          <w:p w14:paraId="1E640575" w14:textId="1F427264" w:rsidR="009F4877" w:rsidRPr="00DA3787" w:rsidRDefault="008E1F8C" w:rsidP="00C91AC3">
            <w:pPr>
              <w:jc w:val="center"/>
            </w:pPr>
            <w:r w:rsidRPr="00DA3787">
              <w:t>fail</w:t>
            </w:r>
          </w:p>
        </w:tc>
        <w:tc>
          <w:tcPr>
            <w:tcW w:w="2124" w:type="dxa"/>
            <w:shd w:val="clear" w:color="auto" w:fill="F2DBDB" w:themeFill="accent2" w:themeFillTint="33"/>
          </w:tcPr>
          <w:p w14:paraId="7E322B9F" w14:textId="532B1C5A" w:rsidR="009F4877" w:rsidRPr="00DA3787" w:rsidRDefault="008E1F8C" w:rsidP="00C91AC3">
            <w:pPr>
              <w:jc w:val="center"/>
            </w:pPr>
            <w:r w:rsidRPr="00DA3787">
              <w:t>fail</w:t>
            </w:r>
          </w:p>
        </w:tc>
        <w:tc>
          <w:tcPr>
            <w:tcW w:w="2070" w:type="dxa"/>
            <w:shd w:val="clear" w:color="auto" w:fill="F2F2F2" w:themeFill="background1" w:themeFillShade="F2"/>
          </w:tcPr>
          <w:p w14:paraId="65C075F6" w14:textId="047FB863" w:rsidR="009F4877" w:rsidRPr="00DA3787" w:rsidRDefault="00A3185F" w:rsidP="00C91AC3">
            <w:pPr>
              <w:jc w:val="center"/>
            </w:pPr>
            <w:r>
              <w:t>N/A</w:t>
            </w:r>
          </w:p>
        </w:tc>
        <w:tc>
          <w:tcPr>
            <w:tcW w:w="1476" w:type="dxa"/>
            <w:shd w:val="clear" w:color="auto" w:fill="F2F2F2" w:themeFill="background1" w:themeFillShade="F2"/>
          </w:tcPr>
          <w:p w14:paraId="237A3A4E" w14:textId="22A8AAD9" w:rsidR="009F4877" w:rsidRPr="00DA3787" w:rsidRDefault="00A3185F" w:rsidP="00C91AC3">
            <w:pPr>
              <w:jc w:val="center"/>
            </w:pPr>
            <w:r>
              <w:t>N/A</w:t>
            </w:r>
          </w:p>
        </w:tc>
      </w:tr>
      <w:tr w:rsidR="009F4877" w14:paraId="7CEAF818" w14:textId="77777777" w:rsidTr="007C3712">
        <w:tc>
          <w:tcPr>
            <w:tcW w:w="1008" w:type="dxa"/>
            <w:vMerge/>
            <w:tcBorders>
              <w:bottom w:val="nil"/>
            </w:tcBorders>
            <w:shd w:val="clear" w:color="auto" w:fill="auto"/>
          </w:tcPr>
          <w:p w14:paraId="7488646C" w14:textId="77777777" w:rsidR="009F4877" w:rsidRPr="00DA3787" w:rsidRDefault="009F4877" w:rsidP="00C91AC3">
            <w:pPr>
              <w:rPr>
                <w:b/>
              </w:rPr>
            </w:pPr>
          </w:p>
        </w:tc>
        <w:tc>
          <w:tcPr>
            <w:tcW w:w="2304" w:type="dxa"/>
            <w:shd w:val="pct10" w:color="auto" w:fill="auto"/>
          </w:tcPr>
          <w:p w14:paraId="2F818250" w14:textId="77777777" w:rsidR="009F4877" w:rsidRPr="00D37E69" w:rsidRDefault="009F4877" w:rsidP="00C91AC3">
            <w:pPr>
              <w:jc w:val="center"/>
              <w:rPr>
                <w:i/>
              </w:rPr>
            </w:pPr>
            <w:r w:rsidRPr="00D37E69">
              <w:rPr>
                <w:i/>
              </w:rPr>
              <w:t>SWMR read</w:t>
            </w:r>
          </w:p>
        </w:tc>
        <w:tc>
          <w:tcPr>
            <w:tcW w:w="1242" w:type="dxa"/>
            <w:shd w:val="clear" w:color="auto" w:fill="F2F2F2" w:themeFill="background1" w:themeFillShade="F2"/>
          </w:tcPr>
          <w:p w14:paraId="1671134D" w14:textId="5C1EB53B" w:rsidR="009F4877" w:rsidRPr="00DA3787" w:rsidRDefault="00A3185F" w:rsidP="00C91AC3">
            <w:pPr>
              <w:jc w:val="center"/>
            </w:pPr>
            <w:r>
              <w:t>N/A</w:t>
            </w:r>
          </w:p>
        </w:tc>
        <w:tc>
          <w:tcPr>
            <w:tcW w:w="2124" w:type="dxa"/>
            <w:shd w:val="clear" w:color="auto" w:fill="F2F2F2" w:themeFill="background1" w:themeFillShade="F2"/>
          </w:tcPr>
          <w:p w14:paraId="0AFE3B74" w14:textId="0B269D1B" w:rsidR="009F4877" w:rsidRPr="00DA3787" w:rsidRDefault="00A3185F" w:rsidP="00C91AC3">
            <w:pPr>
              <w:jc w:val="center"/>
            </w:pPr>
            <w:r>
              <w:t>N/A</w:t>
            </w:r>
          </w:p>
        </w:tc>
        <w:tc>
          <w:tcPr>
            <w:tcW w:w="2070" w:type="dxa"/>
            <w:shd w:val="clear" w:color="auto" w:fill="F2F2F2" w:themeFill="background1" w:themeFillShade="F2"/>
          </w:tcPr>
          <w:p w14:paraId="563B99BF" w14:textId="007ADD12" w:rsidR="009F4877" w:rsidRPr="00DA3787" w:rsidRDefault="00A3185F" w:rsidP="00C91AC3">
            <w:pPr>
              <w:jc w:val="center"/>
            </w:pPr>
            <w:r>
              <w:t>N/A</w:t>
            </w:r>
          </w:p>
        </w:tc>
        <w:tc>
          <w:tcPr>
            <w:tcW w:w="1476" w:type="dxa"/>
            <w:shd w:val="clear" w:color="auto" w:fill="F2F2F2" w:themeFill="background1" w:themeFillShade="F2"/>
          </w:tcPr>
          <w:p w14:paraId="47860E9A" w14:textId="3BAEFE2B" w:rsidR="009F4877" w:rsidRPr="00DA3787" w:rsidRDefault="00A3185F" w:rsidP="00C91AC3">
            <w:pPr>
              <w:jc w:val="center"/>
            </w:pPr>
            <w:r>
              <w:t>N/A</w:t>
            </w:r>
          </w:p>
        </w:tc>
      </w:tr>
      <w:tr w:rsidR="009F4877" w14:paraId="0EBA4A1D" w14:textId="77777777" w:rsidTr="007C3712">
        <w:trPr>
          <w:trHeight w:val="305"/>
        </w:trPr>
        <w:tc>
          <w:tcPr>
            <w:tcW w:w="1008" w:type="dxa"/>
            <w:vMerge/>
            <w:tcBorders>
              <w:bottom w:val="nil"/>
            </w:tcBorders>
            <w:shd w:val="clear" w:color="auto" w:fill="auto"/>
          </w:tcPr>
          <w:p w14:paraId="5D3C9BDD" w14:textId="77777777" w:rsidR="009F4877" w:rsidRPr="00DA3787" w:rsidRDefault="009F4877" w:rsidP="00C91AC3">
            <w:pPr>
              <w:rPr>
                <w:b/>
              </w:rPr>
            </w:pPr>
          </w:p>
        </w:tc>
        <w:tc>
          <w:tcPr>
            <w:tcW w:w="2304" w:type="dxa"/>
            <w:shd w:val="pct10" w:color="auto" w:fill="auto"/>
          </w:tcPr>
          <w:p w14:paraId="793463E5" w14:textId="37EB811D" w:rsidR="009F4877" w:rsidRPr="00D37E69" w:rsidRDefault="008E1F8C" w:rsidP="00C91AC3">
            <w:pPr>
              <w:jc w:val="center"/>
              <w:rPr>
                <w:i/>
              </w:rPr>
            </w:pPr>
            <w:r>
              <w:rPr>
                <w:i/>
              </w:rPr>
              <w:t>SWMR write</w:t>
            </w:r>
          </w:p>
        </w:tc>
        <w:tc>
          <w:tcPr>
            <w:tcW w:w="1242" w:type="dxa"/>
            <w:shd w:val="clear" w:color="auto" w:fill="F2F2F2" w:themeFill="background1" w:themeFillShade="F2"/>
          </w:tcPr>
          <w:p w14:paraId="69E936A2" w14:textId="60C4F5E6" w:rsidR="009F4877" w:rsidRPr="00DA3787" w:rsidRDefault="008E1F8C" w:rsidP="00C91AC3">
            <w:pPr>
              <w:jc w:val="center"/>
            </w:pPr>
            <w:r>
              <w:t>N/A</w:t>
            </w:r>
          </w:p>
        </w:tc>
        <w:tc>
          <w:tcPr>
            <w:tcW w:w="2124" w:type="dxa"/>
            <w:shd w:val="clear" w:color="auto" w:fill="F2F2F2" w:themeFill="background1" w:themeFillShade="F2"/>
          </w:tcPr>
          <w:p w14:paraId="32E1DB2A" w14:textId="6365CC7A" w:rsidR="009F4877" w:rsidRPr="00DA3787" w:rsidRDefault="00A3185F" w:rsidP="00C91AC3">
            <w:pPr>
              <w:jc w:val="center"/>
            </w:pPr>
            <w:r>
              <w:t>N/A</w:t>
            </w:r>
          </w:p>
        </w:tc>
        <w:tc>
          <w:tcPr>
            <w:tcW w:w="2070" w:type="dxa"/>
            <w:shd w:val="clear" w:color="auto" w:fill="F2F2F2" w:themeFill="background1" w:themeFillShade="F2"/>
          </w:tcPr>
          <w:p w14:paraId="1DA1ACD5" w14:textId="536262F3" w:rsidR="009F4877" w:rsidRPr="00DA3787" w:rsidRDefault="00A3185F" w:rsidP="00C91AC3">
            <w:pPr>
              <w:jc w:val="center"/>
            </w:pPr>
            <w:r>
              <w:t>N/A</w:t>
            </w:r>
          </w:p>
        </w:tc>
        <w:tc>
          <w:tcPr>
            <w:tcW w:w="1476" w:type="dxa"/>
            <w:shd w:val="clear" w:color="auto" w:fill="F2F2F2" w:themeFill="background1" w:themeFillShade="F2"/>
          </w:tcPr>
          <w:p w14:paraId="5E70214C" w14:textId="7F1A5384" w:rsidR="009F4877" w:rsidRPr="00DA3787" w:rsidRDefault="008E1F8C" w:rsidP="00C91AC3">
            <w:pPr>
              <w:jc w:val="center"/>
            </w:pPr>
            <w:r>
              <w:t>N/A</w:t>
            </w:r>
          </w:p>
        </w:tc>
      </w:tr>
    </w:tbl>
    <w:p w14:paraId="761F20D0" w14:textId="77777777" w:rsidR="009F4877" w:rsidRDefault="009F4877" w:rsidP="0009450B"/>
    <w:p w14:paraId="070E0D27" w14:textId="05FFF832" w:rsidR="005C4287" w:rsidRDefault="005C4287" w:rsidP="005C4287">
      <w:pPr>
        <w:pStyle w:val="Heading1"/>
      </w:pPr>
      <w:r>
        <w:lastRenderedPageBreak/>
        <w:t>Programming Model</w:t>
      </w:r>
    </w:p>
    <w:p w14:paraId="2DF7BAFE" w14:textId="4A680E80" w:rsidR="00850149" w:rsidRDefault="00A86771" w:rsidP="005C4287">
      <w:r>
        <w:t xml:space="preserve">General SWMR operations are discussed in “The Programming Model” section in the SWMR user's guide. </w:t>
      </w:r>
      <w:proofErr w:type="gramStart"/>
      <w:r w:rsidR="00F243D6">
        <w:t xml:space="preserve">[ </w:t>
      </w:r>
      <w:proofErr w:type="gramEnd"/>
      <w:r w:rsidR="00F243D6">
        <w:fldChar w:fldCharType="begin"/>
      </w:r>
      <w:r w:rsidR="00F243D6">
        <w:instrText xml:space="preserve"> REF _Ref446595365 \r \h </w:instrText>
      </w:r>
      <w:r w:rsidR="00F243D6">
        <w:fldChar w:fldCharType="separate"/>
      </w:r>
      <w:r w:rsidR="00F243D6">
        <w:t>1</w:t>
      </w:r>
      <w:r w:rsidR="00F243D6">
        <w:t>0</w:t>
      </w:r>
      <w:r w:rsidR="00F243D6">
        <w:fldChar w:fldCharType="end"/>
      </w:r>
      <w:r w:rsidR="00F243D6">
        <w:t xml:space="preserve"> ]</w:t>
      </w:r>
    </w:p>
    <w:p w14:paraId="0526E516" w14:textId="77777777" w:rsidR="000046BA" w:rsidRDefault="000046BA" w:rsidP="005C4287"/>
    <w:p w14:paraId="264E87A0" w14:textId="402F3FE7" w:rsidR="00046C55" w:rsidRDefault="00046C55" w:rsidP="004A1B4A">
      <w:pPr>
        <w:pStyle w:val="Heading2"/>
      </w:pPr>
      <w:r>
        <w:t xml:space="preserve">Determining </w:t>
      </w:r>
      <w:r w:rsidR="000046BA">
        <w:t xml:space="preserve">the </w:t>
      </w:r>
      <w:r>
        <w:t>Success of Open/Create</w:t>
      </w:r>
    </w:p>
    <w:p w14:paraId="2DB5CA6F" w14:textId="52C7C799" w:rsidR="00046C55" w:rsidRDefault="00046C55" w:rsidP="005C4287">
      <w:r>
        <w:t xml:space="preserve">When attempting to open an HDF5 file, the possibility exists that the file will be </w:t>
      </w:r>
      <w:r w:rsidR="00B858FC">
        <w:t xml:space="preserve">locked by another </w:t>
      </w:r>
      <w:r>
        <w:t>process</w:t>
      </w:r>
      <w:r w:rsidR="00B858FC">
        <w:t xml:space="preserve"> in a way that prevents access</w:t>
      </w:r>
      <w:r>
        <w:t>. If this occurs</w:t>
      </w:r>
      <w:r w:rsidR="007E66A0">
        <w:t>,</w:t>
      </w:r>
      <w:r>
        <w:t xml:space="preserve"> the </w:t>
      </w:r>
      <w:proofErr w:type="gramStart"/>
      <w:r>
        <w:t>H5Fopen(</w:t>
      </w:r>
      <w:proofErr w:type="gramEnd"/>
      <w:r>
        <w:t>)</w:t>
      </w:r>
      <w:r w:rsidR="00B96344">
        <w:t xml:space="preserve"> or H5Fcreate() </w:t>
      </w:r>
      <w:r>
        <w:t xml:space="preserve">call will fail and a negative hid_t value will be returned to the caller. In order to determine if the failure was due to an inability to acquire the lock or </w:t>
      </w:r>
      <w:r w:rsidR="00B96344">
        <w:t xml:space="preserve">for </w:t>
      </w:r>
      <w:r>
        <w:t>some other reason, the H5E (error) interface can be used to query the error code set by the last API call</w:t>
      </w:r>
      <w:r w:rsidR="000F2489">
        <w:rPr>
          <w:rStyle w:val="FootnoteReference"/>
        </w:rPr>
        <w:footnoteReference w:id="1"/>
      </w:r>
      <w:r>
        <w:t>.</w:t>
      </w:r>
      <w:r w:rsidR="000F2489">
        <w:t xml:space="preserve"> </w:t>
      </w:r>
    </w:p>
    <w:p w14:paraId="395182E5" w14:textId="015A437A" w:rsidR="000F2489" w:rsidRDefault="000F2489" w:rsidP="005C4287">
      <w:r>
        <w:t xml:space="preserve">To query the error code, you will need to create a callback function which will be passed to </w:t>
      </w:r>
      <w:proofErr w:type="gramStart"/>
      <w:r>
        <w:t>H5Ewalk(</w:t>
      </w:r>
      <w:proofErr w:type="gramEnd"/>
      <w:r>
        <w:t>)</w:t>
      </w:r>
      <w:r w:rsidR="0071726C">
        <w:t xml:space="preserve"> along with the error stack obtained </w:t>
      </w:r>
      <w:r w:rsidR="00B96344">
        <w:t>from</w:t>
      </w:r>
      <w:r w:rsidR="0071726C">
        <w:t xml:space="preserve"> H5E_get_current_stack()</w:t>
      </w:r>
      <w:r>
        <w:t>.</w:t>
      </w:r>
      <w:r w:rsidR="0071726C">
        <w:t xml:space="preserve"> This</w:t>
      </w:r>
      <w:r w:rsidR="00F7253F">
        <w:t xml:space="preserve"> simple</w:t>
      </w:r>
      <w:r w:rsidR="0071726C">
        <w:t xml:space="preserve"> callback function will </w:t>
      </w:r>
      <w:r w:rsidR="00F7253F">
        <w:t xml:space="preserve">only </w:t>
      </w:r>
      <w:r w:rsidR="0071726C">
        <w:t>need to inspect the major and minor error codes in the passed-in H5E_error2_t struct</w:t>
      </w:r>
      <w:r w:rsidR="00850149">
        <w:t>ure</w:t>
      </w:r>
      <w:r w:rsidR="0071726C">
        <w:t xml:space="preserve"> and return its findings via the client_data pointer (</w:t>
      </w:r>
      <w:r w:rsidR="007C1CCA">
        <w:t>for example</w:t>
      </w:r>
      <w:r w:rsidR="0071726C">
        <w:t xml:space="preserve">, </w:t>
      </w:r>
      <w:r w:rsidR="00B858FC">
        <w:t xml:space="preserve">via </w:t>
      </w:r>
      <w:r w:rsidR="0071726C">
        <w:t xml:space="preserve">a </w:t>
      </w:r>
      <w:r w:rsidR="00850149">
        <w:t xml:space="preserve">Boolean </w:t>
      </w:r>
      <w:r w:rsidR="0071726C">
        <w:t xml:space="preserve">indicating </w:t>
      </w:r>
      <w:r w:rsidR="00B858FC">
        <w:t xml:space="preserve">that </w:t>
      </w:r>
      <w:r w:rsidR="00F7253F">
        <w:t xml:space="preserve">a file </w:t>
      </w:r>
      <w:r w:rsidR="0071726C">
        <w:t>lock failure</w:t>
      </w:r>
      <w:r w:rsidR="00F7253F">
        <w:t xml:space="preserve"> was found someplace in the error stack</w:t>
      </w:r>
      <w:r w:rsidR="0071726C">
        <w:t xml:space="preserve">). The major </w:t>
      </w:r>
      <w:r w:rsidR="00F7253F">
        <w:t>code</w:t>
      </w:r>
      <w:r w:rsidR="0071726C">
        <w:t xml:space="preserve"> will be H5E_FILE and the minor </w:t>
      </w:r>
      <w:r w:rsidR="00F7253F">
        <w:t>code</w:t>
      </w:r>
      <w:r w:rsidR="0071726C">
        <w:t xml:space="preserve"> will be </w:t>
      </w:r>
      <w:r w:rsidR="00F7253F">
        <w:t>H5E_CANTLOCK.</w:t>
      </w:r>
    </w:p>
    <w:p w14:paraId="404EF0EC" w14:textId="2E8BC135" w:rsidR="0071726C" w:rsidRDefault="0071726C" w:rsidP="005C4287">
      <w:r>
        <w:t>See section 9 of the HDF5 User's Guide for more details</w:t>
      </w:r>
      <w:r w:rsidR="00F7253F">
        <w:t xml:space="preserve"> on HDF5 error handling</w:t>
      </w:r>
      <w:r>
        <w:t>.</w:t>
      </w:r>
    </w:p>
    <w:p w14:paraId="1D6E595F" w14:textId="3D871D9D" w:rsidR="00F7253F" w:rsidRDefault="00F7253F" w:rsidP="005C4287">
      <w:r>
        <w:t>Note that our implementations of file locking will use non-blocking system functions when available.</w:t>
      </w:r>
    </w:p>
    <w:p w14:paraId="6EA07E30" w14:textId="77777777" w:rsidR="00022AA5" w:rsidRDefault="00022AA5" w:rsidP="005C4287"/>
    <w:p w14:paraId="48439FD3" w14:textId="56C16C0A" w:rsidR="00022AA5" w:rsidRPr="00B36383" w:rsidRDefault="00022AA5" w:rsidP="00B36383"/>
    <w:p w14:paraId="115D105D" w14:textId="5C3CB065" w:rsidR="00D85660" w:rsidRDefault="00D85660" w:rsidP="0009450B">
      <w:pPr>
        <w:pStyle w:val="Heading1"/>
      </w:pPr>
      <w:r>
        <w:lastRenderedPageBreak/>
        <w:t>Platform-</w:t>
      </w:r>
      <w:r w:rsidR="009F546A">
        <w:t xml:space="preserve">specific </w:t>
      </w:r>
      <w:r>
        <w:t>Implementations</w:t>
      </w:r>
    </w:p>
    <w:p w14:paraId="67D909D3" w14:textId="0A814435" w:rsidR="00AE4BE6" w:rsidRDefault="008B43CE" w:rsidP="008B43CE">
      <w:r>
        <w:t xml:space="preserve">The usual platform-independent layer in the HDF5 </w:t>
      </w:r>
      <w:r w:rsidR="00F243D6">
        <w:t xml:space="preserve">Library </w:t>
      </w:r>
      <w:r>
        <w:t>will be used to hide the underlying implementation of file locking on a particular platform.</w:t>
      </w:r>
      <w:r w:rsidR="00AE4BE6">
        <w:t xml:space="preserve"> In all cases, locks will be per-file and advisory</w:t>
      </w:r>
      <w:r w:rsidR="00F243D6">
        <w:t xml:space="preserve">; </w:t>
      </w:r>
      <w:r w:rsidR="00AE4BE6">
        <w:t>the library will respect them</w:t>
      </w:r>
      <w:r w:rsidR="00B96344">
        <w:t xml:space="preserve">, making them "mandatory" as far as a SWMR-aware HDF5 </w:t>
      </w:r>
      <w:r w:rsidR="00F243D6">
        <w:t xml:space="preserve">Library </w:t>
      </w:r>
      <w:r w:rsidR="00B96344">
        <w:t>is concerned</w:t>
      </w:r>
      <w:r w:rsidR="00AE4BE6">
        <w:t xml:space="preserve">. All locking implementations will endeavor to provide BSD lock </w:t>
      </w:r>
      <w:r w:rsidR="0035257B">
        <w:t xml:space="preserve">capabilities and </w:t>
      </w:r>
      <w:r w:rsidR="00AE4BE6">
        <w:t>semantics (see below).</w:t>
      </w:r>
    </w:p>
    <w:p w14:paraId="4E9B994D" w14:textId="666C2258" w:rsidR="008B43CE" w:rsidRDefault="00AE4BE6" w:rsidP="008B43CE">
      <w:r>
        <w:t>In a SWMR-aware library (1.10.</w:t>
      </w:r>
      <w:r w:rsidRPr="00AE4BE6">
        <w:rPr>
          <w:i/>
        </w:rPr>
        <w:t>x</w:t>
      </w:r>
      <w:r>
        <w:t>, 1.8.</w:t>
      </w:r>
      <w:r w:rsidRPr="00AE4BE6">
        <w:rPr>
          <w:i/>
        </w:rPr>
        <w:t>y</w:t>
      </w:r>
      <w:r>
        <w:t xml:space="preserve"> </w:t>
      </w:r>
      <w:r w:rsidR="00EC27AF">
        <w:t>(y has not yet been determined)</w:t>
      </w:r>
      <w:r>
        <w:t xml:space="preserve">), file I/O on active SWMR files will require file locking on a supported platform. When no suitable system file locking API calls are available, the HDF5 </w:t>
      </w:r>
      <w:r w:rsidR="00F243D6">
        <w:t xml:space="preserve">Library </w:t>
      </w:r>
      <w:r>
        <w:t xml:space="preserve">will use a dummy file locking function that always fails, preventing </w:t>
      </w:r>
      <w:r w:rsidR="0035257B">
        <w:t xml:space="preserve">concurrent SWMR </w:t>
      </w:r>
      <w:r>
        <w:t>file access</w:t>
      </w:r>
      <w:r>
        <w:rPr>
          <w:rStyle w:val="FootnoteReference"/>
        </w:rPr>
        <w:footnoteReference w:id="2"/>
      </w:r>
      <w:r>
        <w:t>.</w:t>
      </w:r>
    </w:p>
    <w:p w14:paraId="1811BC0A" w14:textId="77777777" w:rsidR="00F243D6" w:rsidRPr="008B43CE" w:rsidRDefault="00F243D6" w:rsidP="008B43CE"/>
    <w:p w14:paraId="3A497882" w14:textId="6C3201A1" w:rsidR="00D85660" w:rsidRDefault="0035257B" w:rsidP="004A1B4A">
      <w:pPr>
        <w:pStyle w:val="Heading2"/>
      </w:pPr>
      <w:r>
        <w:t>POSIX</w:t>
      </w:r>
      <w:r w:rsidR="00D85660">
        <w:t xml:space="preserve"> Systems</w:t>
      </w:r>
    </w:p>
    <w:p w14:paraId="4865C12D" w14:textId="07349A69" w:rsidR="009B09CB" w:rsidRDefault="00D85660" w:rsidP="00D85660">
      <w:r>
        <w:t xml:space="preserve">When available, </w:t>
      </w:r>
      <w:r w:rsidR="009B09CB">
        <w:t xml:space="preserve">BSD-style locks based on </w:t>
      </w:r>
      <w:proofErr w:type="gramStart"/>
      <w:r>
        <w:t>flock(</w:t>
      </w:r>
      <w:proofErr w:type="gramEnd"/>
      <w:r w:rsidR="0080284A">
        <w:t>2</w:t>
      </w:r>
      <w:r>
        <w:t xml:space="preserve">) will be used for file locking. When this function is not present, </w:t>
      </w:r>
      <w:r w:rsidR="009B09CB">
        <w:t xml:space="preserve">POSIX-style locks based on </w:t>
      </w:r>
      <w:proofErr w:type="gramStart"/>
      <w:r>
        <w:t>fcntl(</w:t>
      </w:r>
      <w:proofErr w:type="gramEnd"/>
      <w:r w:rsidR="0080284A">
        <w:t>2</w:t>
      </w:r>
      <w:r>
        <w:t xml:space="preserve">) will be used instead. </w:t>
      </w:r>
      <w:r w:rsidR="0080284A">
        <w:t xml:space="preserve">The particular function </w:t>
      </w:r>
      <w:r w:rsidR="007B3B11">
        <w:t xml:space="preserve">used </w:t>
      </w:r>
      <w:r w:rsidR="0080284A">
        <w:t xml:space="preserve">will be determined at configure/build time using the </w:t>
      </w:r>
      <w:r w:rsidR="009B09CB">
        <w:t xml:space="preserve">detection features of </w:t>
      </w:r>
      <w:r w:rsidR="002B5F91">
        <w:t xml:space="preserve">Autotools </w:t>
      </w:r>
      <w:r w:rsidR="0080284A">
        <w:t>or CMake.</w:t>
      </w:r>
      <w:r w:rsidR="009B09CB">
        <w:t xml:space="preserve"> </w:t>
      </w:r>
      <w:proofErr w:type="gramStart"/>
      <w:r w:rsidR="009B09CB">
        <w:t>lockf(</w:t>
      </w:r>
      <w:proofErr w:type="gramEnd"/>
      <w:r w:rsidR="009B09CB">
        <w:t>3) is another possible lock function found on POSIX systems</w:t>
      </w:r>
      <w:r w:rsidR="002B5F91">
        <w:t>;</w:t>
      </w:r>
      <w:r w:rsidR="009B09CB">
        <w:t xml:space="preserve"> however</w:t>
      </w:r>
      <w:r w:rsidR="002B5F91">
        <w:t>,</w:t>
      </w:r>
      <w:r w:rsidR="009B09CB">
        <w:t xml:space="preserve"> </w:t>
      </w:r>
      <w:r w:rsidR="002B5F91">
        <w:t>lockf(3)</w:t>
      </w:r>
      <w:r w:rsidR="009B09CB">
        <w:t xml:space="preserve"> usually uses the same underlying mechanisms as fcntl(2) locking</w:t>
      </w:r>
      <w:r w:rsidR="002B5F91">
        <w:t>,</w:t>
      </w:r>
      <w:r w:rsidR="009B09CB">
        <w:t xml:space="preserve"> and we have not identified any POSIX system on which fcntl(2) is not present.</w:t>
      </w:r>
    </w:p>
    <w:p w14:paraId="4FD48101" w14:textId="08146B84" w:rsidR="008B43CE" w:rsidRDefault="009B09CB" w:rsidP="00AE4BE6">
      <w:r>
        <w:t>T</w:t>
      </w:r>
      <w:r w:rsidR="00ED3C3D">
        <w:t>he primary reason for this preference</w:t>
      </w:r>
      <w:r>
        <w:t xml:space="preserve"> for BSD locks is that POSIX</w:t>
      </w:r>
      <w:r w:rsidR="00ED3C3D">
        <w:t xml:space="preserve"> locks will be lost if </w:t>
      </w:r>
      <w:r w:rsidR="00ED3C3D" w:rsidRPr="00ED3C3D">
        <w:rPr>
          <w:i/>
        </w:rPr>
        <w:t>any</w:t>
      </w:r>
      <w:r w:rsidR="00ED3C3D">
        <w:t xml:space="preserve"> file descriptor for the file is closed</w:t>
      </w:r>
      <w:r>
        <w:t xml:space="preserve">, </w:t>
      </w:r>
      <w:r w:rsidR="00ED3C3D">
        <w:t xml:space="preserve">which could cause problems </w:t>
      </w:r>
      <w:r>
        <w:t>in l</w:t>
      </w:r>
      <w:r w:rsidR="00AE4BE6">
        <w:t>arge applications where another part of the program</w:t>
      </w:r>
      <w:r>
        <w:t xml:space="preserve"> might access the file</w:t>
      </w:r>
      <w:r w:rsidR="00ED3C3D">
        <w:t>.</w:t>
      </w:r>
      <w:r w:rsidR="00AE4BE6">
        <w:t xml:space="preserve"> BSD locks do a much better job of providing per-file lock semantics</w:t>
      </w:r>
      <w:r w:rsidR="002B5F91">
        <w:t>,</w:t>
      </w:r>
      <w:r w:rsidR="00AE4BE6">
        <w:t xml:space="preserve"> and we do</w:t>
      </w:r>
      <w:r w:rsidR="002B5F91">
        <w:t xml:space="preserve"> </w:t>
      </w:r>
      <w:r w:rsidR="00AE4BE6">
        <w:t>n</w:t>
      </w:r>
      <w:r w:rsidR="002B5F91">
        <w:t>o</w:t>
      </w:r>
      <w:r w:rsidR="00AE4BE6">
        <w:t>t need the finer-grained locking functionality of the POSIX locks.</w:t>
      </w:r>
    </w:p>
    <w:p w14:paraId="1692CC82" w14:textId="126D515E" w:rsidR="009B09CB" w:rsidRDefault="005E6556" w:rsidP="00D85660">
      <w:r>
        <w:t xml:space="preserve">See the “Appendix” chapter beginning on page </w:t>
      </w:r>
      <w:r>
        <w:fldChar w:fldCharType="begin"/>
      </w:r>
      <w:r>
        <w:instrText xml:space="preserve"> PAGEREF _Ref446666490 \h </w:instrText>
      </w:r>
      <w:r>
        <w:fldChar w:fldCharType="separate"/>
      </w:r>
      <w:r>
        <w:rPr>
          <w:noProof/>
        </w:rPr>
        <w:t>14</w:t>
      </w:r>
      <w:r>
        <w:fldChar w:fldCharType="end"/>
      </w:r>
      <w:r>
        <w:t xml:space="preserve"> for more information on </w:t>
      </w:r>
      <w:r w:rsidR="009B09CB">
        <w:t>BSD and POSIX locking</w:t>
      </w:r>
      <w:r>
        <w:t>.</w:t>
      </w:r>
    </w:p>
    <w:p w14:paraId="6586413A" w14:textId="75C7D00F" w:rsidR="00F2340B" w:rsidRDefault="00F2340B" w:rsidP="00D85660">
      <w:r>
        <w:t xml:space="preserve">The availability of the various POSIX </w:t>
      </w:r>
      <w:r w:rsidR="0035257B">
        <w:t xml:space="preserve">and BSD </w:t>
      </w:r>
      <w:r>
        <w:t xml:space="preserve">lock functions </w:t>
      </w:r>
      <w:r w:rsidR="00523B8B">
        <w:t xml:space="preserve">on currently supported operating systems </w:t>
      </w:r>
      <w:r>
        <w:t xml:space="preserve">is as follows (recent </w:t>
      </w:r>
      <w:r w:rsidR="0080284A">
        <w:t xml:space="preserve">OS </w:t>
      </w:r>
      <w:r>
        <w:t>versions, as of 2015):</w:t>
      </w:r>
    </w:p>
    <w:tbl>
      <w:tblPr>
        <w:tblStyle w:val="TableGrid1"/>
        <w:tblW w:w="0" w:type="auto"/>
        <w:tblInd w:w="738" w:type="dxa"/>
        <w:tblLook w:val="04A0" w:firstRow="1" w:lastRow="0" w:firstColumn="1" w:lastColumn="0" w:noHBand="0" w:noVBand="1"/>
      </w:tblPr>
      <w:tblGrid>
        <w:gridCol w:w="2125"/>
        <w:gridCol w:w="2125"/>
        <w:gridCol w:w="2125"/>
        <w:gridCol w:w="2125"/>
      </w:tblGrid>
      <w:tr w:rsidR="00F2340B" w:rsidRPr="00F2340B" w14:paraId="5FAC0D69" w14:textId="77777777" w:rsidTr="00F2340B">
        <w:trPr>
          <w:trHeight w:val="402"/>
        </w:trPr>
        <w:tc>
          <w:tcPr>
            <w:tcW w:w="2125" w:type="dxa"/>
            <w:tcBorders>
              <w:bottom w:val="double" w:sz="4" w:space="0" w:color="000000" w:themeColor="text1"/>
              <w:right w:val="double" w:sz="4" w:space="0" w:color="000000" w:themeColor="text1"/>
            </w:tcBorders>
          </w:tcPr>
          <w:p w14:paraId="6A81297B" w14:textId="77777777" w:rsidR="00F2340B" w:rsidRPr="00F2340B" w:rsidRDefault="00F2340B" w:rsidP="00F2340B">
            <w:pPr>
              <w:jc w:val="center"/>
              <w:rPr>
                <w:rFonts w:ascii="Consolas" w:hAnsi="Consolas" w:cs="Consolas"/>
                <w:b/>
              </w:rPr>
            </w:pPr>
            <w:r w:rsidRPr="00F2340B">
              <w:rPr>
                <w:rFonts w:ascii="Consolas" w:hAnsi="Consolas" w:cs="Consolas"/>
                <w:b/>
              </w:rPr>
              <w:t>OS</w:t>
            </w:r>
          </w:p>
        </w:tc>
        <w:tc>
          <w:tcPr>
            <w:tcW w:w="2125" w:type="dxa"/>
            <w:tcBorders>
              <w:left w:val="double" w:sz="4" w:space="0" w:color="000000" w:themeColor="text1"/>
              <w:bottom w:val="double" w:sz="4" w:space="0" w:color="000000" w:themeColor="text1"/>
            </w:tcBorders>
          </w:tcPr>
          <w:p w14:paraId="78214499" w14:textId="77777777" w:rsidR="00F2340B" w:rsidRPr="00F2340B" w:rsidRDefault="00F2340B" w:rsidP="00F2340B">
            <w:pPr>
              <w:jc w:val="center"/>
              <w:rPr>
                <w:rFonts w:ascii="Consolas" w:hAnsi="Consolas" w:cs="Consolas"/>
                <w:b/>
              </w:rPr>
            </w:pPr>
            <w:r w:rsidRPr="00F2340B">
              <w:rPr>
                <w:rFonts w:ascii="Consolas" w:hAnsi="Consolas" w:cs="Consolas"/>
                <w:b/>
              </w:rPr>
              <w:t>flock</w:t>
            </w:r>
          </w:p>
        </w:tc>
        <w:tc>
          <w:tcPr>
            <w:tcW w:w="2125" w:type="dxa"/>
            <w:tcBorders>
              <w:bottom w:val="double" w:sz="4" w:space="0" w:color="000000" w:themeColor="text1"/>
            </w:tcBorders>
          </w:tcPr>
          <w:p w14:paraId="2F519785" w14:textId="77777777" w:rsidR="00F2340B" w:rsidRPr="00F2340B" w:rsidRDefault="00F2340B" w:rsidP="00F2340B">
            <w:pPr>
              <w:jc w:val="center"/>
              <w:rPr>
                <w:rFonts w:ascii="Consolas" w:hAnsi="Consolas" w:cs="Consolas"/>
                <w:b/>
              </w:rPr>
            </w:pPr>
            <w:r w:rsidRPr="00F2340B">
              <w:rPr>
                <w:rFonts w:ascii="Consolas" w:hAnsi="Consolas" w:cs="Consolas"/>
                <w:b/>
              </w:rPr>
              <w:t>fcntl</w:t>
            </w:r>
          </w:p>
        </w:tc>
        <w:tc>
          <w:tcPr>
            <w:tcW w:w="2125" w:type="dxa"/>
            <w:tcBorders>
              <w:bottom w:val="double" w:sz="4" w:space="0" w:color="000000" w:themeColor="text1"/>
            </w:tcBorders>
          </w:tcPr>
          <w:p w14:paraId="682E9F8F" w14:textId="77777777" w:rsidR="00F2340B" w:rsidRPr="00F2340B" w:rsidRDefault="00F2340B" w:rsidP="00F2340B">
            <w:pPr>
              <w:jc w:val="center"/>
              <w:rPr>
                <w:rFonts w:ascii="Consolas" w:hAnsi="Consolas" w:cs="Consolas"/>
                <w:b/>
              </w:rPr>
            </w:pPr>
            <w:r w:rsidRPr="00F2340B">
              <w:rPr>
                <w:rFonts w:ascii="Consolas" w:hAnsi="Consolas" w:cs="Consolas"/>
                <w:b/>
              </w:rPr>
              <w:t>lockf</w:t>
            </w:r>
          </w:p>
        </w:tc>
      </w:tr>
      <w:tr w:rsidR="00F2340B" w:rsidRPr="00F2340B" w14:paraId="4CD56FE3" w14:textId="77777777" w:rsidTr="00F2340B">
        <w:trPr>
          <w:trHeight w:val="387"/>
        </w:trPr>
        <w:tc>
          <w:tcPr>
            <w:tcW w:w="2125" w:type="dxa"/>
            <w:tcBorders>
              <w:top w:val="double" w:sz="4" w:space="0" w:color="000000" w:themeColor="text1"/>
              <w:right w:val="double" w:sz="4" w:space="0" w:color="000000" w:themeColor="text1"/>
            </w:tcBorders>
          </w:tcPr>
          <w:p w14:paraId="668B5487" w14:textId="77777777" w:rsidR="00F2340B" w:rsidRPr="00F2340B" w:rsidRDefault="00F2340B" w:rsidP="00F2340B">
            <w:pPr>
              <w:jc w:val="center"/>
            </w:pPr>
            <w:r w:rsidRPr="00F2340B">
              <w:t>Linux</w:t>
            </w:r>
          </w:p>
        </w:tc>
        <w:tc>
          <w:tcPr>
            <w:tcW w:w="2125" w:type="dxa"/>
            <w:tcBorders>
              <w:top w:val="double" w:sz="4" w:space="0" w:color="000000" w:themeColor="text1"/>
              <w:left w:val="double" w:sz="4" w:space="0" w:color="000000" w:themeColor="text1"/>
            </w:tcBorders>
          </w:tcPr>
          <w:p w14:paraId="0A36A1A7" w14:textId="77777777" w:rsidR="00F2340B" w:rsidRPr="00F2340B" w:rsidRDefault="00F2340B" w:rsidP="00F2340B">
            <w:pPr>
              <w:jc w:val="center"/>
            </w:pPr>
            <w:r w:rsidRPr="00F2340B">
              <w:t>Y</w:t>
            </w:r>
          </w:p>
        </w:tc>
        <w:tc>
          <w:tcPr>
            <w:tcW w:w="2125" w:type="dxa"/>
            <w:tcBorders>
              <w:top w:val="double" w:sz="4" w:space="0" w:color="000000" w:themeColor="text1"/>
            </w:tcBorders>
          </w:tcPr>
          <w:p w14:paraId="6CE438A4" w14:textId="77777777" w:rsidR="00F2340B" w:rsidRPr="00F2340B" w:rsidRDefault="00F2340B" w:rsidP="00F2340B">
            <w:pPr>
              <w:jc w:val="center"/>
            </w:pPr>
            <w:r w:rsidRPr="00F2340B">
              <w:t>Y</w:t>
            </w:r>
          </w:p>
        </w:tc>
        <w:tc>
          <w:tcPr>
            <w:tcW w:w="2125" w:type="dxa"/>
            <w:tcBorders>
              <w:top w:val="double" w:sz="4" w:space="0" w:color="000000" w:themeColor="text1"/>
            </w:tcBorders>
          </w:tcPr>
          <w:p w14:paraId="0A5DD588" w14:textId="77777777" w:rsidR="00F2340B" w:rsidRPr="00F2340B" w:rsidRDefault="00F2340B" w:rsidP="00F2340B">
            <w:pPr>
              <w:jc w:val="center"/>
            </w:pPr>
            <w:r w:rsidRPr="00F2340B">
              <w:t>Y</w:t>
            </w:r>
          </w:p>
        </w:tc>
      </w:tr>
      <w:tr w:rsidR="00F2340B" w:rsidRPr="00F2340B" w14:paraId="233326B8" w14:textId="77777777" w:rsidTr="00F2340B">
        <w:trPr>
          <w:trHeight w:val="402"/>
        </w:trPr>
        <w:tc>
          <w:tcPr>
            <w:tcW w:w="2125" w:type="dxa"/>
            <w:tcBorders>
              <w:right w:val="double" w:sz="4" w:space="0" w:color="000000" w:themeColor="text1"/>
            </w:tcBorders>
          </w:tcPr>
          <w:p w14:paraId="33323B1F" w14:textId="77777777" w:rsidR="00F2340B" w:rsidRPr="00F2340B" w:rsidRDefault="00F2340B" w:rsidP="00F2340B">
            <w:pPr>
              <w:jc w:val="center"/>
            </w:pPr>
            <w:r w:rsidRPr="00F2340B">
              <w:t>FreeBSD</w:t>
            </w:r>
          </w:p>
        </w:tc>
        <w:tc>
          <w:tcPr>
            <w:tcW w:w="2125" w:type="dxa"/>
            <w:tcBorders>
              <w:left w:val="double" w:sz="4" w:space="0" w:color="000000" w:themeColor="text1"/>
            </w:tcBorders>
          </w:tcPr>
          <w:p w14:paraId="2912DE11" w14:textId="77777777" w:rsidR="00F2340B" w:rsidRPr="00F2340B" w:rsidRDefault="00F2340B" w:rsidP="00F2340B">
            <w:pPr>
              <w:jc w:val="center"/>
            </w:pPr>
            <w:r w:rsidRPr="00F2340B">
              <w:t>Y</w:t>
            </w:r>
          </w:p>
        </w:tc>
        <w:tc>
          <w:tcPr>
            <w:tcW w:w="2125" w:type="dxa"/>
          </w:tcPr>
          <w:p w14:paraId="53DE08CB" w14:textId="77777777" w:rsidR="00F2340B" w:rsidRPr="00F2340B" w:rsidRDefault="00F2340B" w:rsidP="00F2340B">
            <w:pPr>
              <w:jc w:val="center"/>
            </w:pPr>
            <w:r w:rsidRPr="00F2340B">
              <w:t>Y</w:t>
            </w:r>
          </w:p>
        </w:tc>
        <w:tc>
          <w:tcPr>
            <w:tcW w:w="2125" w:type="dxa"/>
          </w:tcPr>
          <w:p w14:paraId="08042CB1" w14:textId="77777777" w:rsidR="00F2340B" w:rsidRPr="00F2340B" w:rsidRDefault="00F2340B" w:rsidP="00F2340B">
            <w:pPr>
              <w:jc w:val="center"/>
            </w:pPr>
            <w:r w:rsidRPr="00F2340B">
              <w:t>Y</w:t>
            </w:r>
          </w:p>
        </w:tc>
      </w:tr>
      <w:tr w:rsidR="00F2340B" w:rsidRPr="00F2340B" w14:paraId="4B3A5A0A" w14:textId="77777777" w:rsidTr="00F2340B">
        <w:trPr>
          <w:trHeight w:val="417"/>
        </w:trPr>
        <w:tc>
          <w:tcPr>
            <w:tcW w:w="2125" w:type="dxa"/>
            <w:tcBorders>
              <w:right w:val="double" w:sz="4" w:space="0" w:color="000000" w:themeColor="text1"/>
            </w:tcBorders>
          </w:tcPr>
          <w:p w14:paraId="7C611EF5" w14:textId="77777777" w:rsidR="00F2340B" w:rsidRPr="00F2340B" w:rsidRDefault="00F2340B" w:rsidP="00F2340B">
            <w:pPr>
              <w:jc w:val="center"/>
            </w:pPr>
            <w:r w:rsidRPr="00F2340B">
              <w:t>OS X</w:t>
            </w:r>
          </w:p>
        </w:tc>
        <w:tc>
          <w:tcPr>
            <w:tcW w:w="2125" w:type="dxa"/>
            <w:tcBorders>
              <w:left w:val="double" w:sz="4" w:space="0" w:color="000000" w:themeColor="text1"/>
            </w:tcBorders>
          </w:tcPr>
          <w:p w14:paraId="34ED8D19" w14:textId="77777777" w:rsidR="00F2340B" w:rsidRPr="00F2340B" w:rsidRDefault="00F2340B" w:rsidP="00F2340B">
            <w:pPr>
              <w:jc w:val="center"/>
            </w:pPr>
            <w:r w:rsidRPr="00F2340B">
              <w:t>Y</w:t>
            </w:r>
          </w:p>
        </w:tc>
        <w:tc>
          <w:tcPr>
            <w:tcW w:w="2125" w:type="dxa"/>
          </w:tcPr>
          <w:p w14:paraId="184AC7BC" w14:textId="77777777" w:rsidR="00F2340B" w:rsidRPr="00F2340B" w:rsidRDefault="00F2340B" w:rsidP="00F2340B">
            <w:pPr>
              <w:jc w:val="center"/>
            </w:pPr>
            <w:r w:rsidRPr="00F2340B">
              <w:t>Y</w:t>
            </w:r>
          </w:p>
        </w:tc>
        <w:tc>
          <w:tcPr>
            <w:tcW w:w="2125" w:type="dxa"/>
          </w:tcPr>
          <w:p w14:paraId="07DD2E00" w14:textId="77777777" w:rsidR="00F2340B" w:rsidRPr="00F2340B" w:rsidRDefault="00F2340B" w:rsidP="00F2340B">
            <w:pPr>
              <w:jc w:val="center"/>
            </w:pPr>
            <w:r w:rsidRPr="00F2340B">
              <w:t>Y</w:t>
            </w:r>
          </w:p>
        </w:tc>
      </w:tr>
      <w:tr w:rsidR="00F2340B" w:rsidRPr="00F2340B" w14:paraId="50875C4C" w14:textId="77777777" w:rsidTr="00F2340B">
        <w:trPr>
          <w:trHeight w:val="402"/>
        </w:trPr>
        <w:tc>
          <w:tcPr>
            <w:tcW w:w="2125" w:type="dxa"/>
            <w:tcBorders>
              <w:right w:val="double" w:sz="4" w:space="0" w:color="000000" w:themeColor="text1"/>
            </w:tcBorders>
          </w:tcPr>
          <w:p w14:paraId="189D19A3" w14:textId="77777777" w:rsidR="00F2340B" w:rsidRPr="00F2340B" w:rsidRDefault="00F2340B" w:rsidP="00F2340B">
            <w:pPr>
              <w:jc w:val="center"/>
            </w:pPr>
            <w:r w:rsidRPr="00F2340B">
              <w:t>Solaris</w:t>
            </w:r>
          </w:p>
        </w:tc>
        <w:tc>
          <w:tcPr>
            <w:tcW w:w="2125" w:type="dxa"/>
            <w:tcBorders>
              <w:left w:val="double" w:sz="4" w:space="0" w:color="000000" w:themeColor="text1"/>
            </w:tcBorders>
            <w:shd w:val="clear" w:color="auto" w:fill="F2DBDB" w:themeFill="accent2" w:themeFillTint="33"/>
          </w:tcPr>
          <w:p w14:paraId="5DED3A2F" w14:textId="77777777" w:rsidR="00F2340B" w:rsidRPr="00F2340B" w:rsidRDefault="00F2340B" w:rsidP="00F2340B">
            <w:pPr>
              <w:jc w:val="center"/>
              <w:rPr>
                <w:b/>
              </w:rPr>
            </w:pPr>
            <w:r w:rsidRPr="00F2340B">
              <w:rPr>
                <w:b/>
                <w:color w:val="FF0000"/>
              </w:rPr>
              <w:t>N</w:t>
            </w:r>
          </w:p>
        </w:tc>
        <w:tc>
          <w:tcPr>
            <w:tcW w:w="2125" w:type="dxa"/>
          </w:tcPr>
          <w:p w14:paraId="70DE1136" w14:textId="77777777" w:rsidR="00F2340B" w:rsidRPr="00F2340B" w:rsidRDefault="00F2340B" w:rsidP="00F2340B">
            <w:pPr>
              <w:jc w:val="center"/>
            </w:pPr>
            <w:r w:rsidRPr="00F2340B">
              <w:t>Y</w:t>
            </w:r>
          </w:p>
        </w:tc>
        <w:tc>
          <w:tcPr>
            <w:tcW w:w="2125" w:type="dxa"/>
          </w:tcPr>
          <w:p w14:paraId="1247334A" w14:textId="77777777" w:rsidR="00F2340B" w:rsidRPr="00F2340B" w:rsidRDefault="00F2340B" w:rsidP="00F2340B">
            <w:pPr>
              <w:jc w:val="center"/>
            </w:pPr>
            <w:r w:rsidRPr="00F2340B">
              <w:t>Y</w:t>
            </w:r>
          </w:p>
        </w:tc>
      </w:tr>
      <w:tr w:rsidR="00F2340B" w:rsidRPr="00F2340B" w14:paraId="2B826969" w14:textId="77777777" w:rsidTr="00F2340B">
        <w:trPr>
          <w:trHeight w:val="417"/>
        </w:trPr>
        <w:tc>
          <w:tcPr>
            <w:tcW w:w="2125" w:type="dxa"/>
            <w:tcBorders>
              <w:right w:val="double" w:sz="4" w:space="0" w:color="000000" w:themeColor="text1"/>
            </w:tcBorders>
          </w:tcPr>
          <w:p w14:paraId="73ECB536" w14:textId="77777777" w:rsidR="00F2340B" w:rsidRPr="00F2340B" w:rsidRDefault="00F2340B" w:rsidP="00F2340B">
            <w:pPr>
              <w:jc w:val="center"/>
            </w:pPr>
            <w:r w:rsidRPr="00F2340B">
              <w:t>Cygwin</w:t>
            </w:r>
          </w:p>
        </w:tc>
        <w:tc>
          <w:tcPr>
            <w:tcW w:w="2125" w:type="dxa"/>
            <w:tcBorders>
              <w:left w:val="double" w:sz="4" w:space="0" w:color="000000" w:themeColor="text1"/>
            </w:tcBorders>
          </w:tcPr>
          <w:p w14:paraId="5AF0BE25" w14:textId="77777777" w:rsidR="00F2340B" w:rsidRPr="00F2340B" w:rsidRDefault="00F2340B" w:rsidP="00F2340B">
            <w:pPr>
              <w:jc w:val="center"/>
            </w:pPr>
            <w:r w:rsidRPr="00F2340B">
              <w:t>Y</w:t>
            </w:r>
          </w:p>
        </w:tc>
        <w:tc>
          <w:tcPr>
            <w:tcW w:w="2125" w:type="dxa"/>
          </w:tcPr>
          <w:p w14:paraId="60BB7013" w14:textId="77777777" w:rsidR="00F2340B" w:rsidRPr="00F2340B" w:rsidRDefault="00F2340B" w:rsidP="00F2340B">
            <w:pPr>
              <w:jc w:val="center"/>
            </w:pPr>
            <w:r w:rsidRPr="00F2340B">
              <w:t>Y</w:t>
            </w:r>
          </w:p>
        </w:tc>
        <w:tc>
          <w:tcPr>
            <w:tcW w:w="2125" w:type="dxa"/>
          </w:tcPr>
          <w:p w14:paraId="11C7728E" w14:textId="77777777" w:rsidR="00F2340B" w:rsidRPr="00F2340B" w:rsidRDefault="00F2340B" w:rsidP="00F2340B">
            <w:pPr>
              <w:jc w:val="center"/>
            </w:pPr>
            <w:r w:rsidRPr="00F2340B">
              <w:t>Y</w:t>
            </w:r>
          </w:p>
        </w:tc>
      </w:tr>
    </w:tbl>
    <w:p w14:paraId="76B6B417" w14:textId="77777777" w:rsidR="00D85660" w:rsidRDefault="00D85660" w:rsidP="00D85660"/>
    <w:p w14:paraId="5A27E0AC" w14:textId="77777777" w:rsidR="00D85660" w:rsidRDefault="00D85660" w:rsidP="004A1B4A">
      <w:pPr>
        <w:pStyle w:val="Heading2"/>
      </w:pPr>
      <w:r>
        <w:t>Windows</w:t>
      </w:r>
    </w:p>
    <w:p w14:paraId="46E30C50" w14:textId="77777777" w:rsidR="00F2340B" w:rsidRPr="00554596" w:rsidRDefault="00F2340B" w:rsidP="00F2340B">
      <w:pPr>
        <w:ind w:left="720" w:right="576"/>
        <w:rPr>
          <w:rStyle w:val="Emphasis"/>
        </w:rPr>
      </w:pPr>
      <w:r w:rsidRPr="00554596">
        <w:rPr>
          <w:rStyle w:val="Emphasis"/>
        </w:rPr>
        <w:t>NOTE: Even though we currently do not support SWMR on Windows, the win32 implementation of file locking is included for completeness.</w:t>
      </w:r>
    </w:p>
    <w:p w14:paraId="48F835AA" w14:textId="590448E3" w:rsidR="0080284A" w:rsidRDefault="00F2340B" w:rsidP="00F2340B">
      <w:r>
        <w:lastRenderedPageBreak/>
        <w:t>Windows uses the</w:t>
      </w:r>
      <w:r w:rsidR="0035257B">
        <w:t xml:space="preserve"> </w:t>
      </w:r>
      <w:proofErr w:type="spellStart"/>
      <w:proofErr w:type="gramStart"/>
      <w:r w:rsidR="0035257B">
        <w:t>LockFile</w:t>
      </w:r>
      <w:proofErr w:type="spellEnd"/>
      <w:r w:rsidR="0035257B">
        <w:t>(</w:t>
      </w:r>
      <w:proofErr w:type="gramEnd"/>
      <w:r w:rsidR="0035257B">
        <w:t>) and</w:t>
      </w:r>
      <w:r>
        <w:t xml:space="preserve"> </w:t>
      </w:r>
      <w:proofErr w:type="spellStart"/>
      <w:r>
        <w:t>LockFileEx</w:t>
      </w:r>
      <w:proofErr w:type="spellEnd"/>
      <w:r>
        <w:t>() function</w:t>
      </w:r>
      <w:r w:rsidR="0035257B">
        <w:t>s</w:t>
      </w:r>
      <w:r>
        <w:t xml:space="preserve"> for file locking</w:t>
      </w:r>
      <w:r w:rsidR="0035257B">
        <w:t xml:space="preserve"> (the Ex function has more advanced features). The Ex call</w:t>
      </w:r>
      <w:r>
        <w:t xml:space="preserve"> has semantics that are v</w:t>
      </w:r>
      <w:r w:rsidR="00ED3C3D">
        <w:t xml:space="preserve">ery similar to those of </w:t>
      </w:r>
      <w:r w:rsidR="0035257B">
        <w:t>BSD locks</w:t>
      </w:r>
      <w:r w:rsidR="00ED3C3D">
        <w:t xml:space="preserve"> but also has functionality that is available via </w:t>
      </w:r>
      <w:r w:rsidR="0035257B">
        <w:t>POSIX locks,</w:t>
      </w:r>
      <w:r w:rsidR="00ED3C3D">
        <w:t xml:space="preserve"> such as region locking, should that ever be required.</w:t>
      </w:r>
      <w:r w:rsidR="00B96344">
        <w:t xml:space="preserve"> As in the POSIX and BSD locks, both shared and exclusive locks are available</w:t>
      </w:r>
      <w:r w:rsidR="00C51EE7">
        <w:t>,</w:t>
      </w:r>
      <w:r w:rsidR="00B96344">
        <w:t xml:space="preserve"> and locks can be either blocking or non-blocking.</w:t>
      </w:r>
    </w:p>
    <w:p w14:paraId="146D20FB" w14:textId="77777777" w:rsidR="00C51EE7" w:rsidRDefault="00C51EE7" w:rsidP="00F2340B"/>
    <w:p w14:paraId="752F927F" w14:textId="77777777" w:rsidR="0009450B" w:rsidRDefault="00D85660" w:rsidP="0009450B">
      <w:pPr>
        <w:pStyle w:val="Heading1"/>
      </w:pPr>
      <w:r>
        <w:lastRenderedPageBreak/>
        <w:t>The h5clear</w:t>
      </w:r>
      <w:r w:rsidR="0009450B">
        <w:t xml:space="preserve"> Tool</w:t>
      </w:r>
    </w:p>
    <w:p w14:paraId="3D1406E0" w14:textId="6281FD80" w:rsidR="0009450B" w:rsidRDefault="0009450B" w:rsidP="0009450B">
      <w:r>
        <w:t xml:space="preserve">As stated in the </w:t>
      </w:r>
      <w:r w:rsidR="001F76E1">
        <w:t>file locking semantics</w:t>
      </w:r>
      <w:r>
        <w:t xml:space="preserve"> section, the </w:t>
      </w:r>
      <w:r w:rsidR="0080284A">
        <w:t xml:space="preserve">library </w:t>
      </w:r>
      <w:r w:rsidR="005C4287">
        <w:t>will add</w:t>
      </w:r>
      <w:r w:rsidR="0080284A">
        <w:t xml:space="preserve"> a flag </w:t>
      </w:r>
      <w:r w:rsidR="005C4287">
        <w:t>to</w:t>
      </w:r>
      <w:r w:rsidR="0080284A">
        <w:t xml:space="preserve"> the file'</w:t>
      </w:r>
      <w:r>
        <w:t>s superbloc</w:t>
      </w:r>
      <w:r w:rsidR="005C4287">
        <w:t xml:space="preserve">k to mark </w:t>
      </w:r>
      <w:r w:rsidR="00C51EE7">
        <w:t xml:space="preserve">that </w:t>
      </w:r>
      <w:r w:rsidR="005C4287">
        <w:t xml:space="preserve">a file </w:t>
      </w:r>
      <w:r w:rsidR="00C51EE7">
        <w:t xml:space="preserve">is </w:t>
      </w:r>
      <w:r w:rsidR="005C4287">
        <w:t xml:space="preserve">in writing </w:t>
      </w:r>
      <w:r>
        <w:t xml:space="preserve">or SWMR </w:t>
      </w:r>
      <w:r w:rsidR="00B46597">
        <w:t xml:space="preserve">writing </w:t>
      </w:r>
      <w:r>
        <w:t>mode</w:t>
      </w:r>
      <w:r w:rsidR="00C51EE7">
        <w:t>,</w:t>
      </w:r>
      <w:r w:rsidR="0008420F">
        <w:t xml:space="preserve"> </w:t>
      </w:r>
      <w:r>
        <w:t xml:space="preserve">and it will clear the flag when the file closes. However, </w:t>
      </w:r>
      <w:r w:rsidR="005C4287">
        <w:t>a</w:t>
      </w:r>
      <w:r w:rsidR="0080284A">
        <w:t xml:space="preserve"> </w:t>
      </w:r>
      <w:r>
        <w:t>s</w:t>
      </w:r>
      <w:r w:rsidR="00904973">
        <w:t>i</w:t>
      </w:r>
      <w:r w:rsidR="00524C2B">
        <w:t xml:space="preserve">tuation </w:t>
      </w:r>
      <w:r w:rsidR="00C51EE7">
        <w:t xml:space="preserve">such as a program crash or power outage </w:t>
      </w:r>
      <w:r w:rsidR="00524C2B">
        <w:t xml:space="preserve">may occur </w:t>
      </w:r>
      <w:r w:rsidR="0080284A">
        <w:t>where</w:t>
      </w:r>
      <w:r w:rsidR="00524C2B">
        <w:t xml:space="preserve"> an open</w:t>
      </w:r>
      <w:r w:rsidR="00904973">
        <w:t xml:space="preserve"> file </w:t>
      </w:r>
      <w:r w:rsidR="0080284A">
        <w:t>is closed</w:t>
      </w:r>
      <w:r>
        <w:t xml:space="preserve"> without going through </w:t>
      </w:r>
      <w:r w:rsidR="005B32B9">
        <w:t xml:space="preserve">normal library </w:t>
      </w:r>
      <w:r w:rsidR="0080284A">
        <w:t>file closing procedure</w:t>
      </w:r>
      <w:r w:rsidR="00C51EE7">
        <w:t>,</w:t>
      </w:r>
      <w:r w:rsidR="0080284A">
        <w:t xml:space="preserve"> </w:t>
      </w:r>
      <w:r w:rsidR="005B32B9">
        <w:t xml:space="preserve">and the </w:t>
      </w:r>
      <w:r w:rsidR="0080284A">
        <w:t xml:space="preserve">superblock </w:t>
      </w:r>
      <w:r w:rsidR="005B32B9">
        <w:t xml:space="preserve">flag </w:t>
      </w:r>
      <w:r w:rsidR="0080284A">
        <w:t>will</w:t>
      </w:r>
      <w:r w:rsidR="005B32B9">
        <w:t xml:space="preserve"> not </w:t>
      </w:r>
      <w:r w:rsidR="0080284A">
        <w:t xml:space="preserve">be </w:t>
      </w:r>
      <w:r w:rsidR="005B32B9">
        <w:t>cleared as a result</w:t>
      </w:r>
      <w:r>
        <w:t xml:space="preserve">. This situation </w:t>
      </w:r>
      <w:r w:rsidR="0080284A">
        <w:t>will</w:t>
      </w:r>
      <w:r>
        <w:t xml:space="preserve"> prevent a user from opening the file</w:t>
      </w:r>
      <w:r w:rsidR="0080284A">
        <w:t xml:space="preserve"> with a SWMR-aware HDF5 </w:t>
      </w:r>
      <w:r w:rsidR="00C51EE7">
        <w:t>Library</w:t>
      </w:r>
      <w:r>
        <w:t xml:space="preserve">. The library </w:t>
      </w:r>
      <w:r w:rsidR="00FB035B">
        <w:t xml:space="preserve">will </w:t>
      </w:r>
      <w:r>
        <w:t xml:space="preserve">therefore </w:t>
      </w:r>
      <w:r w:rsidR="00FB035B">
        <w:t>provide</w:t>
      </w:r>
      <w:r>
        <w:t xml:space="preserve"> a simple tool called </w:t>
      </w:r>
      <w:r w:rsidRPr="00E573BE">
        <w:rPr>
          <w:i/>
        </w:rPr>
        <w:t>h5clear</w:t>
      </w:r>
      <w:r>
        <w:t xml:space="preserve"> </w:t>
      </w:r>
      <w:r w:rsidR="005B32B9">
        <w:t>so</w:t>
      </w:r>
      <w:r>
        <w:t xml:space="preserve"> </w:t>
      </w:r>
      <w:r w:rsidR="005B32B9">
        <w:t xml:space="preserve">that </w:t>
      </w:r>
      <w:r>
        <w:t xml:space="preserve">a user </w:t>
      </w:r>
      <w:r w:rsidR="005B32B9">
        <w:t>can</w:t>
      </w:r>
      <w:r>
        <w:t xml:space="preserve"> clear </w:t>
      </w:r>
      <w:r w:rsidR="005B32B9">
        <w:t>this</w:t>
      </w:r>
      <w:r>
        <w:t xml:space="preserve"> flag.</w:t>
      </w:r>
    </w:p>
    <w:p w14:paraId="44589937" w14:textId="3DA29DB1" w:rsidR="0009450B" w:rsidRDefault="0009450B" w:rsidP="0009450B">
      <w:r>
        <w:t xml:space="preserve">The tool will open the input file with a file access property list that is set with a private property called H5F_ACS_CLEAR_STATUS_FLAGS_NAME. Upon encountering this property during file open, the library will clear </w:t>
      </w:r>
      <w:r w:rsidR="005B32B9">
        <w:t>this</w:t>
      </w:r>
      <w:r>
        <w:t xml:space="preserve"> flag in the file’s superblock. The tool will then close the file.</w:t>
      </w:r>
    </w:p>
    <w:p w14:paraId="548C7734" w14:textId="77777777" w:rsidR="00C51EE7" w:rsidRDefault="00C51EE7" w:rsidP="0009450B"/>
    <w:p w14:paraId="3FF031AD" w14:textId="77777777" w:rsidR="0009450B" w:rsidRPr="000557A5" w:rsidRDefault="0009450B" w:rsidP="00EC27AF">
      <w:pPr>
        <w:pStyle w:val="Heading1"/>
      </w:pPr>
      <w:r>
        <w:lastRenderedPageBreak/>
        <w:t>Acknowledgements</w:t>
      </w:r>
    </w:p>
    <w:p w14:paraId="7CAE8599" w14:textId="77777777" w:rsidR="0009450B" w:rsidRDefault="0009450B" w:rsidP="00611674">
      <w:r>
        <w:t xml:space="preserve">This work </w:t>
      </w:r>
      <w:r w:rsidR="0068417A">
        <w:t>is</w:t>
      </w:r>
      <w:r>
        <w:t xml:space="preserve"> supported by a customer of The HDF Group, Dectris.</w:t>
      </w:r>
    </w:p>
    <w:p w14:paraId="4E4830EC" w14:textId="77777777" w:rsidR="00611674" w:rsidRDefault="00611674" w:rsidP="00A86771">
      <w:pPr>
        <w:pStyle w:val="Heading1"/>
      </w:pPr>
      <w:r>
        <w:lastRenderedPageBreak/>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74B55BCB" w14:textId="77777777">
        <w:trPr>
          <w:jc w:val="center"/>
        </w:trPr>
        <w:tc>
          <w:tcPr>
            <w:tcW w:w="2337" w:type="dxa"/>
          </w:tcPr>
          <w:p w14:paraId="4289AEC4" w14:textId="77777777" w:rsidR="00611674" w:rsidRPr="009D6CFF" w:rsidRDefault="0009450B" w:rsidP="00B66210">
            <w:pPr>
              <w:rPr>
                <w:i/>
              </w:rPr>
            </w:pPr>
            <w:r>
              <w:rPr>
                <w:i/>
              </w:rPr>
              <w:t>January</w:t>
            </w:r>
            <w:r w:rsidR="00201E71" w:rsidRPr="009D6CFF">
              <w:rPr>
                <w:i/>
              </w:rPr>
              <w:t xml:space="preserve"> </w:t>
            </w:r>
            <w:r>
              <w:rPr>
                <w:i/>
              </w:rPr>
              <w:t>10</w:t>
            </w:r>
            <w:r w:rsidR="00611674" w:rsidRPr="009D6CFF">
              <w:rPr>
                <w:i/>
              </w:rPr>
              <w:t xml:space="preserve">, </w:t>
            </w:r>
            <w:r w:rsidR="00201E71" w:rsidRPr="009D6CFF">
              <w:rPr>
                <w:i/>
              </w:rPr>
              <w:t>20</w:t>
            </w:r>
            <w:r>
              <w:rPr>
                <w:i/>
              </w:rPr>
              <w:t>14</w:t>
            </w:r>
          </w:p>
        </w:tc>
        <w:tc>
          <w:tcPr>
            <w:tcW w:w="7743" w:type="dxa"/>
          </w:tcPr>
          <w:p w14:paraId="370277A9" w14:textId="77777777" w:rsidR="00611674" w:rsidRPr="009D6CFF" w:rsidRDefault="00611674" w:rsidP="00611674">
            <w:r w:rsidRPr="009D6CFF">
              <w:t>Version 1 circulated for comment within The HDF Group</w:t>
            </w:r>
            <w:r w:rsidR="00201E71">
              <w:t xml:space="preserve"> SWMR team</w:t>
            </w:r>
            <w:r w:rsidRPr="009D6CFF">
              <w:t xml:space="preserve">. </w:t>
            </w:r>
          </w:p>
        </w:tc>
      </w:tr>
      <w:tr w:rsidR="00F2340B" w:rsidRPr="009D6CFF" w14:paraId="6D1F232F" w14:textId="77777777">
        <w:trPr>
          <w:jc w:val="center"/>
        </w:trPr>
        <w:tc>
          <w:tcPr>
            <w:tcW w:w="2337" w:type="dxa"/>
          </w:tcPr>
          <w:p w14:paraId="6C8F6CEF" w14:textId="502B8FE3" w:rsidR="00F2340B" w:rsidRDefault="00B771DF" w:rsidP="00B66210">
            <w:pPr>
              <w:rPr>
                <w:i/>
              </w:rPr>
            </w:pPr>
            <w:r>
              <w:rPr>
                <w:i/>
              </w:rPr>
              <w:t>September 2</w:t>
            </w:r>
            <w:r w:rsidR="00F2340B">
              <w:rPr>
                <w:i/>
              </w:rPr>
              <w:t>, 2015</w:t>
            </w:r>
          </w:p>
        </w:tc>
        <w:tc>
          <w:tcPr>
            <w:tcW w:w="7743" w:type="dxa"/>
          </w:tcPr>
          <w:p w14:paraId="55530622" w14:textId="67796407" w:rsidR="00F2340B" w:rsidRPr="009D6CFF" w:rsidRDefault="00F2340B" w:rsidP="00611674">
            <w:r>
              <w:t xml:space="preserve">Version 2 </w:t>
            </w:r>
            <w:r w:rsidR="00930B13">
              <w:t>is a complete rewrite of Vailin's original document. C</w:t>
            </w:r>
            <w:r>
              <w:t>irculated for comment within The HDF Group SWMR team.</w:t>
            </w:r>
          </w:p>
        </w:tc>
      </w:tr>
      <w:tr w:rsidR="008E1F8C" w:rsidRPr="009D6CFF" w14:paraId="21446C69" w14:textId="77777777">
        <w:trPr>
          <w:jc w:val="center"/>
        </w:trPr>
        <w:tc>
          <w:tcPr>
            <w:tcW w:w="2337" w:type="dxa"/>
          </w:tcPr>
          <w:p w14:paraId="5E95C44C" w14:textId="2FE7057F" w:rsidR="008E1F8C" w:rsidRPr="009D6CFF" w:rsidRDefault="008E1F8C" w:rsidP="008E1F8C">
            <w:pPr>
              <w:rPr>
                <w:rStyle w:val="Emphasis"/>
              </w:rPr>
            </w:pPr>
            <w:r>
              <w:rPr>
                <w:rStyle w:val="Emphasis"/>
              </w:rPr>
              <w:t>September 21, 2015</w:t>
            </w:r>
          </w:p>
        </w:tc>
        <w:tc>
          <w:tcPr>
            <w:tcW w:w="7743" w:type="dxa"/>
          </w:tcPr>
          <w:p w14:paraId="32988C20" w14:textId="282130D8" w:rsidR="008E1F8C" w:rsidRPr="00675CFC" w:rsidRDefault="008E1F8C" w:rsidP="008E1F8C">
            <w:pPr>
              <w:rPr>
                <w:rStyle w:val="Emphasis"/>
                <w:i w:val="0"/>
              </w:rPr>
            </w:pPr>
            <w:r>
              <w:rPr>
                <w:rStyle w:val="Emphasis"/>
                <w:i w:val="0"/>
              </w:rPr>
              <w:t xml:space="preserve">Version 3 filled in the tables and added the putative </w:t>
            </w:r>
            <w:r>
              <w:t>H5LTcheck_lock_</w:t>
            </w:r>
            <w:proofErr w:type="gramStart"/>
            <w:r>
              <w:t>error(</w:t>
            </w:r>
            <w:proofErr w:type="gramEnd"/>
            <w:r>
              <w:t>) API call RM page. Circulated for comment within The HDF Group SWMR team.</w:t>
            </w:r>
          </w:p>
        </w:tc>
      </w:tr>
      <w:tr w:rsidR="008E1F8C" w:rsidRPr="009D6CFF" w14:paraId="2BF9B1F3" w14:textId="77777777">
        <w:trPr>
          <w:jc w:val="center"/>
        </w:trPr>
        <w:tc>
          <w:tcPr>
            <w:tcW w:w="2337" w:type="dxa"/>
          </w:tcPr>
          <w:p w14:paraId="58FFC83E" w14:textId="24C67B9C" w:rsidR="008E1F8C" w:rsidRDefault="008E1F8C" w:rsidP="008E1F8C">
            <w:pPr>
              <w:rPr>
                <w:rStyle w:val="Emphasis"/>
              </w:rPr>
            </w:pPr>
            <w:r>
              <w:rPr>
                <w:rStyle w:val="Emphasis"/>
              </w:rPr>
              <w:t>September 28, 2015</w:t>
            </w:r>
          </w:p>
        </w:tc>
        <w:tc>
          <w:tcPr>
            <w:tcW w:w="7743" w:type="dxa"/>
          </w:tcPr>
          <w:p w14:paraId="67B1D307" w14:textId="309F0329" w:rsidR="008E1F8C" w:rsidRDefault="008E1F8C">
            <w:r>
              <w:rPr>
                <w:rStyle w:val="Emphasis"/>
                <w:i w:val="0"/>
              </w:rPr>
              <w:t>Version 4 rearranged the tables and added a few other minor edits.</w:t>
            </w:r>
            <w:r>
              <w:t xml:space="preserve"> Circulated for comment within The HDF Group SWMR team.</w:t>
            </w:r>
          </w:p>
        </w:tc>
      </w:tr>
      <w:tr w:rsidR="00A86771" w:rsidRPr="009D6CFF" w14:paraId="250FFEED" w14:textId="77777777">
        <w:trPr>
          <w:jc w:val="center"/>
        </w:trPr>
        <w:tc>
          <w:tcPr>
            <w:tcW w:w="2337" w:type="dxa"/>
          </w:tcPr>
          <w:p w14:paraId="268F3644" w14:textId="29AF9367" w:rsidR="00A86771" w:rsidRDefault="00A86771" w:rsidP="00EC27AF">
            <w:pPr>
              <w:rPr>
                <w:rStyle w:val="Emphasis"/>
              </w:rPr>
            </w:pPr>
            <w:r>
              <w:rPr>
                <w:rStyle w:val="Emphasis"/>
              </w:rPr>
              <w:t xml:space="preserve">March </w:t>
            </w:r>
            <w:r w:rsidR="00EC27AF">
              <w:rPr>
                <w:rStyle w:val="Emphasis"/>
              </w:rPr>
              <w:t>31</w:t>
            </w:r>
            <w:r>
              <w:rPr>
                <w:rStyle w:val="Emphasis"/>
              </w:rPr>
              <w:t>, 2016</w:t>
            </w:r>
          </w:p>
        </w:tc>
        <w:tc>
          <w:tcPr>
            <w:tcW w:w="7743" w:type="dxa"/>
          </w:tcPr>
          <w:p w14:paraId="5F218C4B" w14:textId="4FFBDD7B" w:rsidR="00A86771" w:rsidRDefault="00A86771">
            <w:pPr>
              <w:rPr>
                <w:rStyle w:val="Emphasis"/>
                <w:i w:val="0"/>
              </w:rPr>
            </w:pPr>
            <w:r>
              <w:rPr>
                <w:rStyle w:val="Emphasis"/>
                <w:i w:val="0"/>
              </w:rPr>
              <w:t>Version 5. Editing to prepare document for posting on the website.</w:t>
            </w:r>
          </w:p>
        </w:tc>
      </w:tr>
    </w:tbl>
    <w:p w14:paraId="31A32933" w14:textId="77777777" w:rsidR="00A86771" w:rsidRDefault="00A86771" w:rsidP="00A86771"/>
    <w:p w14:paraId="252C7B2A" w14:textId="77777777" w:rsidR="0080284A" w:rsidRPr="0080284A" w:rsidRDefault="0080284A" w:rsidP="00A86771">
      <w:pPr>
        <w:pStyle w:val="Heading1"/>
      </w:pPr>
      <w:r w:rsidRPr="0080284A">
        <w:lastRenderedPageBreak/>
        <w:t>References</w:t>
      </w:r>
    </w:p>
    <w:p w14:paraId="780C3CF1" w14:textId="50656CBF" w:rsidR="00523B8B" w:rsidRDefault="00046C55" w:rsidP="00046C55">
      <w:pPr>
        <w:pStyle w:val="ListNumberReference"/>
        <w:numPr>
          <w:ilvl w:val="0"/>
          <w:numId w:val="8"/>
        </w:numPr>
      </w:pPr>
      <w:r>
        <w:t xml:space="preserve">The HDF Group. "Single-Writer/Multiple-Reader (SWMR) Documentation" </w:t>
      </w:r>
      <w:hyperlink r:id="rId9" w:history="1">
        <w:r w:rsidRPr="000378D2">
          <w:rPr>
            <w:rStyle w:val="Hyperlink"/>
          </w:rPr>
          <w:t>https://www.hdfgroup.org/HDF5/docNewFeatures/NewFeaturesSwmrDocs.html</w:t>
        </w:r>
      </w:hyperlink>
      <w:r>
        <w:t xml:space="preserve"> (September 1, 2015).</w:t>
      </w:r>
    </w:p>
    <w:p w14:paraId="7C8BCDB6" w14:textId="7827EE84" w:rsidR="0071726C" w:rsidRDefault="0071726C" w:rsidP="00EC27AF">
      <w:pPr>
        <w:pStyle w:val="ListNumberReference"/>
        <w:numPr>
          <w:ilvl w:val="0"/>
          <w:numId w:val="8"/>
        </w:numPr>
      </w:pPr>
      <w:r>
        <w:t xml:space="preserve">The HDF Group. "HDF5 User's Guide: Error Handling" </w:t>
      </w:r>
      <w:hyperlink r:id="rId10" w:history="1">
        <w:r w:rsidR="00EC27AF" w:rsidRPr="0021313E">
          <w:rPr>
            <w:rStyle w:val="Hyperlink"/>
          </w:rPr>
          <w:t>https://www.hdfgroup.org/HDF5/doc/UG/HDF5_Users_Guide-Responsive%20HTML5/index.html#t=HDF5_Users_Guide%2FErrorHandling%2FHDF5_Error_Handling.htm</w:t>
        </w:r>
      </w:hyperlink>
      <w:r w:rsidR="00EC27AF">
        <w:t xml:space="preserve"> </w:t>
      </w:r>
      <w:r>
        <w:t>(</w:t>
      </w:r>
      <w:r w:rsidR="00EC27AF">
        <w:t xml:space="preserve">November </w:t>
      </w:r>
      <w:r>
        <w:t>2015).</w:t>
      </w:r>
    </w:p>
    <w:p w14:paraId="367DC377" w14:textId="77777777" w:rsidR="0080284A" w:rsidRPr="0080284A" w:rsidRDefault="0080284A" w:rsidP="0080284A">
      <w:pPr>
        <w:numPr>
          <w:ilvl w:val="0"/>
          <w:numId w:val="8"/>
        </w:numPr>
        <w:contextualSpacing/>
      </w:pPr>
      <w:proofErr w:type="spellStart"/>
      <w:r w:rsidRPr="0080284A">
        <w:t>Pid</w:t>
      </w:r>
      <w:proofErr w:type="spellEnd"/>
      <w:r w:rsidRPr="0080284A">
        <w:t xml:space="preserve"> </w:t>
      </w:r>
      <w:proofErr w:type="spellStart"/>
      <w:r w:rsidRPr="0080284A">
        <w:t>Eins</w:t>
      </w:r>
      <w:proofErr w:type="spellEnd"/>
      <w:r w:rsidRPr="0080284A">
        <w:t xml:space="preserve">. "On the Brokenness of File Locking" </w:t>
      </w:r>
      <w:hyperlink r:id="rId11" w:history="1">
        <w:r w:rsidRPr="0080284A">
          <w:rPr>
            <w:color w:val="0000FF" w:themeColor="hyperlink"/>
            <w:u w:val="single"/>
          </w:rPr>
          <w:t>http://0pointer.de/blog/projects/locking.html</w:t>
        </w:r>
      </w:hyperlink>
      <w:r w:rsidRPr="0080284A">
        <w:t xml:space="preserve"> (June 26, 2010).</w:t>
      </w:r>
    </w:p>
    <w:p w14:paraId="11C07178" w14:textId="77777777" w:rsidR="0080284A" w:rsidRPr="0080284A" w:rsidRDefault="0080284A" w:rsidP="0080284A">
      <w:pPr>
        <w:numPr>
          <w:ilvl w:val="0"/>
          <w:numId w:val="8"/>
        </w:numPr>
        <w:contextualSpacing/>
      </w:pPr>
      <w:proofErr w:type="spellStart"/>
      <w:r w:rsidRPr="0080284A">
        <w:t>Pid</w:t>
      </w:r>
      <w:proofErr w:type="spellEnd"/>
      <w:r w:rsidRPr="0080284A">
        <w:t xml:space="preserve"> </w:t>
      </w:r>
      <w:proofErr w:type="spellStart"/>
      <w:r w:rsidRPr="0080284A">
        <w:t>Eins</w:t>
      </w:r>
      <w:proofErr w:type="spellEnd"/>
      <w:r w:rsidRPr="0080284A">
        <w:t xml:space="preserve">. "Addendum on the Brokenness of File Locking" </w:t>
      </w:r>
      <w:hyperlink r:id="rId12" w:history="1">
        <w:r w:rsidRPr="0080284A">
          <w:rPr>
            <w:color w:val="0000FF" w:themeColor="hyperlink"/>
            <w:u w:val="single"/>
          </w:rPr>
          <w:t>http://0pointer.de/blog/projects/locking2</w:t>
        </w:r>
      </w:hyperlink>
      <w:r w:rsidRPr="0080284A">
        <w:t xml:space="preserve"> (June 28, 2010).</w:t>
      </w:r>
    </w:p>
    <w:p w14:paraId="1ECDB5C7" w14:textId="77777777" w:rsidR="0080284A" w:rsidRPr="0080284A" w:rsidRDefault="0080284A" w:rsidP="0080284A">
      <w:pPr>
        <w:numPr>
          <w:ilvl w:val="0"/>
          <w:numId w:val="8"/>
        </w:numPr>
        <w:spacing w:before="240" w:line="264" w:lineRule="auto"/>
        <w:contextualSpacing/>
        <w:rPr>
          <w:noProof/>
        </w:rPr>
      </w:pPr>
      <w:r w:rsidRPr="0080284A">
        <w:rPr>
          <w:noProof/>
        </w:rPr>
        <w:t xml:space="preserve">MSDN. "LockFile function" </w:t>
      </w:r>
      <w:hyperlink r:id="rId13" w:history="1">
        <w:r w:rsidRPr="0080284A">
          <w:rPr>
            <w:noProof/>
            <w:color w:val="0000FF" w:themeColor="hyperlink"/>
            <w:u w:val="single"/>
          </w:rPr>
          <w:t>https://msdn.microsoft.com/en-us/library/windows/desktop/aa365202(v=vs.85).aspx</w:t>
        </w:r>
      </w:hyperlink>
      <w:r w:rsidRPr="0080284A">
        <w:rPr>
          <w:noProof/>
        </w:rPr>
        <w:t xml:space="preserve"> (accessed August 4, 2015).</w:t>
      </w:r>
    </w:p>
    <w:p w14:paraId="54C35B13" w14:textId="77777777" w:rsidR="0080284A" w:rsidRPr="0080284A" w:rsidRDefault="0080284A" w:rsidP="0080284A">
      <w:pPr>
        <w:numPr>
          <w:ilvl w:val="0"/>
          <w:numId w:val="8"/>
        </w:numPr>
        <w:spacing w:before="240" w:line="264" w:lineRule="auto"/>
        <w:contextualSpacing/>
        <w:rPr>
          <w:noProof/>
        </w:rPr>
      </w:pPr>
      <w:r w:rsidRPr="0080284A">
        <w:rPr>
          <w:noProof/>
        </w:rPr>
        <w:t xml:space="preserve">MSDN. "LockFileEx function" </w:t>
      </w:r>
      <w:hyperlink r:id="rId14" w:history="1">
        <w:r w:rsidRPr="0080284A">
          <w:rPr>
            <w:noProof/>
            <w:color w:val="0000FF" w:themeColor="hyperlink"/>
            <w:u w:val="single"/>
          </w:rPr>
          <w:t>https://msdn.microsoft.com/en-us/library/windows/desktop/aa365203(v=vs.85).aspx</w:t>
        </w:r>
      </w:hyperlink>
      <w:r w:rsidRPr="0080284A">
        <w:rPr>
          <w:noProof/>
        </w:rPr>
        <w:t xml:space="preserve"> (accessed August 4, 2015).</w:t>
      </w:r>
    </w:p>
    <w:p w14:paraId="6589C230" w14:textId="77777777" w:rsidR="0080284A" w:rsidRPr="0080284A" w:rsidRDefault="0080284A" w:rsidP="0080284A">
      <w:pPr>
        <w:numPr>
          <w:ilvl w:val="0"/>
          <w:numId w:val="8"/>
        </w:numPr>
        <w:spacing w:before="240" w:line="264" w:lineRule="auto"/>
        <w:contextualSpacing/>
        <w:rPr>
          <w:noProof/>
        </w:rPr>
      </w:pPr>
      <w:r w:rsidRPr="0080284A">
        <w:rPr>
          <w:noProof/>
        </w:rPr>
        <w:t xml:space="preserve">man7.org Linux man pages. "flock(2)" </w:t>
      </w:r>
      <w:hyperlink r:id="rId15" w:history="1">
        <w:r w:rsidRPr="0080284A">
          <w:rPr>
            <w:noProof/>
            <w:color w:val="0000FF" w:themeColor="hyperlink"/>
            <w:u w:val="single"/>
          </w:rPr>
          <w:t>http://man7.org/linux/man-pages/man2/flock.2.html</w:t>
        </w:r>
      </w:hyperlink>
      <w:r w:rsidRPr="0080284A">
        <w:rPr>
          <w:noProof/>
        </w:rPr>
        <w:t xml:space="preserve">  (September 21, 2014).</w:t>
      </w:r>
    </w:p>
    <w:p w14:paraId="70EBA6EB" w14:textId="77777777" w:rsidR="0080284A" w:rsidRPr="0080284A" w:rsidRDefault="0080284A" w:rsidP="0080284A">
      <w:pPr>
        <w:numPr>
          <w:ilvl w:val="0"/>
          <w:numId w:val="8"/>
        </w:numPr>
        <w:spacing w:before="240" w:line="264" w:lineRule="auto"/>
        <w:contextualSpacing/>
        <w:rPr>
          <w:noProof/>
        </w:rPr>
      </w:pPr>
      <w:r w:rsidRPr="0080284A">
        <w:rPr>
          <w:noProof/>
        </w:rPr>
        <w:t xml:space="preserve">man7.org Linux man pages. "lockf(3)" </w:t>
      </w:r>
      <w:hyperlink r:id="rId16" w:history="1">
        <w:r w:rsidRPr="0080284A">
          <w:rPr>
            <w:noProof/>
            <w:color w:val="0000FF" w:themeColor="hyperlink"/>
            <w:u w:val="single"/>
          </w:rPr>
          <w:t>http://man7.org/linux/man-pages/man3/lockf.3.html</w:t>
        </w:r>
      </w:hyperlink>
      <w:r w:rsidRPr="0080284A">
        <w:rPr>
          <w:noProof/>
        </w:rPr>
        <w:t xml:space="preserve"> (March 2, 2015).</w:t>
      </w:r>
    </w:p>
    <w:p w14:paraId="1B6F6C66" w14:textId="77777777" w:rsidR="0080284A" w:rsidRDefault="0080284A" w:rsidP="0080284A">
      <w:pPr>
        <w:numPr>
          <w:ilvl w:val="0"/>
          <w:numId w:val="8"/>
        </w:numPr>
        <w:spacing w:before="240" w:line="264" w:lineRule="auto"/>
        <w:contextualSpacing/>
        <w:rPr>
          <w:noProof/>
        </w:rPr>
      </w:pPr>
      <w:r w:rsidRPr="0080284A">
        <w:rPr>
          <w:noProof/>
        </w:rPr>
        <w:t xml:space="preserve">man7.org Linux man pages. "fcntl(2)" </w:t>
      </w:r>
      <w:hyperlink r:id="rId17" w:history="1">
        <w:r w:rsidRPr="0080284A">
          <w:rPr>
            <w:noProof/>
            <w:color w:val="0000FF" w:themeColor="hyperlink"/>
            <w:u w:val="single"/>
          </w:rPr>
          <w:t>http://man7.org/linux/man-pages/man2/fcntl.2.html</w:t>
        </w:r>
      </w:hyperlink>
      <w:r w:rsidRPr="0080284A">
        <w:rPr>
          <w:noProof/>
        </w:rPr>
        <w:t xml:space="preserve"> (May 7, 2015).</w:t>
      </w:r>
    </w:p>
    <w:p w14:paraId="76DDD645" w14:textId="060CF931" w:rsidR="00A86771" w:rsidRDefault="00A86771" w:rsidP="00A86771">
      <w:pPr>
        <w:pStyle w:val="ListNumberReference"/>
        <w:numPr>
          <w:ilvl w:val="0"/>
          <w:numId w:val="8"/>
        </w:numPr>
        <w:spacing w:before="240" w:line="264" w:lineRule="auto"/>
        <w:rPr>
          <w:noProof/>
        </w:rPr>
      </w:pPr>
      <w:bookmarkStart w:id="1" w:name="_Ref446595365"/>
      <w:r>
        <w:rPr>
          <w:noProof/>
        </w:rPr>
        <w:t xml:space="preserve">The HDF Group. “HDF5 Single-Writer/Multiple Reader User’s Guide.” </w:t>
      </w:r>
      <w:hyperlink r:id="rId18" w:history="1">
        <w:r w:rsidR="00EC27AF" w:rsidRPr="0021313E">
          <w:rPr>
            <w:rStyle w:val="Hyperlink"/>
            <w:noProof/>
          </w:rPr>
          <w:t>https://www.hdfgroup.org/HDF5/docNewFeatures/SWMR/HDF5</w:t>
        </w:r>
        <w:r w:rsidR="00EC27AF" w:rsidRPr="0021313E">
          <w:rPr>
            <w:rStyle w:val="Hyperlink"/>
            <w:noProof/>
          </w:rPr>
          <w:t>_</w:t>
        </w:r>
        <w:r w:rsidR="00EC27AF" w:rsidRPr="0021313E">
          <w:rPr>
            <w:rStyle w:val="Hyperlink"/>
            <w:noProof/>
          </w:rPr>
          <w:t>SWMR</w:t>
        </w:r>
        <w:r w:rsidR="00EC27AF" w:rsidRPr="0021313E">
          <w:rPr>
            <w:rStyle w:val="Hyperlink"/>
            <w:noProof/>
          </w:rPr>
          <w:t>_UsersGuide</w:t>
        </w:r>
        <w:r w:rsidR="00EC27AF" w:rsidRPr="0021313E">
          <w:rPr>
            <w:rStyle w:val="Hyperlink"/>
            <w:noProof/>
          </w:rPr>
          <w:t>.pdf</w:t>
        </w:r>
      </w:hyperlink>
      <w:r>
        <w:rPr>
          <w:noProof/>
        </w:rPr>
        <w:t xml:space="preserve"> (March 2016). </w:t>
      </w:r>
      <w:bookmarkEnd w:id="1"/>
    </w:p>
    <w:p w14:paraId="5B7068C3" w14:textId="77777777" w:rsidR="00A86771" w:rsidRDefault="00A86771" w:rsidP="00EC27AF"/>
    <w:p w14:paraId="6C4FA488" w14:textId="77777777" w:rsidR="005E6556" w:rsidRDefault="00EE2201" w:rsidP="00EC27AF">
      <w:pPr>
        <w:pStyle w:val="Heading1"/>
      </w:pPr>
      <w:bookmarkStart w:id="2" w:name="_Ref446666490"/>
      <w:r>
        <w:lastRenderedPageBreak/>
        <w:t>Appendix</w:t>
      </w:r>
      <w:bookmarkEnd w:id="2"/>
    </w:p>
    <w:p w14:paraId="1B914714" w14:textId="77777777" w:rsidR="005E6556" w:rsidRPr="005E6556" w:rsidRDefault="005E6556" w:rsidP="00EC27AF"/>
    <w:p w14:paraId="1C9E559B" w14:textId="1C5BA5FD" w:rsidR="00611674" w:rsidRDefault="00EE2201" w:rsidP="00EC27AF">
      <w:pPr>
        <w:pStyle w:val="Heading2"/>
      </w:pPr>
      <w:proofErr w:type="gramStart"/>
      <w:r>
        <w:t>flock</w:t>
      </w:r>
      <w:r w:rsidR="008B43CE">
        <w:t>(</w:t>
      </w:r>
      <w:proofErr w:type="gramEnd"/>
      <w:r w:rsidR="008B43CE">
        <w:t xml:space="preserve">2) </w:t>
      </w:r>
      <w:r w:rsidR="004A1B4A">
        <w:t xml:space="preserve">Semantics </w:t>
      </w:r>
      <w:r>
        <w:t xml:space="preserve">("BSD </w:t>
      </w:r>
      <w:r w:rsidR="009F546A">
        <w:t>Locks</w:t>
      </w:r>
      <w:r>
        <w:t>")</w:t>
      </w:r>
    </w:p>
    <w:p w14:paraId="3E8C1360" w14:textId="30E5E171" w:rsidR="00113621" w:rsidRDefault="00113621" w:rsidP="00113621">
      <w:r>
        <w:t>In brief:</w:t>
      </w:r>
    </w:p>
    <w:p w14:paraId="1ED01C99" w14:textId="2EFCBF90" w:rsidR="00113621" w:rsidRDefault="00113621" w:rsidP="00113621">
      <w:pPr>
        <w:pStyle w:val="ListParagraph"/>
        <w:numPr>
          <w:ilvl w:val="0"/>
          <w:numId w:val="33"/>
        </w:numPr>
      </w:pPr>
      <w:r>
        <w:t xml:space="preserve">Specified in 4.4BSD, though widely available. Occasionally implemented using the same primitives as </w:t>
      </w:r>
      <w:proofErr w:type="gramStart"/>
      <w:r>
        <w:t>fcntl(</w:t>
      </w:r>
      <w:proofErr w:type="gramEnd"/>
      <w:r>
        <w:t xml:space="preserve">2), </w:t>
      </w:r>
      <w:r w:rsidRPr="009B09CB">
        <w:rPr>
          <w:i/>
          <w:u w:val="single"/>
        </w:rPr>
        <w:t>which implies those semantics</w:t>
      </w:r>
      <w:r w:rsidR="009B09CB">
        <w:rPr>
          <w:i/>
          <w:u w:val="single"/>
        </w:rPr>
        <w:t xml:space="preserve"> - see below!</w:t>
      </w:r>
      <w:r>
        <w:t xml:space="preserve"> (NOTE: Linux does not do this).</w:t>
      </w:r>
    </w:p>
    <w:p w14:paraId="79C9AD7E" w14:textId="77777777" w:rsidR="00113621" w:rsidRDefault="00113621" w:rsidP="00113621">
      <w:pPr>
        <w:pStyle w:val="ListParagraph"/>
        <w:numPr>
          <w:ilvl w:val="0"/>
          <w:numId w:val="33"/>
        </w:numPr>
      </w:pPr>
      <w:r>
        <w:t>Allows getting, setting, and testing for the existence of both shared (read) and exclusive (write) locks.</w:t>
      </w:r>
    </w:p>
    <w:p w14:paraId="4911B8CD" w14:textId="77777777" w:rsidR="00113621" w:rsidRDefault="00113621" w:rsidP="00113621">
      <w:pPr>
        <w:pStyle w:val="ListParagraph"/>
        <w:numPr>
          <w:ilvl w:val="0"/>
          <w:numId w:val="33"/>
        </w:numPr>
      </w:pPr>
      <w:r>
        <w:t>Locks are advisory.</w:t>
      </w:r>
    </w:p>
    <w:p w14:paraId="2931E277" w14:textId="6E8EF062" w:rsidR="00113621" w:rsidRDefault="00113621" w:rsidP="00113621">
      <w:pPr>
        <w:pStyle w:val="ListParagraph"/>
        <w:numPr>
          <w:ilvl w:val="0"/>
          <w:numId w:val="33"/>
        </w:numPr>
      </w:pPr>
      <w:r>
        <w:t>Locks are per-file. They cannot cover a particular region in the file.</w:t>
      </w:r>
    </w:p>
    <w:p w14:paraId="4D7D7366" w14:textId="7F3EEB14" w:rsidR="00113621" w:rsidRDefault="00113621" w:rsidP="00113621">
      <w:pPr>
        <w:pStyle w:val="ListParagraph"/>
        <w:numPr>
          <w:ilvl w:val="0"/>
          <w:numId w:val="33"/>
        </w:numPr>
      </w:pPr>
      <w:r>
        <w:t>Any number of processes can hold a shared lock. Only one process can hold an exclusive lock.</w:t>
      </w:r>
      <w:r w:rsidR="00233BD5">
        <w:t xml:space="preserve"> A single process cannot hold both a shared and exclusive lock for a file.</w:t>
      </w:r>
    </w:p>
    <w:p w14:paraId="60C0E71F" w14:textId="77777777" w:rsidR="00113621" w:rsidRDefault="00113621" w:rsidP="00113621">
      <w:pPr>
        <w:pStyle w:val="ListParagraph"/>
        <w:numPr>
          <w:ilvl w:val="0"/>
          <w:numId w:val="33"/>
        </w:numPr>
      </w:pPr>
      <w:r>
        <w:t>Locks can be set to block or return immediately on failure to acquire.</w:t>
      </w:r>
    </w:p>
    <w:p w14:paraId="31CE2C12" w14:textId="5B00D888" w:rsidR="00113621" w:rsidRDefault="00113621" w:rsidP="00113621">
      <w:pPr>
        <w:pStyle w:val="ListParagraph"/>
        <w:numPr>
          <w:ilvl w:val="0"/>
          <w:numId w:val="33"/>
        </w:numPr>
      </w:pPr>
      <w:r>
        <w:t>Lo</w:t>
      </w:r>
      <w:r w:rsidR="00233BD5">
        <w:t>cks are bound to a process and an open file table entry</w:t>
      </w:r>
      <w:r>
        <w:t>.</w:t>
      </w:r>
      <w:r w:rsidR="00233BD5">
        <w:t xml:space="preserve"> File descriptors are considered independent and handled independently (</w:t>
      </w:r>
      <w:r w:rsidR="005F6357">
        <w:t>in other words</w:t>
      </w:r>
      <w:r w:rsidR="00233BD5">
        <w:t xml:space="preserve">, a process with two file descriptors to the same file can block its own locks). File descriptors created via </w:t>
      </w:r>
      <w:proofErr w:type="gramStart"/>
      <w:r w:rsidR="00233BD5">
        <w:t>dup(</w:t>
      </w:r>
      <w:proofErr w:type="gramEnd"/>
      <w:r w:rsidR="00233BD5">
        <w:t xml:space="preserve">) or fork() are considered identical and will be closed when all duplicated </w:t>
      </w:r>
      <w:r w:rsidR="009B09CB">
        <w:t>descriptors</w:t>
      </w:r>
      <w:r w:rsidR="00233BD5">
        <w:t xml:space="preserve"> are closed or an unlock operation takes place on any </w:t>
      </w:r>
      <w:r w:rsidR="009B09CB">
        <w:t>descriptor</w:t>
      </w:r>
      <w:r w:rsidR="00233BD5">
        <w:t>.</w:t>
      </w:r>
    </w:p>
    <w:p w14:paraId="5C4690E3" w14:textId="46229058" w:rsidR="00233BD5" w:rsidRDefault="00233BD5" w:rsidP="00113621">
      <w:pPr>
        <w:pStyle w:val="ListParagraph"/>
        <w:numPr>
          <w:ilvl w:val="0"/>
          <w:numId w:val="33"/>
        </w:numPr>
      </w:pPr>
      <w:r>
        <w:t>Any lock can be placed on a file regardless of how it was opened (read/write).</w:t>
      </w:r>
    </w:p>
    <w:p w14:paraId="37086067" w14:textId="2A5649C8" w:rsidR="00233BD5" w:rsidRDefault="00233BD5" w:rsidP="00113621">
      <w:pPr>
        <w:pStyle w:val="ListParagraph"/>
        <w:numPr>
          <w:ilvl w:val="0"/>
          <w:numId w:val="33"/>
        </w:numPr>
      </w:pPr>
      <w:r>
        <w:t xml:space="preserve">Locks are preserved across </w:t>
      </w:r>
      <w:proofErr w:type="gramStart"/>
      <w:r>
        <w:t>fork(</w:t>
      </w:r>
      <w:proofErr w:type="gramEnd"/>
      <w:r>
        <w:t>) and execve().</w:t>
      </w:r>
    </w:p>
    <w:p w14:paraId="7A641D91" w14:textId="0DE5FD0C" w:rsidR="00113621" w:rsidRDefault="00113621" w:rsidP="00113621">
      <w:pPr>
        <w:pStyle w:val="ListParagraph"/>
        <w:numPr>
          <w:ilvl w:val="0"/>
          <w:numId w:val="33"/>
        </w:numPr>
      </w:pPr>
      <w:r>
        <w:t xml:space="preserve">NOTE: BSD and POSIX locks do not necessarily interact. </w:t>
      </w:r>
      <w:r w:rsidR="007C1CCA">
        <w:t>In other words</w:t>
      </w:r>
      <w:r>
        <w:t xml:space="preserve">, a BSD lock is not guaranteed to be respected by a call to </w:t>
      </w:r>
      <w:proofErr w:type="gramStart"/>
      <w:r>
        <w:t>fcntl(</w:t>
      </w:r>
      <w:proofErr w:type="gramEnd"/>
      <w:r>
        <w:t>2).</w:t>
      </w:r>
    </w:p>
    <w:p w14:paraId="21A8EFE9" w14:textId="77777777" w:rsidR="005E6556" w:rsidRPr="00113621" w:rsidRDefault="005E6556" w:rsidP="005E6556"/>
    <w:p w14:paraId="687BBDDB" w14:textId="02FB9462" w:rsidR="00EE2201" w:rsidRDefault="00EE2201" w:rsidP="00EC27AF">
      <w:pPr>
        <w:pStyle w:val="Heading2"/>
      </w:pPr>
      <w:proofErr w:type="gramStart"/>
      <w:r>
        <w:t>fcntl(</w:t>
      </w:r>
      <w:proofErr w:type="gramEnd"/>
      <w:r>
        <w:t xml:space="preserve">2) </w:t>
      </w:r>
      <w:r w:rsidR="004A1B4A">
        <w:t xml:space="preserve">Semantics </w:t>
      </w:r>
      <w:r>
        <w:t xml:space="preserve">("POSIX </w:t>
      </w:r>
      <w:r w:rsidR="009F546A">
        <w:t>Locks</w:t>
      </w:r>
      <w:r>
        <w:t>")</w:t>
      </w:r>
    </w:p>
    <w:p w14:paraId="0D1E4E78" w14:textId="24308E7C" w:rsidR="008B43CE" w:rsidRDefault="008B43CE" w:rsidP="008B43CE">
      <w:r>
        <w:t>In brief:</w:t>
      </w:r>
    </w:p>
    <w:p w14:paraId="632882D8" w14:textId="19FC343C" w:rsidR="008B43CE" w:rsidRDefault="008B43CE" w:rsidP="008B43CE">
      <w:pPr>
        <w:pStyle w:val="ListParagraph"/>
        <w:numPr>
          <w:ilvl w:val="0"/>
          <w:numId w:val="32"/>
        </w:numPr>
      </w:pPr>
      <w:r>
        <w:t>Specified in SVr4, 4.3 BSD, and POSIX.1-2001 (very widely available)</w:t>
      </w:r>
      <w:r w:rsidR="00A628A3">
        <w:t>.</w:t>
      </w:r>
    </w:p>
    <w:p w14:paraId="58A1F76E" w14:textId="7378EC20" w:rsidR="00A628A3" w:rsidRDefault="00A628A3" w:rsidP="008B43CE">
      <w:pPr>
        <w:pStyle w:val="ListParagraph"/>
        <w:numPr>
          <w:ilvl w:val="0"/>
          <w:numId w:val="32"/>
        </w:numPr>
      </w:pPr>
      <w:r>
        <w:t>Allows getting, setting, and testing for the existence of both shared (read) and exclusive (write) locks.</w:t>
      </w:r>
    </w:p>
    <w:p w14:paraId="5E5D5D52" w14:textId="18E811B6" w:rsidR="00A628A3" w:rsidRDefault="00A628A3" w:rsidP="008B43CE">
      <w:pPr>
        <w:pStyle w:val="ListParagraph"/>
        <w:numPr>
          <w:ilvl w:val="0"/>
          <w:numId w:val="32"/>
        </w:numPr>
      </w:pPr>
      <w:r>
        <w:t>Locks are advisory.</w:t>
      </w:r>
    </w:p>
    <w:p w14:paraId="7B6C8F5A" w14:textId="1DC9C18D" w:rsidR="00A628A3" w:rsidRDefault="00A628A3" w:rsidP="008B43CE">
      <w:pPr>
        <w:pStyle w:val="ListParagraph"/>
        <w:numPr>
          <w:ilvl w:val="0"/>
          <w:numId w:val="32"/>
        </w:numPr>
      </w:pPr>
      <w:r>
        <w:t>Locks can cover regions of the file at byte-level granularity. The entire file can also be locked.</w:t>
      </w:r>
    </w:p>
    <w:p w14:paraId="01078B94" w14:textId="14101B9E" w:rsidR="00A628A3" w:rsidRDefault="00A628A3" w:rsidP="008B43CE">
      <w:pPr>
        <w:pStyle w:val="ListParagraph"/>
        <w:numPr>
          <w:ilvl w:val="0"/>
          <w:numId w:val="32"/>
        </w:numPr>
      </w:pPr>
      <w:r>
        <w:t>Any number of processes can hold a shared lock. Only one process can hold an exclusive lock. Only one type of lock can be held for a region, though a process may hold both shared and exclusive region locks throughout a file.</w:t>
      </w:r>
    </w:p>
    <w:p w14:paraId="49003B1D" w14:textId="28E8A2A6" w:rsidR="00A628A3" w:rsidRDefault="00A628A3" w:rsidP="008B43CE">
      <w:pPr>
        <w:pStyle w:val="ListParagraph"/>
        <w:numPr>
          <w:ilvl w:val="0"/>
          <w:numId w:val="32"/>
        </w:numPr>
      </w:pPr>
      <w:r>
        <w:t>Locks can be set to block or return immediately on failure to acquire.</w:t>
      </w:r>
    </w:p>
    <w:p w14:paraId="33D5ACA0" w14:textId="4538070E" w:rsidR="00233BD5" w:rsidRDefault="00233BD5" w:rsidP="008B43CE">
      <w:pPr>
        <w:pStyle w:val="ListParagraph"/>
        <w:numPr>
          <w:ilvl w:val="0"/>
          <w:numId w:val="32"/>
        </w:numPr>
      </w:pPr>
      <w:r>
        <w:t>Exclusive locks require a file being opened in write or read-write mode, shared locks require a file being opened in read or read-write mode.</w:t>
      </w:r>
    </w:p>
    <w:p w14:paraId="0C0F554F" w14:textId="77777777" w:rsidR="005E6556" w:rsidRDefault="005E6556" w:rsidP="005E6556"/>
    <w:p w14:paraId="6012F5D1" w14:textId="1387335D" w:rsidR="00A628A3" w:rsidRDefault="00A628A3" w:rsidP="008B43CE">
      <w:pPr>
        <w:pStyle w:val="ListParagraph"/>
        <w:numPr>
          <w:ilvl w:val="0"/>
          <w:numId w:val="32"/>
        </w:numPr>
      </w:pPr>
      <w:r>
        <w:lastRenderedPageBreak/>
        <w:t>Locks are bound to a process and an inode</w:t>
      </w:r>
      <w:r w:rsidR="00EE2201">
        <w:t xml:space="preserve"> (</w:t>
      </w:r>
      <w:r w:rsidR="00EE2201" w:rsidRPr="00EE2201">
        <w:rPr>
          <w:i/>
          <w:u w:val="single"/>
        </w:rPr>
        <w:t>not</w:t>
      </w:r>
      <w:r w:rsidR="00EE2201">
        <w:t xml:space="preserve"> a file descriptor)</w:t>
      </w:r>
      <w:r>
        <w:t>. This means that a process closing any file descriptor for the file will release all fcntl locks. This can be a problem if another part of the code opens and closes a file for</w:t>
      </w:r>
      <w:r w:rsidR="00EE2201">
        <w:t xml:space="preserve"> any reason, say,</w:t>
      </w:r>
      <w:r>
        <w:t xml:space="preserve"> </w:t>
      </w:r>
      <w:r w:rsidR="00EE2201">
        <w:t xml:space="preserve">as </w:t>
      </w:r>
      <w:r>
        <w:t>an existence test.</w:t>
      </w:r>
    </w:p>
    <w:p w14:paraId="3165F94A" w14:textId="570A56C7" w:rsidR="00233BD5" w:rsidRDefault="00233BD5" w:rsidP="008B43CE">
      <w:pPr>
        <w:pStyle w:val="ListParagraph"/>
        <w:numPr>
          <w:ilvl w:val="0"/>
          <w:numId w:val="32"/>
        </w:numPr>
      </w:pPr>
      <w:r>
        <w:t xml:space="preserve">Locks are not preserved across </w:t>
      </w:r>
      <w:proofErr w:type="gramStart"/>
      <w:r>
        <w:t>fork(</w:t>
      </w:r>
      <w:proofErr w:type="gramEnd"/>
      <w:r>
        <w:t>) but are preserved across execve().</w:t>
      </w:r>
    </w:p>
    <w:p w14:paraId="42AFF6DF" w14:textId="739E9609" w:rsidR="00233BD5" w:rsidRDefault="00233BD5" w:rsidP="008B43CE">
      <w:pPr>
        <w:pStyle w:val="ListParagraph"/>
        <w:numPr>
          <w:ilvl w:val="0"/>
          <w:numId w:val="32"/>
        </w:numPr>
      </w:pPr>
      <w:r>
        <w:t>POSIX locks have trouble with stdio buffering and will be disabled in the stdio VFD.</w:t>
      </w:r>
    </w:p>
    <w:p w14:paraId="584F0E97" w14:textId="5257D38F" w:rsidR="008B43CE" w:rsidRDefault="00A628A3" w:rsidP="008B43CE">
      <w:pPr>
        <w:pStyle w:val="ListParagraph"/>
        <w:numPr>
          <w:ilvl w:val="0"/>
          <w:numId w:val="32"/>
        </w:numPr>
      </w:pPr>
      <w:r>
        <w:t xml:space="preserve">Mandatory locks are non-POSIX. The </w:t>
      </w:r>
      <w:r w:rsidR="008B43CE">
        <w:t>Linux implementation is known to have severe race condition</w:t>
      </w:r>
      <w:r>
        <w:t>s. All mandatory locking has corner cases that allow bypassing the lock (</w:t>
      </w:r>
      <w:r w:rsidR="004504D8">
        <w:t>for example</w:t>
      </w:r>
      <w:r>
        <w:t xml:space="preserve">, </w:t>
      </w:r>
      <w:proofErr w:type="gramStart"/>
      <w:r>
        <w:t>unlink(</w:t>
      </w:r>
      <w:proofErr w:type="gramEnd"/>
      <w:r>
        <w:t>) often ignores mandatory locks). File systems must often be specially mounted to take advantage of them.</w:t>
      </w:r>
    </w:p>
    <w:p w14:paraId="07DE2433" w14:textId="004E563D" w:rsidR="008B43CE" w:rsidRDefault="008B43CE" w:rsidP="008B43CE">
      <w:pPr>
        <w:pStyle w:val="ListParagraph"/>
        <w:numPr>
          <w:ilvl w:val="0"/>
          <w:numId w:val="32"/>
        </w:numPr>
      </w:pPr>
      <w:r>
        <w:t xml:space="preserve">Note: our implementation ignores </w:t>
      </w:r>
      <w:proofErr w:type="gramStart"/>
      <w:r>
        <w:t>fcntl64(</w:t>
      </w:r>
      <w:proofErr w:type="gramEnd"/>
      <w:r>
        <w:t>2) on Linux, since this is handled transparently.</w:t>
      </w:r>
    </w:p>
    <w:p w14:paraId="5B26B509" w14:textId="63BA71A4" w:rsidR="00EE2201" w:rsidRDefault="00EE2201" w:rsidP="008B43CE">
      <w:pPr>
        <w:pStyle w:val="ListParagraph"/>
        <w:numPr>
          <w:ilvl w:val="0"/>
          <w:numId w:val="32"/>
        </w:numPr>
      </w:pPr>
      <w:proofErr w:type="gramStart"/>
      <w:r>
        <w:t>lockf(</w:t>
      </w:r>
      <w:proofErr w:type="gramEnd"/>
      <w:r>
        <w:t>3) is usually implemented using the same primitives as fcntl(2) locking.</w:t>
      </w:r>
    </w:p>
    <w:p w14:paraId="79FA1FE2" w14:textId="27ECA052" w:rsidR="00523B8B" w:rsidRDefault="00113621" w:rsidP="00523B8B">
      <w:pPr>
        <w:pStyle w:val="ListParagraph"/>
        <w:numPr>
          <w:ilvl w:val="0"/>
          <w:numId w:val="32"/>
        </w:numPr>
      </w:pPr>
      <w:r>
        <w:t xml:space="preserve">NOTE: BSD and POSIX locks do not necessarily interact. </w:t>
      </w:r>
      <w:r w:rsidR="004504D8">
        <w:t>In other words</w:t>
      </w:r>
      <w:r>
        <w:t xml:space="preserve">, a BSD lock is not guaranteed to be respected by a call to </w:t>
      </w:r>
      <w:proofErr w:type="gramStart"/>
      <w:r>
        <w:t>fcntl(</w:t>
      </w:r>
      <w:proofErr w:type="gramEnd"/>
      <w:r>
        <w:t>2).</w:t>
      </w:r>
    </w:p>
    <w:p w14:paraId="434869AD" w14:textId="77777777" w:rsidR="005E6556" w:rsidRDefault="005E6556" w:rsidP="005E6556"/>
    <w:p w14:paraId="6C74A3BD" w14:textId="74F3E36D" w:rsidR="00340F53" w:rsidRDefault="00340F53" w:rsidP="00EC27AF">
      <w:pPr>
        <w:pStyle w:val="Heading2"/>
      </w:pPr>
      <w:r>
        <w:t>H5LTcheck_lock_error</w:t>
      </w:r>
    </w:p>
    <w:p w14:paraId="42E8D03E" w14:textId="77777777" w:rsidR="00340F53" w:rsidRDefault="00340F53" w:rsidP="00340F53">
      <w:r w:rsidRPr="00572710">
        <w:rPr>
          <w:b/>
        </w:rPr>
        <w:t>Name:</w:t>
      </w:r>
      <w:r>
        <w:t xml:space="preserve"> H5LTcheck_lock_error</w:t>
      </w:r>
    </w:p>
    <w:p w14:paraId="7889BB54" w14:textId="77777777" w:rsidR="00340F53" w:rsidRPr="00572710" w:rsidRDefault="00340F53" w:rsidP="00340F53">
      <w:pPr>
        <w:rPr>
          <w:b/>
        </w:rPr>
      </w:pPr>
      <w:r w:rsidRPr="00572710">
        <w:rPr>
          <w:b/>
        </w:rPr>
        <w:t>Signature:</w:t>
      </w:r>
    </w:p>
    <w:p w14:paraId="56E4796E" w14:textId="77777777" w:rsidR="00340F53" w:rsidRDefault="00340F53" w:rsidP="00EC27AF">
      <w:pPr>
        <w:pStyle w:val="PlainText"/>
      </w:pPr>
      <w:r>
        <w:tab/>
      </w:r>
      <w:r w:rsidRPr="00572710">
        <w:rPr>
          <w:i/>
        </w:rPr>
        <w:t>herr_t</w:t>
      </w:r>
      <w:r>
        <w:t xml:space="preserve"> H5LTcheck_lock_</w:t>
      </w:r>
      <w:proofErr w:type="gramStart"/>
      <w:r>
        <w:t>error</w:t>
      </w:r>
      <w:r w:rsidRPr="003A12F5">
        <w:t>(</w:t>
      </w:r>
      <w:proofErr w:type="gramEnd"/>
      <w:r>
        <w:t>hbool_t clear_stack,</w:t>
      </w:r>
    </w:p>
    <w:p w14:paraId="16134ACE" w14:textId="77777777" w:rsidR="00340F53" w:rsidRPr="00572710" w:rsidRDefault="00340F53" w:rsidP="00EC27AF">
      <w:pPr>
        <w:pStyle w:val="PlainText"/>
        <w:ind w:left="4320"/>
      </w:pPr>
      <w:r>
        <w:t>/*OUT*/</w:t>
      </w:r>
      <w:r w:rsidRPr="003A12F5">
        <w:t xml:space="preserve"> </w:t>
      </w:r>
      <w:r w:rsidRPr="003A12F5">
        <w:rPr>
          <w:i/>
        </w:rPr>
        <w:t>hbool_t</w:t>
      </w:r>
      <w:r w:rsidRPr="003A12F5">
        <w:t xml:space="preserve"> </w:t>
      </w:r>
      <w:r>
        <w:t>*had_lock_error)</w:t>
      </w:r>
    </w:p>
    <w:p w14:paraId="7D296C24" w14:textId="77777777" w:rsidR="00340F53" w:rsidRPr="00572710" w:rsidRDefault="00340F53" w:rsidP="00340F53">
      <w:pPr>
        <w:rPr>
          <w:b/>
        </w:rPr>
      </w:pPr>
      <w:r w:rsidRPr="00572710">
        <w:rPr>
          <w:b/>
        </w:rPr>
        <w:t>Purpose:</w:t>
      </w:r>
    </w:p>
    <w:p w14:paraId="3926A0D5" w14:textId="77777777" w:rsidR="00340F53" w:rsidRDefault="00340F53" w:rsidP="00340F53">
      <w:pPr>
        <w:ind w:left="720"/>
      </w:pPr>
      <w:r>
        <w:t>Determine if a file lock access error has occurred.</w:t>
      </w:r>
    </w:p>
    <w:p w14:paraId="19F4D9AE" w14:textId="77777777" w:rsidR="00340F53" w:rsidRPr="00572710" w:rsidRDefault="00340F53" w:rsidP="00340F53">
      <w:pPr>
        <w:rPr>
          <w:b/>
        </w:rPr>
      </w:pPr>
      <w:r w:rsidRPr="00572710">
        <w:rPr>
          <w:b/>
        </w:rPr>
        <w:t>Description:</w:t>
      </w:r>
    </w:p>
    <w:p w14:paraId="614FBAEE" w14:textId="52F50BF8" w:rsidR="00340F53" w:rsidRDefault="00340F53" w:rsidP="00340F53">
      <w:pPr>
        <w:ind w:left="720"/>
      </w:pPr>
      <w:r>
        <w:t xml:space="preserve">The HDF5 </w:t>
      </w:r>
      <w:r w:rsidR="009A0E58">
        <w:t xml:space="preserve">Library </w:t>
      </w:r>
      <w:r>
        <w:t>uses file locks to help users get the ordering of single-writer/multiple-reader (SWMR) writers and readers correct. If a SWMR open fails due to a lock access problem, this API call can be used to see if the access produced an error.</w:t>
      </w:r>
    </w:p>
    <w:p w14:paraId="4AC32AAE" w14:textId="77777777" w:rsidR="00340F53" w:rsidRPr="00CE4821" w:rsidRDefault="00340F53" w:rsidP="00340F53">
      <w:pPr>
        <w:rPr>
          <w:b/>
        </w:rPr>
      </w:pPr>
      <w:r w:rsidRPr="00CE4821">
        <w:rPr>
          <w:b/>
        </w:rPr>
        <w:t>Notes:</w:t>
      </w:r>
    </w:p>
    <w:p w14:paraId="3C493678" w14:textId="77777777" w:rsidR="00340F53" w:rsidRDefault="00340F53" w:rsidP="00340F53">
      <w:pPr>
        <w:ind w:left="720"/>
      </w:pPr>
      <w:r>
        <w:t>This function does not automatically clear the HDF5 error stack. If this API call is to be called after a previous file lock error, the stack must be cleared either by setting clear_stack to TRUE or by using H5E_get_current_stack and passing the returned hid_t to H5Eclear. If this is not done, the API call will detect the previous error in the stack.</w:t>
      </w:r>
    </w:p>
    <w:p w14:paraId="5FBB6A97" w14:textId="77777777" w:rsidR="00340F53" w:rsidRPr="0012252E" w:rsidRDefault="00340F53" w:rsidP="00340F53">
      <w:pPr>
        <w:rPr>
          <w:b/>
        </w:rPr>
      </w:pPr>
      <w:r w:rsidRPr="0012252E">
        <w:rPr>
          <w:b/>
        </w:rPr>
        <w:t>Parameters:</w:t>
      </w:r>
    </w:p>
    <w:p w14:paraId="5A9752ED" w14:textId="1DD9125F" w:rsidR="00340F53" w:rsidRDefault="00340F53" w:rsidP="009A0E58">
      <w:pPr>
        <w:ind w:left="720"/>
      </w:pPr>
      <w:r w:rsidRPr="003A12F5">
        <w:rPr>
          <w:rFonts w:ascii="Consolas" w:hAnsi="Consolas" w:cs="Consolas"/>
          <w:i/>
        </w:rPr>
        <w:t>h</w:t>
      </w:r>
      <w:r>
        <w:rPr>
          <w:rFonts w:ascii="Consolas" w:hAnsi="Consolas" w:cs="Consolas"/>
          <w:i/>
        </w:rPr>
        <w:t>bool</w:t>
      </w:r>
      <w:r w:rsidRPr="003A12F5">
        <w:rPr>
          <w:rFonts w:ascii="Consolas" w:hAnsi="Consolas" w:cs="Consolas"/>
          <w:i/>
        </w:rPr>
        <w:t>_t</w:t>
      </w:r>
      <w:r w:rsidRPr="003A12F5">
        <w:rPr>
          <w:rFonts w:ascii="Consolas" w:hAnsi="Consolas" w:cs="Consolas"/>
        </w:rPr>
        <w:tab/>
      </w:r>
      <w:r>
        <w:rPr>
          <w:rFonts w:ascii="Consolas" w:hAnsi="Consolas" w:cs="Consolas"/>
        </w:rPr>
        <w:t>clear_stack</w:t>
      </w:r>
      <w:r w:rsidRPr="003A12F5">
        <w:rPr>
          <w:rFonts w:ascii="Consolas" w:hAnsi="Consolas" w:cs="Consolas"/>
        </w:rPr>
        <w:tab/>
      </w:r>
      <w:r>
        <w:rPr>
          <w:rFonts w:ascii="Consolas" w:hAnsi="Consolas" w:cs="Consolas"/>
        </w:rPr>
        <w:tab/>
      </w:r>
      <w:r>
        <w:t>IN: Whether the error stack for this thread should be cleared.</w:t>
      </w:r>
    </w:p>
    <w:p w14:paraId="7A553CD7" w14:textId="2BA281DB" w:rsidR="00340F53" w:rsidRDefault="00340F53" w:rsidP="00340F53">
      <w:pPr>
        <w:ind w:left="720"/>
      </w:pPr>
      <w:r w:rsidRPr="003A12F5">
        <w:rPr>
          <w:rFonts w:ascii="Consolas" w:hAnsi="Consolas" w:cs="Consolas"/>
          <w:i/>
        </w:rPr>
        <w:t>h</w:t>
      </w:r>
      <w:r>
        <w:rPr>
          <w:rFonts w:ascii="Consolas" w:hAnsi="Consolas" w:cs="Consolas"/>
          <w:i/>
        </w:rPr>
        <w:t>bool</w:t>
      </w:r>
      <w:r w:rsidRPr="003A12F5">
        <w:rPr>
          <w:rFonts w:ascii="Consolas" w:hAnsi="Consolas" w:cs="Consolas"/>
          <w:i/>
        </w:rPr>
        <w:t>_t</w:t>
      </w:r>
      <w:r w:rsidRPr="003A12F5">
        <w:rPr>
          <w:rFonts w:ascii="Consolas" w:hAnsi="Consolas" w:cs="Consolas"/>
        </w:rPr>
        <w:tab/>
      </w:r>
      <w:r>
        <w:rPr>
          <w:rFonts w:ascii="Consolas" w:hAnsi="Consolas" w:cs="Consolas"/>
        </w:rPr>
        <w:t>had_lock_error</w:t>
      </w:r>
      <w:r w:rsidRPr="003A12F5">
        <w:rPr>
          <w:rFonts w:ascii="Consolas" w:hAnsi="Consolas" w:cs="Consolas"/>
        </w:rPr>
        <w:tab/>
      </w:r>
      <w:r>
        <w:t>OUT: If a lock error has occurred.</w:t>
      </w:r>
    </w:p>
    <w:p w14:paraId="330BEFC7" w14:textId="77777777" w:rsidR="00340F53" w:rsidRDefault="00340F53" w:rsidP="00340F53"/>
    <w:p w14:paraId="6BFA7FE1" w14:textId="77777777" w:rsidR="00340F53" w:rsidRPr="0012252E" w:rsidRDefault="00340F53" w:rsidP="00340F53">
      <w:pPr>
        <w:rPr>
          <w:b/>
        </w:rPr>
      </w:pPr>
      <w:r w:rsidRPr="0012252E">
        <w:rPr>
          <w:b/>
        </w:rPr>
        <w:t>Returns:</w:t>
      </w:r>
    </w:p>
    <w:p w14:paraId="4FA6D6C8" w14:textId="0408CBBC" w:rsidR="00523B8B" w:rsidRPr="008B43CE" w:rsidRDefault="00340F53" w:rsidP="00340F53">
      <w:r>
        <w:tab/>
        <w:t>Returns a non-negative value if successful.  Otherwise returns a negative value.</w:t>
      </w:r>
    </w:p>
    <w:sectPr w:rsidR="00523B8B" w:rsidRPr="008B43CE" w:rsidSect="00611674">
      <w:headerReference w:type="default" r:id="rId19"/>
      <w:footerReference w:type="default" r:id="rId20"/>
      <w:headerReference w:type="first" r:id="rId21"/>
      <w:pgSz w:w="12240" w:h="15840" w:code="1"/>
      <w:pgMar w:top="1152" w:right="1152" w:bottom="1440" w:left="1152" w:header="432"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118CFF" w15:done="0"/>
  <w15:commentEx w15:paraId="217E4475" w15:done="0"/>
  <w15:commentEx w15:paraId="039B3304" w15:done="0"/>
  <w15:commentEx w15:paraId="514D631D" w15:done="0"/>
  <w15:commentEx w15:paraId="259278FF" w15:done="0"/>
  <w15:commentEx w15:paraId="1AFCB613" w15:done="0"/>
  <w15:commentEx w15:paraId="607C9B79" w15:done="0"/>
  <w15:commentEx w15:paraId="276569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F149D" w14:textId="77777777" w:rsidR="004369C1" w:rsidRDefault="004369C1" w:rsidP="00611674">
      <w:r>
        <w:separator/>
      </w:r>
    </w:p>
  </w:endnote>
  <w:endnote w:type="continuationSeparator" w:id="0">
    <w:p w14:paraId="011A209B" w14:textId="77777777" w:rsidR="004369C1" w:rsidRDefault="004369C1"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0C7BC74F" w14:textId="77777777" w:rsidR="007D1699" w:rsidRDefault="007D1699" w:rsidP="00611674">
            <w:pPr>
              <w:pStyle w:val="HDFFooter"/>
            </w:pPr>
            <w:r>
              <w:rPr>
                <w:noProof/>
              </w:rPr>
              <w:drawing>
                <wp:anchor distT="0" distB="0" distL="0" distR="0" simplePos="0" relativeHeight="251658240" behindDoc="0" locked="0" layoutInCell="1" allowOverlap="1" wp14:anchorId="22E6ABCB" wp14:editId="06595860">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9A0E58">
              <w:rPr>
                <w:noProof/>
              </w:rPr>
              <w:t>10</w:t>
            </w:r>
            <w:r>
              <w:rPr>
                <w:noProof/>
              </w:rPr>
              <w:fldChar w:fldCharType="end"/>
            </w:r>
            <w:r>
              <w:t xml:space="preserve"> of </w:t>
            </w:r>
            <w:fldSimple w:instr=" NUMPAGES  ">
              <w:r w:rsidR="009A0E58">
                <w:rPr>
                  <w:noProof/>
                </w:rPr>
                <w:t>15</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72F16" w14:textId="77777777" w:rsidR="004369C1" w:rsidRDefault="004369C1" w:rsidP="00611674">
      <w:r>
        <w:separator/>
      </w:r>
    </w:p>
  </w:footnote>
  <w:footnote w:type="continuationSeparator" w:id="0">
    <w:p w14:paraId="3AA7FB21" w14:textId="77777777" w:rsidR="004369C1" w:rsidRDefault="004369C1" w:rsidP="00611674">
      <w:r>
        <w:continuationSeparator/>
      </w:r>
    </w:p>
  </w:footnote>
  <w:footnote w:id="1">
    <w:p w14:paraId="35B2D05A" w14:textId="0B6D657D" w:rsidR="007D1699" w:rsidRDefault="007D1699">
      <w:pPr>
        <w:pStyle w:val="FootnoteText"/>
      </w:pPr>
      <w:r>
        <w:rPr>
          <w:rStyle w:val="FootnoteReference"/>
        </w:rPr>
        <w:footnoteRef/>
      </w:r>
      <w:r>
        <w:t xml:space="preserve"> Note that, unlike </w:t>
      </w:r>
      <w:proofErr w:type="spellStart"/>
      <w:r>
        <w:t>errno</w:t>
      </w:r>
      <w:proofErr w:type="spellEnd"/>
      <w:r>
        <w:t>, we use thread-specific error stacks so this functionality works in thread-safe builds of the library.</w:t>
      </w:r>
    </w:p>
  </w:footnote>
  <w:footnote w:id="2">
    <w:p w14:paraId="298DB84A" w14:textId="7EDB4994" w:rsidR="007D1699" w:rsidRDefault="007D1699">
      <w:pPr>
        <w:pStyle w:val="FootnoteText"/>
      </w:pPr>
      <w:r>
        <w:rPr>
          <w:rStyle w:val="FootnoteReference"/>
        </w:rPr>
        <w:footnoteRef/>
      </w:r>
      <w:r>
        <w:t xml:space="preserve"> We expect this to be very rare. POSIX locks via </w:t>
      </w:r>
      <w:proofErr w:type="gramStart"/>
      <w:r>
        <w:t>fcntl(</w:t>
      </w:r>
      <w:proofErr w:type="gramEnd"/>
      <w:r>
        <w:t>2) are almost always available on any platform that is likely to perform SWMR I/O. If a use case demanded it (perhaps on embedded hardware), this could easily be changed. For the time being, however, enforcing SWMR file I/O ordering via locks seems likely to increase the odds of successful use of the feature.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9E67A" w14:textId="35A20D14" w:rsidR="007D1699" w:rsidRDefault="00EC27AF" w:rsidP="00611674">
    <w:pPr>
      <w:pStyle w:val="THGHeader2"/>
    </w:pPr>
    <w:r>
      <w:t xml:space="preserve">March 31, </w:t>
    </w:r>
    <w:r w:rsidR="007D1699">
      <w:t>201</w:t>
    </w:r>
    <w:r>
      <w:t>6</w:t>
    </w:r>
    <w:r w:rsidR="007D1699">
      <w:ptab w:relativeTo="margin" w:alignment="center" w:leader="none"/>
    </w:r>
    <w:r w:rsidR="007D1699">
      <w:ptab w:relativeTo="margin" w:alignment="right" w:leader="none"/>
    </w:r>
    <w:r w:rsidR="00650653">
      <w:t>RFC THG 2014-1-10.v</w:t>
    </w:r>
    <w:r>
      <w:t>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198E1" w14:textId="1A5AE235" w:rsidR="007D1699" w:rsidRPr="006D4EA4" w:rsidRDefault="00EC27AF" w:rsidP="00611674">
    <w:pPr>
      <w:pStyle w:val="THGHeader"/>
    </w:pPr>
    <w:r>
      <w:t>March</w:t>
    </w:r>
    <w:r w:rsidR="007D1699">
      <w:t xml:space="preserve"> </w:t>
    </w:r>
    <w:r>
      <w:t xml:space="preserve">31, </w:t>
    </w:r>
    <w:r w:rsidR="007D1699">
      <w:t>201</w:t>
    </w:r>
    <w:r>
      <w:t>6</w:t>
    </w:r>
    <w:r w:rsidR="007D1699">
      <w:ptab w:relativeTo="margin" w:alignment="center" w:leader="none"/>
    </w:r>
    <w:r w:rsidR="007D1699">
      <w:ptab w:relativeTo="margin" w:alignment="right" w:leader="none"/>
    </w:r>
    <w:r w:rsidR="00650653">
      <w:t>RFC THG 2014-</w:t>
    </w:r>
    <w:r w:rsidR="004C4D71">
      <w:t>01</w:t>
    </w:r>
    <w:r w:rsidR="00650653">
      <w:t>-10.v</w:t>
    </w:r>
    <w: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650630E"/>
    <w:multiLevelType w:val="hybridMultilevel"/>
    <w:tmpl w:val="AB4E4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063455"/>
    <w:multiLevelType w:val="hybridMultilevel"/>
    <w:tmpl w:val="DC6C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91A68"/>
    <w:multiLevelType w:val="multilevel"/>
    <w:tmpl w:val="1DD2725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084D2916"/>
    <w:multiLevelType w:val="hybridMultilevel"/>
    <w:tmpl w:val="EC04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3309A8"/>
    <w:multiLevelType w:val="hybridMultilevel"/>
    <w:tmpl w:val="21BA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217ABE"/>
    <w:multiLevelType w:val="hybridMultilevel"/>
    <w:tmpl w:val="42146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19C536A"/>
    <w:multiLevelType w:val="hybridMultilevel"/>
    <w:tmpl w:val="B8F4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233DAB"/>
    <w:multiLevelType w:val="hybridMultilevel"/>
    <w:tmpl w:val="00F067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56293F"/>
    <w:multiLevelType w:val="hybridMultilevel"/>
    <w:tmpl w:val="109A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C74864"/>
    <w:multiLevelType w:val="hybridMultilevel"/>
    <w:tmpl w:val="BB52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3776AD"/>
    <w:multiLevelType w:val="hybridMultilevel"/>
    <w:tmpl w:val="3BCA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7E30F7"/>
    <w:multiLevelType w:val="hybridMultilevel"/>
    <w:tmpl w:val="950EB9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BA93034"/>
    <w:multiLevelType w:val="hybridMultilevel"/>
    <w:tmpl w:val="FDFE9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6C7C3C"/>
    <w:multiLevelType w:val="hybridMultilevel"/>
    <w:tmpl w:val="95E2A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C7490A"/>
    <w:multiLevelType w:val="hybridMultilevel"/>
    <w:tmpl w:val="1B923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CF568B"/>
    <w:multiLevelType w:val="hybridMultilevel"/>
    <w:tmpl w:val="D2A0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3A72F4"/>
    <w:multiLevelType w:val="multilevel"/>
    <w:tmpl w:val="5F72EF30"/>
    <w:lvl w:ilvl="0">
      <w:start w:val="1"/>
      <w:numFmt w:val="decimal"/>
      <w:suff w:val="space"/>
      <w:lvlText w:val="%1."/>
      <w:lvlJc w:val="left"/>
      <w:pPr>
        <w:ind w:left="720" w:firstLine="0"/>
      </w:pPr>
      <w:rPr>
        <w:rFonts w:hint="default"/>
      </w:rPr>
    </w:lvl>
    <w:lvl w:ilvl="1">
      <w:start w:val="1"/>
      <w:numFmt w:val="lowerLetter"/>
      <w:suff w:val="space"/>
      <w:lvlText w:val="%2."/>
      <w:lvlJc w:val="left"/>
      <w:pPr>
        <w:ind w:left="1080" w:firstLine="0"/>
      </w:pPr>
      <w:rPr>
        <w:rFonts w:hint="default"/>
      </w:rPr>
    </w:lvl>
    <w:lvl w:ilvl="2">
      <w:start w:val="1"/>
      <w:numFmt w:val="lowerRoman"/>
      <w:suff w:val="space"/>
      <w:lvlText w:val="%3."/>
      <w:lvlJc w:val="left"/>
      <w:pPr>
        <w:ind w:left="1440" w:firstLine="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nsid w:val="4AFC6E21"/>
    <w:multiLevelType w:val="multilevel"/>
    <w:tmpl w:val="5F72EF30"/>
    <w:lvl w:ilvl="0">
      <w:start w:val="1"/>
      <w:numFmt w:val="decimal"/>
      <w:suff w:val="space"/>
      <w:lvlText w:val="%1."/>
      <w:lvlJc w:val="left"/>
      <w:pPr>
        <w:ind w:left="360" w:firstLine="0"/>
      </w:pPr>
      <w:rPr>
        <w:rFonts w:hint="default"/>
      </w:rPr>
    </w:lvl>
    <w:lvl w:ilvl="1">
      <w:start w:val="1"/>
      <w:numFmt w:val="lowerLetter"/>
      <w:suff w:val="space"/>
      <w:lvlText w:val="%2."/>
      <w:lvlJc w:val="left"/>
      <w:pPr>
        <w:ind w:left="720" w:firstLine="0"/>
      </w:pPr>
      <w:rPr>
        <w:rFonts w:hint="default"/>
      </w:rPr>
    </w:lvl>
    <w:lvl w:ilvl="2">
      <w:start w:val="1"/>
      <w:numFmt w:val="lowerRoman"/>
      <w:suff w:val="space"/>
      <w:lvlText w:val="%3."/>
      <w:lvlJc w:val="left"/>
      <w:pPr>
        <w:ind w:left="10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BC80652"/>
    <w:multiLevelType w:val="hybridMultilevel"/>
    <w:tmpl w:val="5EC05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A70B50"/>
    <w:multiLevelType w:val="hybridMultilevel"/>
    <w:tmpl w:val="3B7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DB7D73"/>
    <w:multiLevelType w:val="hybridMultilevel"/>
    <w:tmpl w:val="059C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0C6086"/>
    <w:multiLevelType w:val="hybridMultilevel"/>
    <w:tmpl w:val="982C46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BA5CE0"/>
    <w:multiLevelType w:val="hybridMultilevel"/>
    <w:tmpl w:val="87C4F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A2E3042"/>
    <w:multiLevelType w:val="hybridMultilevel"/>
    <w:tmpl w:val="3C4C89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485BBF"/>
    <w:multiLevelType w:val="hybridMultilevel"/>
    <w:tmpl w:val="DBFA9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4D0543"/>
    <w:multiLevelType w:val="hybridMultilevel"/>
    <w:tmpl w:val="1E3A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6E087D"/>
    <w:multiLevelType w:val="hybridMultilevel"/>
    <w:tmpl w:val="84D44C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5616DC3"/>
    <w:multiLevelType w:val="multilevel"/>
    <w:tmpl w:val="5F72EF30"/>
    <w:lvl w:ilvl="0">
      <w:start w:val="1"/>
      <w:numFmt w:val="decimal"/>
      <w:suff w:val="space"/>
      <w:lvlText w:val="%1."/>
      <w:lvlJc w:val="left"/>
      <w:pPr>
        <w:ind w:left="360" w:firstLine="0"/>
      </w:pPr>
      <w:rPr>
        <w:rFonts w:hint="default"/>
      </w:rPr>
    </w:lvl>
    <w:lvl w:ilvl="1">
      <w:start w:val="1"/>
      <w:numFmt w:val="lowerLetter"/>
      <w:suff w:val="space"/>
      <w:lvlText w:val="%2."/>
      <w:lvlJc w:val="left"/>
      <w:pPr>
        <w:ind w:left="720" w:firstLine="0"/>
      </w:pPr>
      <w:rPr>
        <w:rFonts w:hint="default"/>
      </w:rPr>
    </w:lvl>
    <w:lvl w:ilvl="2">
      <w:start w:val="1"/>
      <w:numFmt w:val="lowerRoman"/>
      <w:suff w:val="space"/>
      <w:lvlText w:val="%3."/>
      <w:lvlJc w:val="left"/>
      <w:pPr>
        <w:ind w:left="10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78B75109"/>
    <w:multiLevelType w:val="multilevel"/>
    <w:tmpl w:val="5F72EF30"/>
    <w:lvl w:ilvl="0">
      <w:start w:val="1"/>
      <w:numFmt w:val="decimal"/>
      <w:suff w:val="space"/>
      <w:lvlText w:val="%1."/>
      <w:lvlJc w:val="left"/>
      <w:pPr>
        <w:ind w:left="360" w:firstLine="0"/>
      </w:pPr>
      <w:rPr>
        <w:rFonts w:hint="default"/>
      </w:rPr>
    </w:lvl>
    <w:lvl w:ilvl="1">
      <w:start w:val="1"/>
      <w:numFmt w:val="lowerLetter"/>
      <w:suff w:val="space"/>
      <w:lvlText w:val="%2."/>
      <w:lvlJc w:val="left"/>
      <w:pPr>
        <w:ind w:left="720" w:firstLine="0"/>
      </w:pPr>
      <w:rPr>
        <w:rFonts w:hint="default"/>
      </w:rPr>
    </w:lvl>
    <w:lvl w:ilvl="2">
      <w:start w:val="1"/>
      <w:numFmt w:val="lowerRoman"/>
      <w:suff w:val="space"/>
      <w:lvlText w:val="%3."/>
      <w:lvlJc w:val="left"/>
      <w:pPr>
        <w:ind w:left="10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79B96EB7"/>
    <w:multiLevelType w:val="multilevel"/>
    <w:tmpl w:val="5F72EF30"/>
    <w:lvl w:ilvl="0">
      <w:start w:val="1"/>
      <w:numFmt w:val="decimal"/>
      <w:suff w:val="space"/>
      <w:lvlText w:val="%1."/>
      <w:lvlJc w:val="left"/>
      <w:pPr>
        <w:ind w:left="360" w:firstLine="0"/>
      </w:pPr>
      <w:rPr>
        <w:rFonts w:hint="default"/>
      </w:rPr>
    </w:lvl>
    <w:lvl w:ilvl="1">
      <w:start w:val="1"/>
      <w:numFmt w:val="lowerLetter"/>
      <w:suff w:val="space"/>
      <w:lvlText w:val="%2."/>
      <w:lvlJc w:val="left"/>
      <w:pPr>
        <w:ind w:left="720" w:firstLine="0"/>
      </w:pPr>
      <w:rPr>
        <w:rFonts w:hint="default"/>
      </w:rPr>
    </w:lvl>
    <w:lvl w:ilvl="2">
      <w:start w:val="1"/>
      <w:numFmt w:val="lowerRoman"/>
      <w:suff w:val="space"/>
      <w:lvlText w:val="%3."/>
      <w:lvlJc w:val="left"/>
      <w:pPr>
        <w:ind w:left="10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29"/>
  </w:num>
  <w:num w:numId="3">
    <w:abstractNumId w:val="2"/>
  </w:num>
  <w:num w:numId="4">
    <w:abstractNumId w:val="1"/>
  </w:num>
  <w:num w:numId="5">
    <w:abstractNumId w:val="0"/>
  </w:num>
  <w:num w:numId="6">
    <w:abstractNumId w:val="12"/>
  </w:num>
  <w:num w:numId="7">
    <w:abstractNumId w:val="3"/>
  </w:num>
  <w:num w:numId="8">
    <w:abstractNumId w:val="3"/>
    <w:lvlOverride w:ilvl="0">
      <w:startOverride w:val="1"/>
    </w:lvlOverride>
  </w:num>
  <w:num w:numId="9">
    <w:abstractNumId w:val="14"/>
  </w:num>
  <w:num w:numId="10">
    <w:abstractNumId w:val="16"/>
  </w:num>
  <w:num w:numId="11">
    <w:abstractNumId w:val="10"/>
  </w:num>
  <w:num w:numId="12">
    <w:abstractNumId w:val="7"/>
  </w:num>
  <w:num w:numId="13">
    <w:abstractNumId w:val="31"/>
  </w:num>
  <w:num w:numId="14">
    <w:abstractNumId w:val="15"/>
  </w:num>
  <w:num w:numId="15">
    <w:abstractNumId w:val="4"/>
  </w:num>
  <w:num w:numId="16">
    <w:abstractNumId w:val="32"/>
  </w:num>
  <w:num w:numId="17">
    <w:abstractNumId w:val="28"/>
  </w:num>
  <w:num w:numId="18">
    <w:abstractNumId w:val="27"/>
  </w:num>
  <w:num w:numId="19">
    <w:abstractNumId w:val="26"/>
  </w:num>
  <w:num w:numId="20">
    <w:abstractNumId w:val="11"/>
  </w:num>
  <w:num w:numId="21">
    <w:abstractNumId w:val="23"/>
  </w:num>
  <w:num w:numId="22">
    <w:abstractNumId w:val="17"/>
  </w:num>
  <w:num w:numId="23">
    <w:abstractNumId w:val="9"/>
  </w:num>
  <w:num w:numId="24">
    <w:abstractNumId w:val="18"/>
  </w:num>
  <w:num w:numId="25">
    <w:abstractNumId w:val="20"/>
  </w:num>
  <w:num w:numId="26">
    <w:abstractNumId w:val="33"/>
  </w:num>
  <w:num w:numId="27">
    <w:abstractNumId w:val="35"/>
  </w:num>
  <w:num w:numId="28">
    <w:abstractNumId w:val="21"/>
  </w:num>
  <w:num w:numId="29">
    <w:abstractNumId w:val="19"/>
  </w:num>
  <w:num w:numId="30">
    <w:abstractNumId w:val="22"/>
  </w:num>
  <w:num w:numId="31">
    <w:abstractNumId w:val="34"/>
  </w:num>
  <w:num w:numId="32">
    <w:abstractNumId w:val="30"/>
  </w:num>
  <w:num w:numId="33">
    <w:abstractNumId w:val="24"/>
  </w:num>
  <w:num w:numId="34">
    <w:abstractNumId w:val="25"/>
  </w:num>
  <w:num w:numId="35">
    <w:abstractNumId w:val="13"/>
  </w:num>
  <w:num w:numId="36">
    <w:abstractNumId w:val="8"/>
  </w:num>
  <w:num w:numId="37">
    <w:abstractNumId w:val="5"/>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a Robinson">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22D"/>
    <w:rsid w:val="00000CC8"/>
    <w:rsid w:val="00000F45"/>
    <w:rsid w:val="000046BA"/>
    <w:rsid w:val="00011E74"/>
    <w:rsid w:val="00012248"/>
    <w:rsid w:val="000142C6"/>
    <w:rsid w:val="00022AA5"/>
    <w:rsid w:val="00026773"/>
    <w:rsid w:val="00026A29"/>
    <w:rsid w:val="00040B9D"/>
    <w:rsid w:val="00046C55"/>
    <w:rsid w:val="00047235"/>
    <w:rsid w:val="000477AB"/>
    <w:rsid w:val="00050BD2"/>
    <w:rsid w:val="00051823"/>
    <w:rsid w:val="0006318E"/>
    <w:rsid w:val="000648A1"/>
    <w:rsid w:val="0006613E"/>
    <w:rsid w:val="0006743E"/>
    <w:rsid w:val="0007127A"/>
    <w:rsid w:val="00071A98"/>
    <w:rsid w:val="000721F7"/>
    <w:rsid w:val="0007246D"/>
    <w:rsid w:val="00075101"/>
    <w:rsid w:val="0008420F"/>
    <w:rsid w:val="000846B3"/>
    <w:rsid w:val="0009198E"/>
    <w:rsid w:val="000926A8"/>
    <w:rsid w:val="00092D22"/>
    <w:rsid w:val="0009450B"/>
    <w:rsid w:val="00097BFC"/>
    <w:rsid w:val="000A1FE5"/>
    <w:rsid w:val="000A3B5D"/>
    <w:rsid w:val="000A4F47"/>
    <w:rsid w:val="000B1AF0"/>
    <w:rsid w:val="000B710D"/>
    <w:rsid w:val="000C2F1C"/>
    <w:rsid w:val="000C57ED"/>
    <w:rsid w:val="000C68A2"/>
    <w:rsid w:val="000C74B5"/>
    <w:rsid w:val="000D04E5"/>
    <w:rsid w:val="000D1138"/>
    <w:rsid w:val="000D6CB8"/>
    <w:rsid w:val="000E18F1"/>
    <w:rsid w:val="000E4E16"/>
    <w:rsid w:val="000F0CF0"/>
    <w:rsid w:val="000F2489"/>
    <w:rsid w:val="000F2D8F"/>
    <w:rsid w:val="000F66CC"/>
    <w:rsid w:val="000F76B7"/>
    <w:rsid w:val="000F774F"/>
    <w:rsid w:val="001024F9"/>
    <w:rsid w:val="00104398"/>
    <w:rsid w:val="0010628B"/>
    <w:rsid w:val="00111C89"/>
    <w:rsid w:val="00113621"/>
    <w:rsid w:val="00114919"/>
    <w:rsid w:val="001166B4"/>
    <w:rsid w:val="001218F8"/>
    <w:rsid w:val="0012317D"/>
    <w:rsid w:val="001258A1"/>
    <w:rsid w:val="001304C7"/>
    <w:rsid w:val="001313D7"/>
    <w:rsid w:val="001326E0"/>
    <w:rsid w:val="00135495"/>
    <w:rsid w:val="00141C80"/>
    <w:rsid w:val="00147007"/>
    <w:rsid w:val="001501F5"/>
    <w:rsid w:val="001534E3"/>
    <w:rsid w:val="00154FB2"/>
    <w:rsid w:val="001653C9"/>
    <w:rsid w:val="0017507C"/>
    <w:rsid w:val="00190A94"/>
    <w:rsid w:val="00192921"/>
    <w:rsid w:val="001938D5"/>
    <w:rsid w:val="00194CB8"/>
    <w:rsid w:val="00195973"/>
    <w:rsid w:val="001A6840"/>
    <w:rsid w:val="001B42FC"/>
    <w:rsid w:val="001C48E9"/>
    <w:rsid w:val="001E12F3"/>
    <w:rsid w:val="001E7249"/>
    <w:rsid w:val="001F0DA1"/>
    <w:rsid w:val="001F447F"/>
    <w:rsid w:val="001F76E1"/>
    <w:rsid w:val="002018C2"/>
    <w:rsid w:val="00201E71"/>
    <w:rsid w:val="00202F66"/>
    <w:rsid w:val="00213293"/>
    <w:rsid w:val="00214A2A"/>
    <w:rsid w:val="00214B36"/>
    <w:rsid w:val="00217954"/>
    <w:rsid w:val="00224167"/>
    <w:rsid w:val="00230CE0"/>
    <w:rsid w:val="00231FF2"/>
    <w:rsid w:val="00232832"/>
    <w:rsid w:val="00233BD5"/>
    <w:rsid w:val="002353BC"/>
    <w:rsid w:val="00244905"/>
    <w:rsid w:val="00245C3A"/>
    <w:rsid w:val="00253FB5"/>
    <w:rsid w:val="002571BB"/>
    <w:rsid w:val="00262007"/>
    <w:rsid w:val="00280F25"/>
    <w:rsid w:val="002829E8"/>
    <w:rsid w:val="00284BF5"/>
    <w:rsid w:val="00285531"/>
    <w:rsid w:val="00285560"/>
    <w:rsid w:val="00286ADB"/>
    <w:rsid w:val="00286C72"/>
    <w:rsid w:val="0028779C"/>
    <w:rsid w:val="00294572"/>
    <w:rsid w:val="00297F0E"/>
    <w:rsid w:val="002B2B33"/>
    <w:rsid w:val="002B5F91"/>
    <w:rsid w:val="002C11F4"/>
    <w:rsid w:val="002C5666"/>
    <w:rsid w:val="002C5A81"/>
    <w:rsid w:val="002C75E8"/>
    <w:rsid w:val="002D2886"/>
    <w:rsid w:val="002E1785"/>
    <w:rsid w:val="002F286A"/>
    <w:rsid w:val="002F375E"/>
    <w:rsid w:val="002F63D4"/>
    <w:rsid w:val="003067D5"/>
    <w:rsid w:val="00307348"/>
    <w:rsid w:val="003139CD"/>
    <w:rsid w:val="003223A2"/>
    <w:rsid w:val="003224EC"/>
    <w:rsid w:val="0033023A"/>
    <w:rsid w:val="00340F53"/>
    <w:rsid w:val="00344AFD"/>
    <w:rsid w:val="00346A46"/>
    <w:rsid w:val="0035257B"/>
    <w:rsid w:val="00352FFE"/>
    <w:rsid w:val="00371F84"/>
    <w:rsid w:val="00372A78"/>
    <w:rsid w:val="00376B5B"/>
    <w:rsid w:val="00382B6A"/>
    <w:rsid w:val="00382CF6"/>
    <w:rsid w:val="00386B2E"/>
    <w:rsid w:val="003910BD"/>
    <w:rsid w:val="0039543C"/>
    <w:rsid w:val="00395F2E"/>
    <w:rsid w:val="003969BE"/>
    <w:rsid w:val="003B49E7"/>
    <w:rsid w:val="003B516A"/>
    <w:rsid w:val="003C1CCC"/>
    <w:rsid w:val="003D101A"/>
    <w:rsid w:val="003D3ED0"/>
    <w:rsid w:val="003D4578"/>
    <w:rsid w:val="003E198F"/>
    <w:rsid w:val="003E29E3"/>
    <w:rsid w:val="00404CB4"/>
    <w:rsid w:val="00415A34"/>
    <w:rsid w:val="004227B0"/>
    <w:rsid w:val="00422C6E"/>
    <w:rsid w:val="00423BB6"/>
    <w:rsid w:val="004248A4"/>
    <w:rsid w:val="00427B41"/>
    <w:rsid w:val="00431713"/>
    <w:rsid w:val="00433FD4"/>
    <w:rsid w:val="004369C1"/>
    <w:rsid w:val="004378D8"/>
    <w:rsid w:val="0044034E"/>
    <w:rsid w:val="00447ABC"/>
    <w:rsid w:val="004504D8"/>
    <w:rsid w:val="004504DA"/>
    <w:rsid w:val="004532F7"/>
    <w:rsid w:val="00453B4E"/>
    <w:rsid w:val="0046452F"/>
    <w:rsid w:val="00471898"/>
    <w:rsid w:val="004735D0"/>
    <w:rsid w:val="00475646"/>
    <w:rsid w:val="004A1B4A"/>
    <w:rsid w:val="004A5C4D"/>
    <w:rsid w:val="004B777C"/>
    <w:rsid w:val="004C348D"/>
    <w:rsid w:val="004C4D71"/>
    <w:rsid w:val="004C78B6"/>
    <w:rsid w:val="004D06A2"/>
    <w:rsid w:val="004D444E"/>
    <w:rsid w:val="004D5006"/>
    <w:rsid w:val="004E32F1"/>
    <w:rsid w:val="004F5067"/>
    <w:rsid w:val="004F7A3A"/>
    <w:rsid w:val="00502A03"/>
    <w:rsid w:val="0050422D"/>
    <w:rsid w:val="005045E9"/>
    <w:rsid w:val="0050747F"/>
    <w:rsid w:val="0051070E"/>
    <w:rsid w:val="005127BC"/>
    <w:rsid w:val="00516D6E"/>
    <w:rsid w:val="00523B8B"/>
    <w:rsid w:val="00524C2B"/>
    <w:rsid w:val="00526308"/>
    <w:rsid w:val="005314CF"/>
    <w:rsid w:val="0054103D"/>
    <w:rsid w:val="00541A44"/>
    <w:rsid w:val="00541EBD"/>
    <w:rsid w:val="00550997"/>
    <w:rsid w:val="00553CDB"/>
    <w:rsid w:val="0055626B"/>
    <w:rsid w:val="00557731"/>
    <w:rsid w:val="00566666"/>
    <w:rsid w:val="00573926"/>
    <w:rsid w:val="00573BFA"/>
    <w:rsid w:val="00575F8C"/>
    <w:rsid w:val="005811C4"/>
    <w:rsid w:val="0058135A"/>
    <w:rsid w:val="00581D6B"/>
    <w:rsid w:val="005849E0"/>
    <w:rsid w:val="00592F2C"/>
    <w:rsid w:val="00593712"/>
    <w:rsid w:val="005974C5"/>
    <w:rsid w:val="005A00DA"/>
    <w:rsid w:val="005A30DB"/>
    <w:rsid w:val="005A4B9D"/>
    <w:rsid w:val="005B1B69"/>
    <w:rsid w:val="005B1B75"/>
    <w:rsid w:val="005B32B9"/>
    <w:rsid w:val="005B44B6"/>
    <w:rsid w:val="005B6EA1"/>
    <w:rsid w:val="005C4287"/>
    <w:rsid w:val="005C53C1"/>
    <w:rsid w:val="005D1608"/>
    <w:rsid w:val="005D79A7"/>
    <w:rsid w:val="005E6556"/>
    <w:rsid w:val="005E78F5"/>
    <w:rsid w:val="005F08D4"/>
    <w:rsid w:val="005F0DE0"/>
    <w:rsid w:val="005F21AB"/>
    <w:rsid w:val="005F6357"/>
    <w:rsid w:val="00607F9C"/>
    <w:rsid w:val="00611565"/>
    <w:rsid w:val="00611674"/>
    <w:rsid w:val="00613584"/>
    <w:rsid w:val="00615FDC"/>
    <w:rsid w:val="00622481"/>
    <w:rsid w:val="006228C4"/>
    <w:rsid w:val="006236B9"/>
    <w:rsid w:val="006370A2"/>
    <w:rsid w:val="0064422A"/>
    <w:rsid w:val="00645152"/>
    <w:rsid w:val="00650653"/>
    <w:rsid w:val="006572D1"/>
    <w:rsid w:val="006656DC"/>
    <w:rsid w:val="0066610A"/>
    <w:rsid w:val="0067296F"/>
    <w:rsid w:val="00675CFC"/>
    <w:rsid w:val="0068417A"/>
    <w:rsid w:val="00684A8D"/>
    <w:rsid w:val="00694190"/>
    <w:rsid w:val="006B2594"/>
    <w:rsid w:val="006C2D37"/>
    <w:rsid w:val="006C737C"/>
    <w:rsid w:val="006C767C"/>
    <w:rsid w:val="006C7C7F"/>
    <w:rsid w:val="006D0986"/>
    <w:rsid w:val="006D6D35"/>
    <w:rsid w:val="006D73BE"/>
    <w:rsid w:val="006E0AB5"/>
    <w:rsid w:val="006E4C3C"/>
    <w:rsid w:val="006E6B08"/>
    <w:rsid w:val="006E7E71"/>
    <w:rsid w:val="006F5AE8"/>
    <w:rsid w:val="00702020"/>
    <w:rsid w:val="00704F2E"/>
    <w:rsid w:val="00707C8E"/>
    <w:rsid w:val="00713ED0"/>
    <w:rsid w:val="00716888"/>
    <w:rsid w:val="0071726C"/>
    <w:rsid w:val="007278A1"/>
    <w:rsid w:val="00730093"/>
    <w:rsid w:val="00730928"/>
    <w:rsid w:val="00734EEE"/>
    <w:rsid w:val="0074062D"/>
    <w:rsid w:val="0074194F"/>
    <w:rsid w:val="007439CE"/>
    <w:rsid w:val="00746969"/>
    <w:rsid w:val="007658E3"/>
    <w:rsid w:val="00766DA2"/>
    <w:rsid w:val="00771E9C"/>
    <w:rsid w:val="007761FA"/>
    <w:rsid w:val="00776726"/>
    <w:rsid w:val="00785CC4"/>
    <w:rsid w:val="00785E46"/>
    <w:rsid w:val="007902ED"/>
    <w:rsid w:val="00793EF8"/>
    <w:rsid w:val="007961A4"/>
    <w:rsid w:val="007A46A3"/>
    <w:rsid w:val="007A5074"/>
    <w:rsid w:val="007A72A6"/>
    <w:rsid w:val="007B3B11"/>
    <w:rsid w:val="007B669A"/>
    <w:rsid w:val="007B6BD0"/>
    <w:rsid w:val="007B7685"/>
    <w:rsid w:val="007C15C3"/>
    <w:rsid w:val="007C1AE8"/>
    <w:rsid w:val="007C1CCA"/>
    <w:rsid w:val="007C244C"/>
    <w:rsid w:val="007C3712"/>
    <w:rsid w:val="007C508D"/>
    <w:rsid w:val="007C56EA"/>
    <w:rsid w:val="007C6175"/>
    <w:rsid w:val="007D045E"/>
    <w:rsid w:val="007D1699"/>
    <w:rsid w:val="007D52CA"/>
    <w:rsid w:val="007E2D8E"/>
    <w:rsid w:val="007E66A0"/>
    <w:rsid w:val="007E790C"/>
    <w:rsid w:val="007F07EE"/>
    <w:rsid w:val="007F3A92"/>
    <w:rsid w:val="0080284A"/>
    <w:rsid w:val="00805896"/>
    <w:rsid w:val="008074C4"/>
    <w:rsid w:val="00810804"/>
    <w:rsid w:val="00813E11"/>
    <w:rsid w:val="00814CDC"/>
    <w:rsid w:val="00817485"/>
    <w:rsid w:val="008246BA"/>
    <w:rsid w:val="00827877"/>
    <w:rsid w:val="00841E0F"/>
    <w:rsid w:val="008435A3"/>
    <w:rsid w:val="00850149"/>
    <w:rsid w:val="008525B6"/>
    <w:rsid w:val="0087508C"/>
    <w:rsid w:val="0087657A"/>
    <w:rsid w:val="00883B15"/>
    <w:rsid w:val="00891288"/>
    <w:rsid w:val="00897324"/>
    <w:rsid w:val="008A1F9D"/>
    <w:rsid w:val="008A31CB"/>
    <w:rsid w:val="008A34E6"/>
    <w:rsid w:val="008A699D"/>
    <w:rsid w:val="008A744A"/>
    <w:rsid w:val="008A7470"/>
    <w:rsid w:val="008B43CE"/>
    <w:rsid w:val="008B754C"/>
    <w:rsid w:val="008C5C20"/>
    <w:rsid w:val="008D2D95"/>
    <w:rsid w:val="008D3098"/>
    <w:rsid w:val="008D7DC4"/>
    <w:rsid w:val="008E1F8C"/>
    <w:rsid w:val="008E49B9"/>
    <w:rsid w:val="008E5368"/>
    <w:rsid w:val="008E6EAB"/>
    <w:rsid w:val="008F1450"/>
    <w:rsid w:val="00900B83"/>
    <w:rsid w:val="00904973"/>
    <w:rsid w:val="00905259"/>
    <w:rsid w:val="009071D3"/>
    <w:rsid w:val="009107C5"/>
    <w:rsid w:val="00914A34"/>
    <w:rsid w:val="00926F82"/>
    <w:rsid w:val="00930B13"/>
    <w:rsid w:val="009331D9"/>
    <w:rsid w:val="00941570"/>
    <w:rsid w:val="00941C4F"/>
    <w:rsid w:val="0094668D"/>
    <w:rsid w:val="00964773"/>
    <w:rsid w:val="0096617B"/>
    <w:rsid w:val="0097228D"/>
    <w:rsid w:val="00976000"/>
    <w:rsid w:val="0098230A"/>
    <w:rsid w:val="0098249B"/>
    <w:rsid w:val="0098267E"/>
    <w:rsid w:val="00984918"/>
    <w:rsid w:val="0098598E"/>
    <w:rsid w:val="0098668D"/>
    <w:rsid w:val="0099186B"/>
    <w:rsid w:val="009A0E58"/>
    <w:rsid w:val="009A14C6"/>
    <w:rsid w:val="009A3B55"/>
    <w:rsid w:val="009B09CB"/>
    <w:rsid w:val="009B276A"/>
    <w:rsid w:val="009B591A"/>
    <w:rsid w:val="009B5EF4"/>
    <w:rsid w:val="009C504D"/>
    <w:rsid w:val="009D3D69"/>
    <w:rsid w:val="009D4C12"/>
    <w:rsid w:val="009F2FA0"/>
    <w:rsid w:val="009F3444"/>
    <w:rsid w:val="009F4877"/>
    <w:rsid w:val="009F546A"/>
    <w:rsid w:val="009F6443"/>
    <w:rsid w:val="009F7E1E"/>
    <w:rsid w:val="00A00B3A"/>
    <w:rsid w:val="00A00BCE"/>
    <w:rsid w:val="00A0433D"/>
    <w:rsid w:val="00A07D29"/>
    <w:rsid w:val="00A1008E"/>
    <w:rsid w:val="00A10C76"/>
    <w:rsid w:val="00A11646"/>
    <w:rsid w:val="00A16D28"/>
    <w:rsid w:val="00A24C14"/>
    <w:rsid w:val="00A3185F"/>
    <w:rsid w:val="00A43B86"/>
    <w:rsid w:val="00A55FA6"/>
    <w:rsid w:val="00A628A3"/>
    <w:rsid w:val="00A62DFE"/>
    <w:rsid w:val="00A741E9"/>
    <w:rsid w:val="00A74E08"/>
    <w:rsid w:val="00A86771"/>
    <w:rsid w:val="00A87569"/>
    <w:rsid w:val="00A90100"/>
    <w:rsid w:val="00A90D7B"/>
    <w:rsid w:val="00A97F48"/>
    <w:rsid w:val="00AA0678"/>
    <w:rsid w:val="00AA0A1D"/>
    <w:rsid w:val="00AA362C"/>
    <w:rsid w:val="00AA5B2F"/>
    <w:rsid w:val="00AA6671"/>
    <w:rsid w:val="00AB0BE4"/>
    <w:rsid w:val="00AB47D6"/>
    <w:rsid w:val="00AB57B0"/>
    <w:rsid w:val="00AC29DF"/>
    <w:rsid w:val="00AD2256"/>
    <w:rsid w:val="00AD750E"/>
    <w:rsid w:val="00AE1EA6"/>
    <w:rsid w:val="00AE4BE6"/>
    <w:rsid w:val="00AF0A2C"/>
    <w:rsid w:val="00AF27A9"/>
    <w:rsid w:val="00AF440B"/>
    <w:rsid w:val="00AF59F7"/>
    <w:rsid w:val="00B002E2"/>
    <w:rsid w:val="00B1082E"/>
    <w:rsid w:val="00B1361E"/>
    <w:rsid w:val="00B13A0E"/>
    <w:rsid w:val="00B15088"/>
    <w:rsid w:val="00B1546B"/>
    <w:rsid w:val="00B2065C"/>
    <w:rsid w:val="00B27E7E"/>
    <w:rsid w:val="00B31D54"/>
    <w:rsid w:val="00B32255"/>
    <w:rsid w:val="00B35CDF"/>
    <w:rsid w:val="00B36383"/>
    <w:rsid w:val="00B4285F"/>
    <w:rsid w:val="00B4593B"/>
    <w:rsid w:val="00B46597"/>
    <w:rsid w:val="00B4723A"/>
    <w:rsid w:val="00B62BFF"/>
    <w:rsid w:val="00B66210"/>
    <w:rsid w:val="00B66291"/>
    <w:rsid w:val="00B67681"/>
    <w:rsid w:val="00B75138"/>
    <w:rsid w:val="00B75F87"/>
    <w:rsid w:val="00B771DF"/>
    <w:rsid w:val="00B80775"/>
    <w:rsid w:val="00B817CD"/>
    <w:rsid w:val="00B832ED"/>
    <w:rsid w:val="00B858FC"/>
    <w:rsid w:val="00B86124"/>
    <w:rsid w:val="00B86A85"/>
    <w:rsid w:val="00B873D9"/>
    <w:rsid w:val="00B96344"/>
    <w:rsid w:val="00BA49B5"/>
    <w:rsid w:val="00BB1E89"/>
    <w:rsid w:val="00BB2476"/>
    <w:rsid w:val="00BB281F"/>
    <w:rsid w:val="00BB6A62"/>
    <w:rsid w:val="00BD7457"/>
    <w:rsid w:val="00BE1832"/>
    <w:rsid w:val="00BE29B5"/>
    <w:rsid w:val="00BE3C08"/>
    <w:rsid w:val="00BE44BC"/>
    <w:rsid w:val="00BE6497"/>
    <w:rsid w:val="00BE7922"/>
    <w:rsid w:val="00BF0887"/>
    <w:rsid w:val="00BF4208"/>
    <w:rsid w:val="00BF52FC"/>
    <w:rsid w:val="00BF63FC"/>
    <w:rsid w:val="00BF7F20"/>
    <w:rsid w:val="00C118DE"/>
    <w:rsid w:val="00C14BED"/>
    <w:rsid w:val="00C160C8"/>
    <w:rsid w:val="00C21FE7"/>
    <w:rsid w:val="00C273A3"/>
    <w:rsid w:val="00C345CE"/>
    <w:rsid w:val="00C363A6"/>
    <w:rsid w:val="00C4342E"/>
    <w:rsid w:val="00C5188E"/>
    <w:rsid w:val="00C51EE7"/>
    <w:rsid w:val="00C6437D"/>
    <w:rsid w:val="00C66823"/>
    <w:rsid w:val="00C76D2A"/>
    <w:rsid w:val="00C778A6"/>
    <w:rsid w:val="00C806E2"/>
    <w:rsid w:val="00C81293"/>
    <w:rsid w:val="00C82281"/>
    <w:rsid w:val="00C82D75"/>
    <w:rsid w:val="00C8329E"/>
    <w:rsid w:val="00C863B9"/>
    <w:rsid w:val="00C95B15"/>
    <w:rsid w:val="00C972BF"/>
    <w:rsid w:val="00CA15E9"/>
    <w:rsid w:val="00CA3D3C"/>
    <w:rsid w:val="00CA4CBC"/>
    <w:rsid w:val="00CB00F7"/>
    <w:rsid w:val="00CB074F"/>
    <w:rsid w:val="00CC01D1"/>
    <w:rsid w:val="00CC3B96"/>
    <w:rsid w:val="00CC7D27"/>
    <w:rsid w:val="00CD2064"/>
    <w:rsid w:val="00CD7F19"/>
    <w:rsid w:val="00CE0730"/>
    <w:rsid w:val="00CE364E"/>
    <w:rsid w:val="00CE3AD8"/>
    <w:rsid w:val="00CF2321"/>
    <w:rsid w:val="00CF274C"/>
    <w:rsid w:val="00CF3CA7"/>
    <w:rsid w:val="00D01281"/>
    <w:rsid w:val="00D0460D"/>
    <w:rsid w:val="00D11E34"/>
    <w:rsid w:val="00D16ADC"/>
    <w:rsid w:val="00D202E3"/>
    <w:rsid w:val="00D24807"/>
    <w:rsid w:val="00D4243D"/>
    <w:rsid w:val="00D4297E"/>
    <w:rsid w:val="00D51A5E"/>
    <w:rsid w:val="00D52D70"/>
    <w:rsid w:val="00D5619F"/>
    <w:rsid w:val="00D56662"/>
    <w:rsid w:val="00D576CE"/>
    <w:rsid w:val="00D70F83"/>
    <w:rsid w:val="00D73838"/>
    <w:rsid w:val="00D74A79"/>
    <w:rsid w:val="00D80E4F"/>
    <w:rsid w:val="00D82016"/>
    <w:rsid w:val="00D85660"/>
    <w:rsid w:val="00D90D40"/>
    <w:rsid w:val="00D92EB7"/>
    <w:rsid w:val="00D938B1"/>
    <w:rsid w:val="00D96BDD"/>
    <w:rsid w:val="00DA3F6B"/>
    <w:rsid w:val="00DB089A"/>
    <w:rsid w:val="00DC4507"/>
    <w:rsid w:val="00DC46C9"/>
    <w:rsid w:val="00DD0626"/>
    <w:rsid w:val="00DD36E3"/>
    <w:rsid w:val="00DD5117"/>
    <w:rsid w:val="00DE12DE"/>
    <w:rsid w:val="00DE2393"/>
    <w:rsid w:val="00DE3821"/>
    <w:rsid w:val="00DE38EB"/>
    <w:rsid w:val="00DE72E1"/>
    <w:rsid w:val="00DF5B6A"/>
    <w:rsid w:val="00DF76E5"/>
    <w:rsid w:val="00E078C1"/>
    <w:rsid w:val="00E1134E"/>
    <w:rsid w:val="00E114E5"/>
    <w:rsid w:val="00E152BC"/>
    <w:rsid w:val="00E17AB6"/>
    <w:rsid w:val="00E2070B"/>
    <w:rsid w:val="00E21282"/>
    <w:rsid w:val="00E23946"/>
    <w:rsid w:val="00E2562D"/>
    <w:rsid w:val="00E25D9F"/>
    <w:rsid w:val="00E36B3A"/>
    <w:rsid w:val="00E47B8A"/>
    <w:rsid w:val="00E501DF"/>
    <w:rsid w:val="00E51674"/>
    <w:rsid w:val="00E56A07"/>
    <w:rsid w:val="00E83CD1"/>
    <w:rsid w:val="00E86217"/>
    <w:rsid w:val="00E9136A"/>
    <w:rsid w:val="00E92566"/>
    <w:rsid w:val="00E9468B"/>
    <w:rsid w:val="00E959D4"/>
    <w:rsid w:val="00E9652D"/>
    <w:rsid w:val="00E96E4C"/>
    <w:rsid w:val="00E9794D"/>
    <w:rsid w:val="00EA1A2F"/>
    <w:rsid w:val="00EA2699"/>
    <w:rsid w:val="00EA2D96"/>
    <w:rsid w:val="00EB50D0"/>
    <w:rsid w:val="00EB6C65"/>
    <w:rsid w:val="00EB7929"/>
    <w:rsid w:val="00EC114F"/>
    <w:rsid w:val="00EC27AF"/>
    <w:rsid w:val="00EC340C"/>
    <w:rsid w:val="00ED3C3D"/>
    <w:rsid w:val="00EE0F05"/>
    <w:rsid w:val="00EE2201"/>
    <w:rsid w:val="00EE2FCB"/>
    <w:rsid w:val="00EE3783"/>
    <w:rsid w:val="00EE4AC8"/>
    <w:rsid w:val="00EF30E0"/>
    <w:rsid w:val="00EF5FD1"/>
    <w:rsid w:val="00F002A1"/>
    <w:rsid w:val="00F01442"/>
    <w:rsid w:val="00F01498"/>
    <w:rsid w:val="00F0244E"/>
    <w:rsid w:val="00F02924"/>
    <w:rsid w:val="00F037BB"/>
    <w:rsid w:val="00F05356"/>
    <w:rsid w:val="00F13991"/>
    <w:rsid w:val="00F2340B"/>
    <w:rsid w:val="00F243D6"/>
    <w:rsid w:val="00F30544"/>
    <w:rsid w:val="00F36508"/>
    <w:rsid w:val="00F36C72"/>
    <w:rsid w:val="00F36D6F"/>
    <w:rsid w:val="00F40501"/>
    <w:rsid w:val="00F515E8"/>
    <w:rsid w:val="00F60021"/>
    <w:rsid w:val="00F66359"/>
    <w:rsid w:val="00F6726B"/>
    <w:rsid w:val="00F7253F"/>
    <w:rsid w:val="00F750A7"/>
    <w:rsid w:val="00F81B40"/>
    <w:rsid w:val="00F85487"/>
    <w:rsid w:val="00F9418F"/>
    <w:rsid w:val="00FA03BC"/>
    <w:rsid w:val="00FA1C44"/>
    <w:rsid w:val="00FA46F6"/>
    <w:rsid w:val="00FB035B"/>
    <w:rsid w:val="00FB0EEC"/>
    <w:rsid w:val="00FB17BA"/>
    <w:rsid w:val="00FB4617"/>
    <w:rsid w:val="00FB5E41"/>
    <w:rsid w:val="00FC0301"/>
    <w:rsid w:val="00FC0A9A"/>
    <w:rsid w:val="00FC0DBA"/>
    <w:rsid w:val="00FC16C9"/>
    <w:rsid w:val="00FC176D"/>
    <w:rsid w:val="00FC17C8"/>
    <w:rsid w:val="00FC210D"/>
    <w:rsid w:val="00FC7814"/>
    <w:rsid w:val="00FD33AF"/>
    <w:rsid w:val="00FD70DB"/>
    <w:rsid w:val="00FE0BF0"/>
    <w:rsid w:val="00FE2583"/>
    <w:rsid w:val="00FE3EAC"/>
    <w:rsid w:val="00FF2305"/>
    <w:rsid w:val="00FF6520"/>
    <w:rsid w:val="00FF7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5B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iPriority="2" w:unhideWhenUsed="0" w:qFormat="1"/>
    <w:lsdException w:name="heading 2" w:semiHidden="0" w:uiPriority="2" w:unhideWhenUsed="0" w:qFormat="1"/>
    <w:lsdException w:name="heading 3" w:semiHidden="0" w:uiPriority="2" w:unhideWhenUsed="0" w:qFormat="1"/>
    <w:lsdException w:name="heading 4" w:semiHidden="0" w:uiPriority="16" w:unhideWhenUsed="0"/>
    <w:lsdException w:name="heading 5" w:semiHidden="0" w:uiPriority="16" w:unhideWhenUsed="0"/>
    <w:lsdException w:name="heading 6" w:semiHidden="0" w:uiPriority="16" w:unhideWhenUsed="0"/>
    <w:lsdException w:name="heading 7" w:semiHidden="0" w:uiPriority="16"/>
    <w:lsdException w:name="heading 8" w:semiHidden="0" w:uiPriority="16" w:qFormat="1"/>
    <w:lsdException w:name="heading 9" w:semiHidden="0" w:uiPriority="16" w:qFormat="1"/>
    <w:lsdException w:name="index 2" w:semiHidden="0"/>
    <w:lsdException w:name="index 3" w:semiHidden="0"/>
    <w:lsdException w:name="index 4" w:semiHidden="0"/>
    <w:lsdException w:name="index 5" w:semiHidden="0"/>
    <w:lsdException w:name="index 6" w:semiHidden="0"/>
    <w:lsdException w:name="annotation text" w:uiPriority="99"/>
    <w:lsdException w:name="header" w:uiPriority="99"/>
    <w:lsdException w:name="footer" w:uiPriority="99"/>
    <w:lsdException w:name="annotation reference" w:uiPriority="99"/>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nhideWhenUsed="0"/>
    <w:lsdException w:name="Emphasis" w:semiHidden="0" w:uiPriority="20" w:unhideWhenUsed="0"/>
    <w:lsdException w:name="Plain Text" w:uiPriority="7" w:qFormat="1"/>
    <w:lsdException w:name="HTML Code" w:uiPriority="99"/>
    <w:lsdException w:name="Table Grid" w:semiHidden="0" w:uiPriority="59" w:unhideWhenUsed="0"/>
    <w:lsdException w:name="Placeholder Text" w:unhideWhenUsed="0"/>
    <w:lsdException w:name="No Spacing"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5"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4A1B4A"/>
    <w:pPr>
      <w:spacing w:after="120"/>
    </w:pPr>
    <w:rPr>
      <w:rFonts w:asciiTheme="minorHAnsi" w:hAnsiTheme="minorHAnsi"/>
    </w:rPr>
  </w:style>
  <w:style w:type="paragraph" w:styleId="Heading1">
    <w:name w:val="heading 1"/>
    <w:basedOn w:val="Normal"/>
    <w:next w:val="Normal"/>
    <w:link w:val="Heading1Char"/>
    <w:autoRedefine/>
    <w:uiPriority w:val="2"/>
    <w:qFormat/>
    <w:rsid w:val="004A1B4A"/>
    <w:pPr>
      <w:keepNext/>
      <w:keepLines/>
      <w:pageBreakBefore/>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4A1B4A"/>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rsid w:val="004A1B4A"/>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4A1B4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4A1B4A"/>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4A1B4A"/>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11"/>
    <w:rsid w:val="00911B70"/>
    <w:rPr>
      <w:b/>
      <w:bCs/>
      <w:i/>
      <w:iCs/>
      <w:color w:val="auto"/>
    </w:rPr>
  </w:style>
  <w:style w:type="character" w:styleId="Strong">
    <w:name w:val="Strong"/>
    <w:basedOn w:val="DefaultParagraphFont"/>
    <w:uiPriority w:val="11"/>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ind w:left="360" w:hanging="360"/>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6"/>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51A91"/>
    <w:pPr>
      <w:keepNext/>
      <w:spacing w:before="240" w:after="120"/>
    </w:pPr>
    <w:rPr>
      <w:rFonts w:eastAsiaTheme="minorEastAsia"/>
      <w:color w:val="000000" w:themeColor="text1"/>
      <w:sz w:val="24"/>
      <w:lang w:bidi="en-US"/>
    </w:rPr>
  </w:style>
  <w:style w:type="paragraph" w:customStyle="1" w:styleId="TableHeading">
    <w:name w:val="Table Heading"/>
    <w:basedOn w:val="Normal"/>
    <w:rsid w:val="00A51A91"/>
    <w:pPr>
      <w:spacing w:before="160"/>
    </w:pPr>
  </w:style>
  <w:style w:type="paragraph" w:customStyle="1" w:styleId="TableFootnote">
    <w:name w:val="Table Footnote"/>
    <w:basedOn w:val="Normal"/>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pPr>
      <w:numPr>
        <w:numId w:val="7"/>
      </w:numPr>
    </w:pPr>
  </w:style>
  <w:style w:type="paragraph" w:customStyle="1" w:styleId="TNR12It">
    <w:name w:val="TNR 12 It"/>
    <w:basedOn w:val="Normal"/>
    <w:link w:val="TNR12ItChar"/>
    <w:rsid w:val="00EC114F"/>
    <w:pPr>
      <w:spacing w:after="0"/>
      <w:ind w:left="720"/>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EC114F"/>
    <w:rPr>
      <w:rFonts w:ascii="Times New Roman" w:eastAsia="Times New Roman" w:hAnsi="Times New Roman" w:cs="Times New Roman"/>
      <w:i/>
      <w:iCs/>
      <w:sz w:val="24"/>
      <w:szCs w:val="24"/>
      <w:lang w:eastAsia="zh-CN"/>
    </w:rPr>
  </w:style>
  <w:style w:type="character" w:customStyle="1" w:styleId="NoSpacingChar">
    <w:name w:val="No Spacing Char"/>
    <w:basedOn w:val="DefaultParagraphFont"/>
    <w:link w:val="NoSpacing"/>
    <w:uiPriority w:val="1"/>
    <w:rsid w:val="00FD33AF"/>
  </w:style>
  <w:style w:type="character" w:styleId="HTMLCode">
    <w:name w:val="HTML Code"/>
    <w:basedOn w:val="DefaultParagraphFont"/>
    <w:uiPriority w:val="99"/>
    <w:unhideWhenUsed/>
    <w:rsid w:val="00BF63FC"/>
    <w:rPr>
      <w:rFonts w:ascii="Courier New" w:eastAsia="Times New Roman" w:hAnsi="Courier New" w:cs="Courier New"/>
      <w:sz w:val="20"/>
      <w:szCs w:val="20"/>
    </w:rPr>
  </w:style>
  <w:style w:type="table" w:customStyle="1" w:styleId="TableGrid1">
    <w:name w:val="Table Grid1"/>
    <w:basedOn w:val="TableNormal"/>
    <w:next w:val="TableGrid"/>
    <w:uiPriority w:val="59"/>
    <w:rsid w:val="00F2340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semiHidden/>
    <w:unhideWhenUsed/>
    <w:rsid w:val="00AE4BE6"/>
    <w:pPr>
      <w:spacing w:after="0"/>
    </w:pPr>
    <w:rPr>
      <w:sz w:val="20"/>
      <w:szCs w:val="20"/>
    </w:rPr>
  </w:style>
  <w:style w:type="character" w:customStyle="1" w:styleId="FootnoteTextChar">
    <w:name w:val="Footnote Text Char"/>
    <w:basedOn w:val="DefaultParagraphFont"/>
    <w:link w:val="FootnoteText"/>
    <w:semiHidden/>
    <w:rsid w:val="00AE4BE6"/>
    <w:rPr>
      <w:rFonts w:asciiTheme="minorHAnsi" w:hAnsiTheme="minorHAnsi"/>
      <w:sz w:val="20"/>
      <w:szCs w:val="20"/>
    </w:rPr>
  </w:style>
  <w:style w:type="character" w:styleId="FootnoteReference">
    <w:name w:val="footnote reference"/>
    <w:basedOn w:val="DefaultParagraphFont"/>
    <w:semiHidden/>
    <w:unhideWhenUsed/>
    <w:rsid w:val="00AE4BE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iPriority="2" w:unhideWhenUsed="0" w:qFormat="1"/>
    <w:lsdException w:name="heading 2" w:semiHidden="0" w:uiPriority="2" w:unhideWhenUsed="0" w:qFormat="1"/>
    <w:lsdException w:name="heading 3" w:semiHidden="0" w:uiPriority="2" w:unhideWhenUsed="0" w:qFormat="1"/>
    <w:lsdException w:name="heading 4" w:semiHidden="0" w:uiPriority="16" w:unhideWhenUsed="0"/>
    <w:lsdException w:name="heading 5" w:semiHidden="0" w:uiPriority="16" w:unhideWhenUsed="0"/>
    <w:lsdException w:name="heading 6" w:semiHidden="0" w:uiPriority="16" w:unhideWhenUsed="0"/>
    <w:lsdException w:name="heading 7" w:semiHidden="0" w:uiPriority="16"/>
    <w:lsdException w:name="heading 8" w:semiHidden="0" w:uiPriority="16" w:qFormat="1"/>
    <w:lsdException w:name="heading 9" w:semiHidden="0" w:uiPriority="16" w:qFormat="1"/>
    <w:lsdException w:name="index 2" w:semiHidden="0"/>
    <w:lsdException w:name="index 3" w:semiHidden="0"/>
    <w:lsdException w:name="index 4" w:semiHidden="0"/>
    <w:lsdException w:name="index 5" w:semiHidden="0"/>
    <w:lsdException w:name="index 6" w:semiHidden="0"/>
    <w:lsdException w:name="annotation text" w:uiPriority="99"/>
    <w:lsdException w:name="header" w:uiPriority="99"/>
    <w:lsdException w:name="footer" w:uiPriority="99"/>
    <w:lsdException w:name="annotation reference" w:uiPriority="99"/>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nhideWhenUsed="0"/>
    <w:lsdException w:name="Emphasis" w:semiHidden="0" w:uiPriority="20" w:unhideWhenUsed="0"/>
    <w:lsdException w:name="Plain Text" w:uiPriority="7" w:qFormat="1"/>
    <w:lsdException w:name="HTML Code" w:uiPriority="99"/>
    <w:lsdException w:name="Table Grid" w:semiHidden="0" w:uiPriority="59" w:unhideWhenUsed="0"/>
    <w:lsdException w:name="Placeholder Text" w:unhideWhenUsed="0"/>
    <w:lsdException w:name="No Spacing"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5"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4A1B4A"/>
    <w:pPr>
      <w:spacing w:after="120"/>
    </w:pPr>
    <w:rPr>
      <w:rFonts w:asciiTheme="minorHAnsi" w:hAnsiTheme="minorHAnsi"/>
    </w:rPr>
  </w:style>
  <w:style w:type="paragraph" w:styleId="Heading1">
    <w:name w:val="heading 1"/>
    <w:basedOn w:val="Normal"/>
    <w:next w:val="Normal"/>
    <w:link w:val="Heading1Char"/>
    <w:autoRedefine/>
    <w:uiPriority w:val="2"/>
    <w:qFormat/>
    <w:rsid w:val="004A1B4A"/>
    <w:pPr>
      <w:keepNext/>
      <w:keepLines/>
      <w:pageBreakBefore/>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4A1B4A"/>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rsid w:val="004A1B4A"/>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4A1B4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4A1B4A"/>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4A1B4A"/>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11"/>
    <w:rsid w:val="00911B70"/>
    <w:rPr>
      <w:b/>
      <w:bCs/>
      <w:i/>
      <w:iCs/>
      <w:color w:val="auto"/>
    </w:rPr>
  </w:style>
  <w:style w:type="character" w:styleId="Strong">
    <w:name w:val="Strong"/>
    <w:basedOn w:val="DefaultParagraphFont"/>
    <w:uiPriority w:val="11"/>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ind w:left="360" w:hanging="360"/>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6"/>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51A91"/>
    <w:pPr>
      <w:keepNext/>
      <w:spacing w:before="240" w:after="120"/>
    </w:pPr>
    <w:rPr>
      <w:rFonts w:eastAsiaTheme="minorEastAsia"/>
      <w:color w:val="000000" w:themeColor="text1"/>
      <w:sz w:val="24"/>
      <w:lang w:bidi="en-US"/>
    </w:rPr>
  </w:style>
  <w:style w:type="paragraph" w:customStyle="1" w:styleId="TableHeading">
    <w:name w:val="Table Heading"/>
    <w:basedOn w:val="Normal"/>
    <w:rsid w:val="00A51A91"/>
    <w:pPr>
      <w:spacing w:before="160"/>
    </w:pPr>
  </w:style>
  <w:style w:type="paragraph" w:customStyle="1" w:styleId="TableFootnote">
    <w:name w:val="Table Footnote"/>
    <w:basedOn w:val="Normal"/>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pPr>
      <w:numPr>
        <w:numId w:val="7"/>
      </w:numPr>
    </w:pPr>
  </w:style>
  <w:style w:type="paragraph" w:customStyle="1" w:styleId="TNR12It">
    <w:name w:val="TNR 12 It"/>
    <w:basedOn w:val="Normal"/>
    <w:link w:val="TNR12ItChar"/>
    <w:rsid w:val="00EC114F"/>
    <w:pPr>
      <w:spacing w:after="0"/>
      <w:ind w:left="720"/>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EC114F"/>
    <w:rPr>
      <w:rFonts w:ascii="Times New Roman" w:eastAsia="Times New Roman" w:hAnsi="Times New Roman" w:cs="Times New Roman"/>
      <w:i/>
      <w:iCs/>
      <w:sz w:val="24"/>
      <w:szCs w:val="24"/>
      <w:lang w:eastAsia="zh-CN"/>
    </w:rPr>
  </w:style>
  <w:style w:type="character" w:customStyle="1" w:styleId="NoSpacingChar">
    <w:name w:val="No Spacing Char"/>
    <w:basedOn w:val="DefaultParagraphFont"/>
    <w:link w:val="NoSpacing"/>
    <w:uiPriority w:val="1"/>
    <w:rsid w:val="00FD33AF"/>
  </w:style>
  <w:style w:type="character" w:styleId="HTMLCode">
    <w:name w:val="HTML Code"/>
    <w:basedOn w:val="DefaultParagraphFont"/>
    <w:uiPriority w:val="99"/>
    <w:unhideWhenUsed/>
    <w:rsid w:val="00BF63FC"/>
    <w:rPr>
      <w:rFonts w:ascii="Courier New" w:eastAsia="Times New Roman" w:hAnsi="Courier New" w:cs="Courier New"/>
      <w:sz w:val="20"/>
      <w:szCs w:val="20"/>
    </w:rPr>
  </w:style>
  <w:style w:type="table" w:customStyle="1" w:styleId="TableGrid1">
    <w:name w:val="Table Grid1"/>
    <w:basedOn w:val="TableNormal"/>
    <w:next w:val="TableGrid"/>
    <w:uiPriority w:val="59"/>
    <w:rsid w:val="00F2340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semiHidden/>
    <w:unhideWhenUsed/>
    <w:rsid w:val="00AE4BE6"/>
    <w:pPr>
      <w:spacing w:after="0"/>
    </w:pPr>
    <w:rPr>
      <w:sz w:val="20"/>
      <w:szCs w:val="20"/>
    </w:rPr>
  </w:style>
  <w:style w:type="character" w:customStyle="1" w:styleId="FootnoteTextChar">
    <w:name w:val="Footnote Text Char"/>
    <w:basedOn w:val="DefaultParagraphFont"/>
    <w:link w:val="FootnoteText"/>
    <w:semiHidden/>
    <w:rsid w:val="00AE4BE6"/>
    <w:rPr>
      <w:rFonts w:asciiTheme="minorHAnsi" w:hAnsiTheme="minorHAnsi"/>
      <w:sz w:val="20"/>
      <w:szCs w:val="20"/>
    </w:rPr>
  </w:style>
  <w:style w:type="character" w:styleId="FootnoteReference">
    <w:name w:val="footnote reference"/>
    <w:basedOn w:val="DefaultParagraphFont"/>
    <w:semiHidden/>
    <w:unhideWhenUsed/>
    <w:rsid w:val="00AE4B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91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sdn.microsoft.com/en-us/library/windows/desktop/aa365202(v=vs.85).aspx" TargetMode="External"/><Relationship Id="rId18" Type="http://schemas.openxmlformats.org/officeDocument/2006/relationships/hyperlink" Target="https://www.hdfgroup.org/HDF5/docNewFeatures/SWMR/HDF5_SWMR_UsersGuide.pdf"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0pointer.de/blog/projects/locking2" TargetMode="External"/><Relationship Id="rId17" Type="http://schemas.openxmlformats.org/officeDocument/2006/relationships/hyperlink" Target="http://man7.org/linux/man-pages/man2/fcntl.2.html"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man7.org/linux/man-pages/man3/lockf.3.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0pointer.de/blog/projects/locking.html"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man7.org/linux/man-pages/man2/flock.2.html" TargetMode="External"/><Relationship Id="rId23" Type="http://schemas.openxmlformats.org/officeDocument/2006/relationships/theme" Target="theme/theme1.xml"/><Relationship Id="rId10" Type="http://schemas.openxmlformats.org/officeDocument/2006/relationships/hyperlink" Target="https://www.hdfgroup.org/HDF5/doc/UG/HDF5_Users_Guide-Responsive%20HTML5/index.html#t=HDF5_Users_Guide%2FErrorHandling%2FHDF5_Error_Handling.ht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hdfgroup.org/HDF5/docNewFeatures/NewFeaturesSwmrDocs.html" TargetMode="External"/><Relationship Id="rId14" Type="http://schemas.openxmlformats.org/officeDocument/2006/relationships/hyperlink" Target="https://msdn.microsoft.com/en-us/library/windows/desktop/aa365203(v=vs.85).asp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choi.000\AppData\Local\Temp\RFC_Template-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73CCD-310B-46C3-8BC1-208D4098D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RFC_Template-4.dotx</Template>
  <TotalTime>1376</TotalTime>
  <Pages>15</Pages>
  <Words>3152</Words>
  <Characters>16517</Characters>
  <Application>Microsoft Office Word</Application>
  <DocSecurity>0</DocSecurity>
  <Lines>485</Lines>
  <Paragraphs>204</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vchoi</dc:creator>
  <cp:lastModifiedBy>Evans, Mark</cp:lastModifiedBy>
  <cp:revision>33</cp:revision>
  <cp:lastPrinted>2014-02-26T21:35:00Z</cp:lastPrinted>
  <dcterms:created xsi:type="dcterms:W3CDTF">2016-03-22T22:13:00Z</dcterms:created>
  <dcterms:modified xsi:type="dcterms:W3CDTF">2016-03-31T18:44:00Z</dcterms:modified>
</cp:coreProperties>
</file>