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0B" w:rsidRDefault="0009450B" w:rsidP="0009450B">
      <w:pPr>
        <w:pStyle w:val="Title"/>
      </w:pPr>
      <w:r>
        <w:t>RFC: Enhancement to HDF5 concurrent file access</w:t>
      </w:r>
    </w:p>
    <w:p w:rsidR="00611674" w:rsidRDefault="00E152BC" w:rsidP="00611674">
      <w:pPr>
        <w:pStyle w:val="Author"/>
      </w:pPr>
      <w:r>
        <w:t>Vailin Choi</w:t>
      </w:r>
    </w:p>
    <w:p w:rsidR="00111C89" w:rsidRPr="00111C89" w:rsidRDefault="00111C89" w:rsidP="00111C89">
      <w:pPr>
        <w:pStyle w:val="Author"/>
        <w:rPr>
          <w:rFonts w:eastAsiaTheme="minorHAnsi" w:cstheme="minorBidi"/>
          <w:b w:val="0"/>
          <w:spacing w:val="0"/>
          <w:kern w:val="0"/>
          <w:sz w:val="24"/>
          <w:szCs w:val="22"/>
        </w:rPr>
      </w:pPr>
    </w:p>
    <w:p w:rsidR="0009450B" w:rsidRDefault="0009450B" w:rsidP="0009450B">
      <w:pPr>
        <w:pStyle w:val="Abstract"/>
      </w:pPr>
      <w:r>
        <w:t xml:space="preserve">This RFC describes the </w:t>
      </w:r>
      <w:r w:rsidR="007C508D">
        <w:t>improvement</w:t>
      </w:r>
      <w:r>
        <w:t xml:space="preserve"> to the HDF5 library so that concurrent access of an HDF5 file by writers and readers will be coherent.</w:t>
      </w:r>
    </w:p>
    <w:p w:rsidR="00611674" w:rsidRPr="00913E2A" w:rsidRDefault="00611674" w:rsidP="00611674">
      <w:pPr>
        <w:pStyle w:val="Divider"/>
      </w:pPr>
    </w:p>
    <w:p w:rsidR="00611674" w:rsidRDefault="00611674" w:rsidP="00611674">
      <w:pPr>
        <w:pStyle w:val="Heading1"/>
      </w:pPr>
      <w:r>
        <w:t xml:space="preserve">Introduction    </w:t>
      </w:r>
    </w:p>
    <w:p w:rsidR="0009450B" w:rsidRDefault="0009450B" w:rsidP="0009450B">
      <w:r>
        <w:t xml:space="preserve">The current HDF5 library does not detect concurrent file access by multiple writers and readers. This may incur problematic </w:t>
      </w:r>
      <w:r w:rsidR="0008420F">
        <w:t>scenarios</w:t>
      </w:r>
      <w:r>
        <w:t xml:space="preserve"> as follows:</w:t>
      </w:r>
    </w:p>
    <w:p w:rsidR="0009450B" w:rsidRDefault="0009450B" w:rsidP="0009450B">
      <w:pPr>
        <w:pStyle w:val="ListParagraph"/>
        <w:numPr>
          <w:ilvl w:val="0"/>
          <w:numId w:val="25"/>
        </w:numPr>
      </w:pPr>
      <w:r>
        <w:t>Multiple writers may concurrently open/modify the same file.</w:t>
      </w:r>
    </w:p>
    <w:p w:rsidR="0009450B" w:rsidRDefault="0009450B" w:rsidP="0009450B">
      <w:pPr>
        <w:pStyle w:val="ListParagraph"/>
        <w:numPr>
          <w:ilvl w:val="0"/>
          <w:numId w:val="25"/>
        </w:numPr>
      </w:pPr>
      <w:r>
        <w:t>A writer may concurrently open/modify a file that a reader has already opened.</w:t>
      </w:r>
    </w:p>
    <w:p w:rsidR="0009450B" w:rsidRDefault="0009450B" w:rsidP="0009450B">
      <w:r>
        <w:t>To prevent unexpected concurrent accesses, the library will use the file locking mechanism to ensure file consistency.</w:t>
      </w:r>
    </w:p>
    <w:p w:rsidR="0009450B" w:rsidRDefault="0009450B" w:rsidP="0009450B">
      <w:pPr>
        <w:pStyle w:val="Heading1"/>
      </w:pPr>
      <w:r>
        <w:t>File Locking Mechanism</w:t>
      </w:r>
    </w:p>
    <w:p w:rsidR="0009450B" w:rsidRDefault="0009450B" w:rsidP="0009450B">
      <w:r>
        <w:t xml:space="preserve">The </w:t>
      </w:r>
      <w:r w:rsidR="005F21AB">
        <w:t xml:space="preserve">HDF5 </w:t>
      </w:r>
      <w:r>
        <w:t>library will employ two means to implement file locking:</w:t>
      </w:r>
    </w:p>
    <w:p w:rsidR="004532F7" w:rsidRDefault="0009450B" w:rsidP="0009450B">
      <w:pPr>
        <w:pStyle w:val="ListParagraph"/>
        <w:numPr>
          <w:ilvl w:val="0"/>
          <w:numId w:val="26"/>
        </w:numPr>
      </w:pPr>
      <w:r>
        <w:t xml:space="preserve">Use the system call </w:t>
      </w:r>
      <w:r w:rsidRPr="00587B52">
        <w:rPr>
          <w:i/>
        </w:rPr>
        <w:t>flock</w:t>
      </w:r>
      <w:r>
        <w:t xml:space="preserve"> to </w:t>
      </w:r>
      <w:r w:rsidR="00904973">
        <w:t>apply or remove an advisory lock</w:t>
      </w:r>
      <w:r w:rsidR="005F21AB">
        <w:t xml:space="preserve"> </w:t>
      </w:r>
      <w:r w:rsidR="00904973">
        <w:t xml:space="preserve">on an open </w:t>
      </w:r>
      <w:r w:rsidR="004532F7">
        <w:t>file:</w:t>
      </w:r>
    </w:p>
    <w:p w:rsidR="004532F7" w:rsidRDefault="00904973" w:rsidP="00904973">
      <w:pPr>
        <w:pStyle w:val="ListParagraph"/>
        <w:numPr>
          <w:ilvl w:val="1"/>
          <w:numId w:val="31"/>
        </w:numPr>
      </w:pPr>
      <w:r>
        <w:t xml:space="preserve">There are two types of locks that can be applied to a file via </w:t>
      </w:r>
      <w:r w:rsidRPr="00904973">
        <w:rPr>
          <w:i/>
        </w:rPr>
        <w:t>flock</w:t>
      </w:r>
      <w:r>
        <w:t xml:space="preserve">: exclusive (LOCK_EX) or shared (LOCK_SH).  </w:t>
      </w:r>
      <w:r w:rsidR="0009450B">
        <w:t xml:space="preserve">As described in the </w:t>
      </w:r>
      <w:proofErr w:type="gramStart"/>
      <w:r w:rsidR="0009450B" w:rsidRPr="00904973">
        <w:rPr>
          <w:i/>
        </w:rPr>
        <w:t>flock(</w:t>
      </w:r>
      <w:proofErr w:type="gramEnd"/>
      <w:r w:rsidR="0009450B" w:rsidRPr="00904973">
        <w:rPr>
          <w:i/>
        </w:rPr>
        <w:t>2)</w:t>
      </w:r>
      <w:r w:rsidR="0009450B">
        <w:t xml:space="preserve"> man page, “</w:t>
      </w:r>
      <w:r w:rsidR="0009450B" w:rsidRPr="00904973">
        <w:rPr>
          <w:i/>
        </w:rPr>
        <w:t>only one process may hold an exclusive lock for a given file at a given time</w:t>
      </w:r>
      <w:r w:rsidR="0009450B">
        <w:t>” while  “</w:t>
      </w:r>
      <w:r w:rsidR="0009450B" w:rsidRPr="00904973">
        <w:rPr>
          <w:i/>
        </w:rPr>
        <w:t>more than one process may hold a shared lock for a given file at a given time</w:t>
      </w:r>
      <w:r w:rsidR="0009450B">
        <w:t>”.</w:t>
      </w:r>
      <w:r w:rsidR="005F21AB">
        <w:t xml:space="preserve">  </w:t>
      </w:r>
    </w:p>
    <w:p w:rsidR="0009450B" w:rsidRDefault="004532F7" w:rsidP="00904973">
      <w:pPr>
        <w:pStyle w:val="ListParagraph"/>
        <w:numPr>
          <w:ilvl w:val="1"/>
          <w:numId w:val="31"/>
        </w:numPr>
      </w:pPr>
      <w:r>
        <w:t>The lock is released automatically w</w:t>
      </w:r>
      <w:r w:rsidR="005F21AB">
        <w:t>hen the file closes</w:t>
      </w:r>
      <w:r>
        <w:t>; t</w:t>
      </w:r>
      <w:r w:rsidR="005F21AB">
        <w:t xml:space="preserve">he lock can also be released explicitly via </w:t>
      </w:r>
      <w:r w:rsidR="005F21AB" w:rsidRPr="005F21AB">
        <w:rPr>
          <w:i/>
        </w:rPr>
        <w:t>flock</w:t>
      </w:r>
      <w:r w:rsidR="005F21AB">
        <w:t xml:space="preserve"> with LOCK_UN.</w:t>
      </w:r>
    </w:p>
    <w:p w:rsidR="004532F7" w:rsidRDefault="0009450B" w:rsidP="0009450B">
      <w:pPr>
        <w:pStyle w:val="ListParagraph"/>
        <w:numPr>
          <w:ilvl w:val="0"/>
          <w:numId w:val="26"/>
        </w:numPr>
      </w:pPr>
      <w:r>
        <w:t>Use a flag in the fil</w:t>
      </w:r>
      <w:r w:rsidR="004532F7">
        <w:t>e’s superblock to mark the file:</w:t>
      </w:r>
    </w:p>
    <w:p w:rsidR="004532F7" w:rsidRDefault="004532F7" w:rsidP="004532F7">
      <w:pPr>
        <w:pStyle w:val="ListParagraph"/>
        <w:numPr>
          <w:ilvl w:val="1"/>
          <w:numId w:val="30"/>
        </w:numPr>
      </w:pPr>
      <w:r>
        <w:t>The library will mark the file in writing and/or SWMR writing mode based on file open access flags.</w:t>
      </w:r>
      <w:r w:rsidR="00550997">
        <w:t xml:space="preserve">  The marking </w:t>
      </w:r>
      <w:r w:rsidR="00897324">
        <w:t>ensures</w:t>
      </w:r>
      <w:r w:rsidR="00550997">
        <w:t xml:space="preserve"> </w:t>
      </w:r>
      <w:r w:rsidR="00BE1832">
        <w:t xml:space="preserve">file </w:t>
      </w:r>
      <w:r w:rsidR="00897324">
        <w:t>consistency for concurrent accesses.</w:t>
      </w:r>
    </w:p>
    <w:p w:rsidR="0009450B" w:rsidRDefault="005F21AB" w:rsidP="004532F7">
      <w:pPr>
        <w:pStyle w:val="ListParagraph"/>
        <w:numPr>
          <w:ilvl w:val="1"/>
          <w:numId w:val="30"/>
        </w:numPr>
      </w:pPr>
      <w:r>
        <w:t xml:space="preserve"> The library will clear the flag when the file closes. </w:t>
      </w:r>
    </w:p>
    <w:p w:rsidR="0009450B" w:rsidRDefault="0009450B" w:rsidP="0009450B">
      <w:r>
        <w:t xml:space="preserve">A writer or reader process will </w:t>
      </w:r>
      <w:r w:rsidR="00071A98">
        <w:t>have</w:t>
      </w:r>
      <w:r>
        <w:t xml:space="preserve"> different locking actions that further depe</w:t>
      </w:r>
      <w:r w:rsidR="00524C2B">
        <w:t>nd on whether the file is open</w:t>
      </w:r>
      <w:r>
        <w:t xml:space="preserve"> with or without SWMR:</w:t>
      </w:r>
    </w:p>
    <w:p w:rsidR="0009450B" w:rsidRDefault="0009450B" w:rsidP="0009450B">
      <w:pPr>
        <w:pStyle w:val="ListParagraph"/>
        <w:numPr>
          <w:ilvl w:val="0"/>
          <w:numId w:val="27"/>
        </w:numPr>
      </w:pPr>
      <w:r>
        <w:t>When a writer process creates/opens a file without SWMR:</w:t>
      </w:r>
    </w:p>
    <w:p w:rsidR="0009450B" w:rsidRDefault="0009450B" w:rsidP="0009450B">
      <w:pPr>
        <w:pStyle w:val="ListParagraph"/>
        <w:numPr>
          <w:ilvl w:val="1"/>
          <w:numId w:val="27"/>
        </w:numPr>
      </w:pPr>
      <w:r>
        <w:t>Place an exclusive lock on the file—the file will remain locked until it closes</w:t>
      </w:r>
      <w:r w:rsidR="00F6726B">
        <w:t>.</w:t>
      </w:r>
    </w:p>
    <w:p w:rsidR="0009450B" w:rsidRDefault="00F6726B" w:rsidP="0009450B">
      <w:pPr>
        <w:pStyle w:val="ListParagraph"/>
        <w:numPr>
          <w:ilvl w:val="1"/>
          <w:numId w:val="27"/>
        </w:numPr>
      </w:pPr>
      <w:r>
        <w:lastRenderedPageBreak/>
        <w:t>Ensure the file</w:t>
      </w:r>
      <w:r w:rsidR="0009450B">
        <w:t xml:space="preserve"> is not already marked in writing or SWMR writing mode. </w:t>
      </w:r>
    </w:p>
    <w:p w:rsidR="0009450B" w:rsidRDefault="0009450B" w:rsidP="0009450B">
      <w:pPr>
        <w:pStyle w:val="ListParagraph"/>
        <w:numPr>
          <w:ilvl w:val="1"/>
          <w:numId w:val="27"/>
        </w:numPr>
      </w:pPr>
      <w:r>
        <w:t>Mark the file in writing mode</w:t>
      </w:r>
      <w:bookmarkStart w:id="0" w:name="_GoBack"/>
      <w:bookmarkEnd w:id="0"/>
      <w:r>
        <w:t>.</w:t>
      </w:r>
    </w:p>
    <w:p w:rsidR="0009450B" w:rsidRDefault="0009450B" w:rsidP="0009450B">
      <w:pPr>
        <w:pStyle w:val="ListParagraph"/>
        <w:numPr>
          <w:ilvl w:val="0"/>
          <w:numId w:val="27"/>
        </w:numPr>
      </w:pPr>
      <w:r>
        <w:t xml:space="preserve">When a writer process creates/opens a file with SWMR write access: </w:t>
      </w:r>
    </w:p>
    <w:p w:rsidR="0009450B" w:rsidRDefault="0009450B" w:rsidP="0009450B">
      <w:pPr>
        <w:pStyle w:val="ListParagraph"/>
        <w:numPr>
          <w:ilvl w:val="0"/>
          <w:numId w:val="28"/>
        </w:numPr>
      </w:pPr>
      <w:r>
        <w:t xml:space="preserve">Place an exclusive </w:t>
      </w:r>
      <w:r w:rsidR="00524C2B">
        <w:t>lock on the file.</w:t>
      </w:r>
    </w:p>
    <w:p w:rsidR="0009450B" w:rsidRDefault="00F6726B" w:rsidP="0009450B">
      <w:pPr>
        <w:pStyle w:val="ListParagraph"/>
        <w:numPr>
          <w:ilvl w:val="0"/>
          <w:numId w:val="28"/>
        </w:numPr>
      </w:pPr>
      <w:r>
        <w:t>Ensure</w:t>
      </w:r>
      <w:r w:rsidR="0009450B">
        <w:t xml:space="preserve"> the file is not already marked in writing or SWMR writing mode. </w:t>
      </w:r>
    </w:p>
    <w:p w:rsidR="0009450B" w:rsidRPr="00524C2B" w:rsidRDefault="0009450B" w:rsidP="0009450B">
      <w:pPr>
        <w:pStyle w:val="ListParagraph"/>
        <w:numPr>
          <w:ilvl w:val="0"/>
          <w:numId w:val="28"/>
        </w:numPr>
      </w:pPr>
      <w:r>
        <w:t>Mark the file in writing and SWMR writing mode</w:t>
      </w:r>
      <w:r w:rsidR="00F6726B">
        <w:rPr>
          <w:i/>
        </w:rPr>
        <w:t>.</w:t>
      </w:r>
    </w:p>
    <w:p w:rsidR="00524C2B" w:rsidRPr="00524C2B" w:rsidRDefault="00524C2B" w:rsidP="0009450B">
      <w:pPr>
        <w:pStyle w:val="ListParagraph"/>
        <w:numPr>
          <w:ilvl w:val="0"/>
          <w:numId w:val="28"/>
        </w:numPr>
      </w:pPr>
      <w:r w:rsidRPr="00524C2B">
        <w:t xml:space="preserve">Release the lock before returning from </w:t>
      </w:r>
      <w:r w:rsidRPr="00524C2B">
        <w:rPr>
          <w:i/>
        </w:rPr>
        <w:t>H5Fopen/H5Fcreate</w:t>
      </w:r>
      <w:r>
        <w:rPr>
          <w:i/>
        </w:rPr>
        <w:t>.</w:t>
      </w:r>
    </w:p>
    <w:p w:rsidR="0009450B" w:rsidRDefault="0009450B" w:rsidP="0009450B">
      <w:pPr>
        <w:pStyle w:val="ListParagraph"/>
        <w:numPr>
          <w:ilvl w:val="0"/>
          <w:numId w:val="29"/>
        </w:numPr>
      </w:pPr>
      <w:r>
        <w:t>When a reader process opens a file without SWMR:</w:t>
      </w:r>
    </w:p>
    <w:p w:rsidR="0009450B" w:rsidRDefault="0009450B" w:rsidP="0009450B">
      <w:pPr>
        <w:pStyle w:val="ListParagraph"/>
        <w:numPr>
          <w:ilvl w:val="1"/>
          <w:numId w:val="29"/>
        </w:numPr>
      </w:pPr>
      <w:r>
        <w:t xml:space="preserve">Place a shared lock on the file.  </w:t>
      </w:r>
    </w:p>
    <w:p w:rsidR="0009450B" w:rsidRDefault="00F6726B" w:rsidP="0009450B">
      <w:pPr>
        <w:pStyle w:val="ListParagraph"/>
        <w:numPr>
          <w:ilvl w:val="1"/>
          <w:numId w:val="29"/>
        </w:numPr>
      </w:pPr>
      <w:r>
        <w:t>Ensure</w:t>
      </w:r>
      <w:r w:rsidR="0009450B">
        <w:t xml:space="preserve"> the file is not already marked in writing or SWMR writing mode.</w:t>
      </w:r>
    </w:p>
    <w:p w:rsidR="0009450B" w:rsidRDefault="0009450B" w:rsidP="0009450B">
      <w:pPr>
        <w:pStyle w:val="ListParagraph"/>
        <w:numPr>
          <w:ilvl w:val="0"/>
          <w:numId w:val="29"/>
        </w:numPr>
      </w:pPr>
      <w:r>
        <w:t>When a reader process opens a file with SWMR read:</w:t>
      </w:r>
    </w:p>
    <w:p w:rsidR="0009450B" w:rsidRDefault="0009450B" w:rsidP="0009450B">
      <w:pPr>
        <w:pStyle w:val="ListParagraph"/>
        <w:numPr>
          <w:ilvl w:val="1"/>
          <w:numId w:val="29"/>
        </w:numPr>
      </w:pPr>
      <w:r>
        <w:t xml:space="preserve">Place a shared lock on the file. </w:t>
      </w:r>
    </w:p>
    <w:p w:rsidR="0009450B" w:rsidRDefault="00F6726B" w:rsidP="0009450B">
      <w:pPr>
        <w:pStyle w:val="ListParagraph"/>
        <w:numPr>
          <w:ilvl w:val="1"/>
          <w:numId w:val="29"/>
        </w:numPr>
      </w:pPr>
      <w:r>
        <w:t>Ensure</w:t>
      </w:r>
      <w:r w:rsidR="0009450B">
        <w:t xml:space="preserve"> the file is marked in writing </w:t>
      </w:r>
      <w:r w:rsidR="0009450B" w:rsidRPr="0011204A">
        <w:t>and</w:t>
      </w:r>
      <w:r w:rsidR="0009450B">
        <w:t xml:space="preserve"> SWMR writing mode </w:t>
      </w:r>
    </w:p>
    <w:p w:rsidR="0009450B" w:rsidRDefault="00897324" w:rsidP="0009450B">
      <w:r>
        <w:t xml:space="preserve">Once </w:t>
      </w:r>
      <w:r w:rsidR="0009450B">
        <w:t xml:space="preserve">a writer </w:t>
      </w:r>
      <w:r w:rsidR="00F6726B">
        <w:t>successfully opens/creates a</w:t>
      </w:r>
      <w:r w:rsidR="0009450B">
        <w:t xml:space="preserve"> file, no other writer can open/create the file (with/without SWMR).  </w:t>
      </w:r>
      <w:r w:rsidR="00D90D40">
        <w:t>Readers cannot access</w:t>
      </w:r>
      <w:r w:rsidR="00B1361E">
        <w:t xml:space="preserve"> </w:t>
      </w:r>
      <w:r w:rsidR="00D90D40">
        <w:t>the file</w:t>
      </w:r>
      <w:r w:rsidR="00F6726B">
        <w:t xml:space="preserve"> </w:t>
      </w:r>
      <w:r w:rsidR="0008420F">
        <w:t xml:space="preserve">either </w:t>
      </w:r>
      <w:r>
        <w:t xml:space="preserve">but </w:t>
      </w:r>
      <w:r w:rsidR="0009450B">
        <w:t xml:space="preserve">with one exception: </w:t>
      </w:r>
      <w:r>
        <w:t xml:space="preserve">if a writer has successfully opened the file with SWMR write, then </w:t>
      </w:r>
      <w:r w:rsidR="0009450B">
        <w:t xml:space="preserve">a reader can </w:t>
      </w:r>
      <w:r>
        <w:t>access</w:t>
      </w:r>
      <w:r w:rsidR="00F6726B">
        <w:t xml:space="preserve"> the</w:t>
      </w:r>
      <w:r w:rsidR="0009450B">
        <w:t xml:space="preserve"> file with SWMR read.</w:t>
      </w:r>
    </w:p>
    <w:p w:rsidR="0009450B" w:rsidRDefault="00897324" w:rsidP="0009450B">
      <w:r>
        <w:t>Once</w:t>
      </w:r>
      <w:r w:rsidR="0009450B">
        <w:t xml:space="preserve"> a reader </w:t>
      </w:r>
      <w:r w:rsidR="00F6726B">
        <w:t>successfully opens</w:t>
      </w:r>
      <w:r w:rsidR="0009450B">
        <w:t xml:space="preserve"> a file, no writer can open the file (with/without SWMR</w:t>
      </w:r>
      <w:r w:rsidR="00011E74">
        <w:t>); b</w:t>
      </w:r>
      <w:r w:rsidR="002F375E">
        <w:t>ut o</w:t>
      </w:r>
      <w:r w:rsidR="00D90D40">
        <w:t>ther</w:t>
      </w:r>
      <w:r w:rsidR="0009450B">
        <w:t xml:space="preserve"> </w:t>
      </w:r>
      <w:r w:rsidR="00F6726B">
        <w:t xml:space="preserve">readers </w:t>
      </w:r>
      <w:r w:rsidR="00D90D40">
        <w:t>can access the file</w:t>
      </w:r>
      <w:r w:rsidR="0009450B">
        <w:t xml:space="preserve"> </w:t>
      </w:r>
      <w:r w:rsidR="00F6726B">
        <w:t>(</w:t>
      </w:r>
      <w:r w:rsidR="0009450B">
        <w:t>with/without SWMR</w:t>
      </w:r>
      <w:r w:rsidR="00F6726B">
        <w:t>)</w:t>
      </w:r>
      <w:r w:rsidR="0009450B">
        <w:t>.</w:t>
      </w:r>
    </w:p>
    <w:p w:rsidR="0009450B" w:rsidRDefault="0009450B" w:rsidP="0009450B">
      <w:r>
        <w:t>The table</w:t>
      </w:r>
      <w:r w:rsidR="00011E74">
        <w:t xml:space="preserve"> below</w:t>
      </w:r>
      <w:r>
        <w:t xml:space="preserve"> </w:t>
      </w:r>
      <w:r w:rsidR="00011E74">
        <w:t>depicts</w:t>
      </w:r>
      <w:r>
        <w:t xml:space="preserve"> the </w:t>
      </w:r>
      <w:r w:rsidR="00011E74">
        <w:t>result of a second file open after the first open succeeds—file opens by writer and reader with combinations of access flags:</w:t>
      </w:r>
    </w:p>
    <w:tbl>
      <w:tblPr>
        <w:tblStyle w:val="TableGrid"/>
        <w:tblW w:w="10224" w:type="dxa"/>
        <w:tblBorders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304"/>
        <w:gridCol w:w="1242"/>
        <w:gridCol w:w="2124"/>
        <w:gridCol w:w="2070"/>
        <w:gridCol w:w="1476"/>
      </w:tblGrid>
      <w:tr w:rsidR="0009450B" w:rsidTr="00726160">
        <w:tc>
          <w:tcPr>
            <w:tcW w:w="1008" w:type="dxa"/>
            <w:vMerge w:val="restart"/>
            <w:tcBorders>
              <w:top w:val="nil"/>
              <w:right w:val="nil"/>
            </w:tcBorders>
          </w:tcPr>
          <w:p w:rsidR="0009450B" w:rsidRPr="00DA3787" w:rsidRDefault="0009450B" w:rsidP="00726160">
            <w:pPr>
              <w:rPr>
                <w:rFonts w:cs="Consolas"/>
              </w:rPr>
            </w:pPr>
          </w:p>
        </w:tc>
        <w:tc>
          <w:tcPr>
            <w:tcW w:w="2304" w:type="dxa"/>
            <w:tcBorders>
              <w:top w:val="nil"/>
              <w:left w:val="nil"/>
              <w:right w:val="nil"/>
            </w:tcBorders>
          </w:tcPr>
          <w:p w:rsidR="0009450B" w:rsidRPr="00DA3787" w:rsidRDefault="0009450B" w:rsidP="00726160">
            <w:pPr>
              <w:rPr>
                <w:rFonts w:cs="Consolas"/>
              </w:rPr>
            </w:pPr>
          </w:p>
        </w:tc>
        <w:tc>
          <w:tcPr>
            <w:tcW w:w="691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09450B" w:rsidRPr="00DA3787" w:rsidRDefault="00011E74" w:rsidP="00011E74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2"/>
              </w:rPr>
              <w:t>first open</w:t>
            </w:r>
          </w:p>
        </w:tc>
      </w:tr>
      <w:tr w:rsidR="0009450B" w:rsidTr="00726160">
        <w:tc>
          <w:tcPr>
            <w:tcW w:w="1008" w:type="dxa"/>
            <w:vMerge/>
            <w:tcBorders>
              <w:bottom w:val="nil"/>
            </w:tcBorders>
          </w:tcPr>
          <w:p w:rsidR="0009450B" w:rsidRPr="00DA3787" w:rsidRDefault="0009450B" w:rsidP="00726160">
            <w:pPr>
              <w:rPr>
                <w:rFonts w:cs="Consolas"/>
              </w:rPr>
            </w:pPr>
          </w:p>
        </w:tc>
        <w:tc>
          <w:tcPr>
            <w:tcW w:w="2304" w:type="dxa"/>
          </w:tcPr>
          <w:p w:rsidR="0009450B" w:rsidRPr="002658E5" w:rsidRDefault="00F6726B" w:rsidP="00726160">
            <w:pPr>
              <w:rPr>
                <w:rFonts w:cs="Consolas"/>
                <w:i/>
              </w:rPr>
            </w:pPr>
            <w:r>
              <w:rPr>
                <w:rFonts w:cs="Consolas"/>
                <w:i/>
                <w:sz w:val="22"/>
              </w:rPr>
              <w:t xml:space="preserve">file open </w:t>
            </w:r>
            <w:r w:rsidR="0009450B" w:rsidRPr="002658E5">
              <w:rPr>
                <w:rFonts w:cs="Consolas"/>
                <w:i/>
                <w:sz w:val="22"/>
              </w:rPr>
              <w:t>access flags</w:t>
            </w:r>
          </w:p>
        </w:tc>
        <w:tc>
          <w:tcPr>
            <w:tcW w:w="1242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write only</w:t>
            </w:r>
          </w:p>
        </w:tc>
        <w:tc>
          <w:tcPr>
            <w:tcW w:w="2124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write &amp; SWMR write</w:t>
            </w:r>
          </w:p>
        </w:tc>
        <w:tc>
          <w:tcPr>
            <w:tcW w:w="2070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read &amp; SWMR read</w:t>
            </w:r>
          </w:p>
        </w:tc>
        <w:tc>
          <w:tcPr>
            <w:tcW w:w="1476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read only</w:t>
            </w:r>
          </w:p>
        </w:tc>
      </w:tr>
      <w:tr w:rsidR="0009450B" w:rsidTr="00726160">
        <w:tc>
          <w:tcPr>
            <w:tcW w:w="10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1E74" w:rsidRDefault="00011E74" w:rsidP="00011E74">
            <w:pPr>
              <w:rPr>
                <w:b/>
                <w:i/>
              </w:rPr>
            </w:pPr>
          </w:p>
          <w:p w:rsidR="00011E74" w:rsidRDefault="00011E74" w:rsidP="00011E74">
            <w:pPr>
              <w:rPr>
                <w:b/>
                <w:i/>
              </w:rPr>
            </w:pPr>
            <w:r>
              <w:rPr>
                <w:b/>
                <w:i/>
                <w:sz w:val="22"/>
              </w:rPr>
              <w:t>s</w:t>
            </w:r>
            <w:r w:rsidR="0009450B" w:rsidRPr="00DA3787">
              <w:rPr>
                <w:b/>
                <w:i/>
                <w:sz w:val="22"/>
              </w:rPr>
              <w:t>econd</w:t>
            </w:r>
          </w:p>
          <w:p w:rsidR="0009450B" w:rsidRPr="00011E74" w:rsidRDefault="0009450B" w:rsidP="00011E74">
            <w:pPr>
              <w:rPr>
                <w:b/>
                <w:i/>
              </w:rPr>
            </w:pPr>
            <w:r w:rsidRPr="00DA3787">
              <w:rPr>
                <w:b/>
                <w:i/>
                <w:sz w:val="22"/>
              </w:rPr>
              <w:t>open</w:t>
            </w:r>
            <w:r w:rsidR="00011E74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304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write only</w:t>
            </w:r>
          </w:p>
        </w:tc>
        <w:tc>
          <w:tcPr>
            <w:tcW w:w="1242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2124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2070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1476" w:type="dxa"/>
          </w:tcPr>
          <w:p w:rsidR="0009450B" w:rsidRPr="00DA3787" w:rsidRDefault="0009450B" w:rsidP="00726160">
            <w:r w:rsidRPr="00DA3787">
              <w:t>fail</w:t>
            </w:r>
          </w:p>
        </w:tc>
      </w:tr>
      <w:tr w:rsidR="0009450B" w:rsidTr="00726160">
        <w:tc>
          <w:tcPr>
            <w:tcW w:w="1008" w:type="dxa"/>
            <w:vMerge/>
            <w:tcBorders>
              <w:bottom w:val="nil"/>
            </w:tcBorders>
            <w:shd w:val="clear" w:color="auto" w:fill="auto"/>
          </w:tcPr>
          <w:p w:rsidR="0009450B" w:rsidRPr="00DA3787" w:rsidRDefault="0009450B" w:rsidP="00726160">
            <w:pPr>
              <w:rPr>
                <w:b/>
              </w:rPr>
            </w:pPr>
          </w:p>
        </w:tc>
        <w:tc>
          <w:tcPr>
            <w:tcW w:w="2304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write &amp; SWMR write</w:t>
            </w:r>
          </w:p>
        </w:tc>
        <w:tc>
          <w:tcPr>
            <w:tcW w:w="1242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2124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2070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1476" w:type="dxa"/>
          </w:tcPr>
          <w:p w:rsidR="0009450B" w:rsidRPr="00DA3787" w:rsidRDefault="0009450B" w:rsidP="00726160">
            <w:r w:rsidRPr="00DA3787">
              <w:t>fail</w:t>
            </w:r>
          </w:p>
        </w:tc>
      </w:tr>
      <w:tr w:rsidR="0009450B" w:rsidTr="00726160">
        <w:tc>
          <w:tcPr>
            <w:tcW w:w="1008" w:type="dxa"/>
            <w:vMerge/>
            <w:tcBorders>
              <w:bottom w:val="nil"/>
            </w:tcBorders>
            <w:shd w:val="clear" w:color="auto" w:fill="auto"/>
          </w:tcPr>
          <w:p w:rsidR="0009450B" w:rsidRPr="00DA3787" w:rsidRDefault="0009450B" w:rsidP="00726160">
            <w:pPr>
              <w:rPr>
                <w:b/>
              </w:rPr>
            </w:pPr>
          </w:p>
        </w:tc>
        <w:tc>
          <w:tcPr>
            <w:tcW w:w="2304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read &amp; SWMR read</w:t>
            </w:r>
          </w:p>
        </w:tc>
        <w:tc>
          <w:tcPr>
            <w:tcW w:w="1242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2124" w:type="dxa"/>
          </w:tcPr>
          <w:p w:rsidR="0009450B" w:rsidRPr="00DA3787" w:rsidRDefault="0009450B" w:rsidP="00726160">
            <w:r w:rsidRPr="00DA3787">
              <w:t>succeed</w:t>
            </w:r>
          </w:p>
        </w:tc>
        <w:tc>
          <w:tcPr>
            <w:tcW w:w="2070" w:type="dxa"/>
          </w:tcPr>
          <w:p w:rsidR="0009450B" w:rsidRPr="00DA3787" w:rsidRDefault="0009450B" w:rsidP="00726160">
            <w:r w:rsidRPr="00DA3787">
              <w:t>succeed</w:t>
            </w:r>
          </w:p>
        </w:tc>
        <w:tc>
          <w:tcPr>
            <w:tcW w:w="1476" w:type="dxa"/>
          </w:tcPr>
          <w:p w:rsidR="0009450B" w:rsidRPr="00DA3787" w:rsidRDefault="0009450B" w:rsidP="00726160">
            <w:r w:rsidRPr="00DA3787">
              <w:t>succeed</w:t>
            </w:r>
          </w:p>
        </w:tc>
      </w:tr>
      <w:tr w:rsidR="0009450B" w:rsidTr="00726160">
        <w:trPr>
          <w:trHeight w:val="305"/>
        </w:trPr>
        <w:tc>
          <w:tcPr>
            <w:tcW w:w="1008" w:type="dxa"/>
            <w:vMerge/>
            <w:tcBorders>
              <w:bottom w:val="nil"/>
            </w:tcBorders>
            <w:shd w:val="clear" w:color="auto" w:fill="auto"/>
          </w:tcPr>
          <w:p w:rsidR="0009450B" w:rsidRPr="00DA3787" w:rsidRDefault="0009450B" w:rsidP="00726160">
            <w:pPr>
              <w:rPr>
                <w:b/>
              </w:rPr>
            </w:pPr>
          </w:p>
        </w:tc>
        <w:tc>
          <w:tcPr>
            <w:tcW w:w="2304" w:type="dxa"/>
            <w:shd w:val="pct10" w:color="auto" w:fill="auto"/>
          </w:tcPr>
          <w:p w:rsidR="0009450B" w:rsidRPr="00D37E69" w:rsidRDefault="0009450B" w:rsidP="00726160">
            <w:pPr>
              <w:rPr>
                <w:i/>
              </w:rPr>
            </w:pPr>
            <w:r w:rsidRPr="00D37E69">
              <w:rPr>
                <w:i/>
                <w:sz w:val="22"/>
              </w:rPr>
              <w:t>read only</w:t>
            </w:r>
          </w:p>
        </w:tc>
        <w:tc>
          <w:tcPr>
            <w:tcW w:w="1242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2124" w:type="dxa"/>
          </w:tcPr>
          <w:p w:rsidR="0009450B" w:rsidRPr="00DA3787" w:rsidRDefault="0009450B" w:rsidP="00726160">
            <w:r w:rsidRPr="00DA3787">
              <w:t>fail</w:t>
            </w:r>
          </w:p>
        </w:tc>
        <w:tc>
          <w:tcPr>
            <w:tcW w:w="2070" w:type="dxa"/>
          </w:tcPr>
          <w:p w:rsidR="0009450B" w:rsidRPr="00DA3787" w:rsidRDefault="0009450B" w:rsidP="00726160">
            <w:r w:rsidRPr="00DA3787">
              <w:t>succeed</w:t>
            </w:r>
          </w:p>
        </w:tc>
        <w:tc>
          <w:tcPr>
            <w:tcW w:w="1476" w:type="dxa"/>
          </w:tcPr>
          <w:p w:rsidR="0009450B" w:rsidRPr="00DA3787" w:rsidRDefault="0009450B" w:rsidP="00726160">
            <w:r w:rsidRPr="00DA3787">
              <w:t>succeed</w:t>
            </w:r>
          </w:p>
        </w:tc>
      </w:tr>
    </w:tbl>
    <w:p w:rsidR="0009450B" w:rsidRDefault="0009450B" w:rsidP="0009450B"/>
    <w:p w:rsidR="0009450B" w:rsidRDefault="0009450B" w:rsidP="0009450B">
      <w:pPr>
        <w:pStyle w:val="Heading1"/>
      </w:pPr>
      <w:r>
        <w:t>A Tool</w:t>
      </w:r>
    </w:p>
    <w:p w:rsidR="0009450B" w:rsidRDefault="0009450B" w:rsidP="0009450B">
      <w:r>
        <w:t xml:space="preserve">As stated in the previous section, the library uses a flag in the file’s superblock to mark a file in writing and/or SWMR </w:t>
      </w:r>
      <w:r w:rsidR="00B46597">
        <w:t xml:space="preserve">writing </w:t>
      </w:r>
      <w:r>
        <w:t>mode</w:t>
      </w:r>
      <w:r w:rsidR="0008420F">
        <w:t xml:space="preserve">, </w:t>
      </w:r>
      <w:r>
        <w:t>and it will clear the flag when the file closes.  However, s</w:t>
      </w:r>
      <w:r w:rsidR="00904973">
        <w:t>i</w:t>
      </w:r>
      <w:r w:rsidR="00524C2B">
        <w:t>tuation may occur that an open</w:t>
      </w:r>
      <w:r w:rsidR="00904973">
        <w:t xml:space="preserve"> </w:t>
      </w:r>
      <w:proofErr w:type="spellStart"/>
      <w:r w:rsidR="00904973">
        <w:t>file</w:t>
      </w:r>
      <w:proofErr w:type="spellEnd"/>
      <w:r w:rsidR="00904973">
        <w:t xml:space="preserve"> </w:t>
      </w:r>
      <w:r>
        <w:t xml:space="preserve">exits without going through </w:t>
      </w:r>
      <w:r w:rsidR="005B32B9">
        <w:t>normal library closing procedure, and the flag is not cleared as a result</w:t>
      </w:r>
      <w:r>
        <w:t xml:space="preserve">.  This situation may prevent a user from opening the file.  The library therefore </w:t>
      </w:r>
      <w:r w:rsidR="005B32B9">
        <w:t>provides</w:t>
      </w:r>
      <w:r>
        <w:t xml:space="preserve"> a simple tool called </w:t>
      </w:r>
      <w:r w:rsidRPr="00E573BE">
        <w:rPr>
          <w:i/>
        </w:rPr>
        <w:t>h5clear</w:t>
      </w:r>
      <w:r>
        <w:t xml:space="preserve"> </w:t>
      </w:r>
      <w:r w:rsidR="005B32B9">
        <w:t>so</w:t>
      </w:r>
      <w:r>
        <w:t xml:space="preserve"> </w:t>
      </w:r>
      <w:r w:rsidR="005B32B9">
        <w:t xml:space="preserve">that </w:t>
      </w:r>
      <w:r>
        <w:t xml:space="preserve">a user </w:t>
      </w:r>
      <w:r w:rsidR="005B32B9">
        <w:t>can</w:t>
      </w:r>
      <w:r>
        <w:t xml:space="preserve"> clear </w:t>
      </w:r>
      <w:r w:rsidR="005B32B9">
        <w:t>this</w:t>
      </w:r>
      <w:r>
        <w:t xml:space="preserve"> flag.</w:t>
      </w:r>
    </w:p>
    <w:p w:rsidR="0009450B" w:rsidRDefault="0009450B" w:rsidP="0009450B">
      <w:r>
        <w:lastRenderedPageBreak/>
        <w:t xml:space="preserve">The tool will open the input file with a file access property list that is set with a private property called H5F_ACS_CLEAR_STATUS_FLAGS_NAME.  Upon encountering this property during file open, the library will clear </w:t>
      </w:r>
      <w:r w:rsidR="005B32B9">
        <w:t>this</w:t>
      </w:r>
      <w:r>
        <w:t xml:space="preserve"> flag in the file’s superblock.  The tool will then close the file.</w:t>
      </w:r>
    </w:p>
    <w:p w:rsidR="00611674" w:rsidRPr="000557A5" w:rsidRDefault="0009450B" w:rsidP="00611674">
      <w:pPr>
        <w:pStyle w:val="Heading"/>
      </w:pPr>
      <w:r>
        <w:t>Future Work</w:t>
      </w:r>
    </w:p>
    <w:p w:rsidR="00611674" w:rsidRDefault="0008420F" w:rsidP="00611674">
      <w:r>
        <w:t>System such as</w:t>
      </w:r>
      <w:r w:rsidR="005B32B9">
        <w:t xml:space="preserve"> </w:t>
      </w:r>
      <w:r w:rsidRPr="005B32B9">
        <w:rPr>
          <w:i/>
        </w:rPr>
        <w:t>SunOS Solaris</w:t>
      </w:r>
      <w:r>
        <w:t xml:space="preserve"> does not support the system call</w:t>
      </w:r>
      <w:r w:rsidR="0009450B">
        <w:t xml:space="preserve"> </w:t>
      </w:r>
      <w:r w:rsidR="0009450B" w:rsidRPr="0009450B">
        <w:rPr>
          <w:i/>
        </w:rPr>
        <w:t>flock</w:t>
      </w:r>
      <w:r w:rsidR="005B32B9">
        <w:t xml:space="preserve">.  </w:t>
      </w:r>
      <w:r w:rsidR="006C7C7F">
        <w:t>To provide file locking mechanism in the HDF5 library on such system, i</w:t>
      </w:r>
      <w:r w:rsidR="00C972BF">
        <w:t xml:space="preserve">nvestigation </w:t>
      </w:r>
      <w:r w:rsidR="006C7C7F">
        <w:t>will be</w:t>
      </w:r>
      <w:r w:rsidR="00C972BF">
        <w:t xml:space="preserve"> needed to </w:t>
      </w:r>
      <w:r>
        <w:t xml:space="preserve">find out how to </w:t>
      </w:r>
      <w:r w:rsidR="00C972BF">
        <w:t xml:space="preserve">implement </w:t>
      </w:r>
      <w:r w:rsidR="005B32B9">
        <w:t>the function</w:t>
      </w:r>
      <w:r w:rsidR="00C972BF">
        <w:t xml:space="preserve"> of </w:t>
      </w:r>
      <w:r w:rsidR="00C972BF" w:rsidRPr="005B32B9">
        <w:rPr>
          <w:i/>
        </w:rPr>
        <w:t>flock</w:t>
      </w:r>
      <w:r w:rsidR="006C7C7F">
        <w:t>.</w:t>
      </w:r>
    </w:p>
    <w:p w:rsidR="0009450B" w:rsidRPr="000557A5" w:rsidRDefault="0009450B" w:rsidP="0009450B">
      <w:pPr>
        <w:pStyle w:val="Heading"/>
      </w:pPr>
      <w:r>
        <w:t>Acknowledgements</w:t>
      </w:r>
    </w:p>
    <w:p w:rsidR="0009450B" w:rsidRDefault="0009450B" w:rsidP="00611674">
      <w:r>
        <w:t xml:space="preserve">This work </w:t>
      </w:r>
      <w:r w:rsidR="0068417A">
        <w:t>is</w:t>
      </w:r>
      <w:r>
        <w:t xml:space="preserve"> supported by a customer of The HDF Group, </w:t>
      </w:r>
      <w:proofErr w:type="spellStart"/>
      <w:r>
        <w:t>Dectris</w:t>
      </w:r>
      <w:proofErr w:type="spellEnd"/>
      <w:r>
        <w:t>.</w:t>
      </w:r>
    </w:p>
    <w:p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09450B" w:rsidP="00B66210">
            <w:pPr>
              <w:jc w:val="left"/>
              <w:rPr>
                <w:i/>
              </w:rPr>
            </w:pPr>
            <w:r>
              <w:rPr>
                <w:i/>
              </w:rPr>
              <w:t>January</w:t>
            </w:r>
            <w:r w:rsidR="00201E71" w:rsidRPr="009D6CFF">
              <w:rPr>
                <w:i/>
              </w:rPr>
              <w:t xml:space="preserve"> </w:t>
            </w:r>
            <w:r>
              <w:rPr>
                <w:i/>
              </w:rPr>
              <w:t>10</w:t>
            </w:r>
            <w:r w:rsidR="00611674" w:rsidRPr="009D6CFF">
              <w:rPr>
                <w:i/>
              </w:rPr>
              <w:t xml:space="preserve">, </w:t>
            </w:r>
            <w:r w:rsidR="00201E71" w:rsidRPr="009D6CFF">
              <w:rPr>
                <w:i/>
              </w:rPr>
              <w:t>20</w:t>
            </w:r>
            <w:r>
              <w:rPr>
                <w:i/>
              </w:rPr>
              <w:t>14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</w:pPr>
            <w:r w:rsidRPr="009D6CFF">
              <w:t>Version 1 circulated for comment within The HDF Group</w:t>
            </w:r>
            <w:r w:rsidR="00201E71">
              <w:t xml:space="preserve"> SWMR team</w:t>
            </w:r>
            <w:r w:rsidRPr="009D6CFF">
              <w:t xml:space="preserve">. 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C4342E" w:rsidRPr="009D6CFF" w:rsidRDefault="00C4342E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675CFC" w:rsidRDefault="00611674" w:rsidP="000721F7">
            <w:pPr>
              <w:jc w:val="left"/>
              <w:rPr>
                <w:rStyle w:val="Emphasis"/>
                <w:i w:val="0"/>
              </w:rPr>
            </w:pPr>
          </w:p>
        </w:tc>
      </w:tr>
      <w:tr w:rsidR="00DE72E1" w:rsidRPr="009D6CFF">
        <w:trPr>
          <w:jc w:val="center"/>
        </w:trPr>
        <w:tc>
          <w:tcPr>
            <w:tcW w:w="2337" w:type="dxa"/>
          </w:tcPr>
          <w:p w:rsidR="00DE72E1" w:rsidRDefault="00DE72E1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DE72E1" w:rsidRDefault="00DE72E1" w:rsidP="000721F7">
            <w:pPr>
              <w:jc w:val="left"/>
            </w:pPr>
          </w:p>
        </w:tc>
      </w:tr>
    </w:tbl>
    <w:p w:rsidR="00611674" w:rsidRDefault="00611674" w:rsidP="003969BE">
      <w:pPr>
        <w:pStyle w:val="Heading"/>
      </w:pPr>
    </w:p>
    <w:sectPr w:rsidR="00611674" w:rsidSect="00611674">
      <w:headerReference w:type="default" r:id="rId9"/>
      <w:footerReference w:type="default" r:id="rId10"/>
      <w:head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5E9" w:rsidRDefault="005045E9" w:rsidP="00611674">
      <w:r>
        <w:separator/>
      </w:r>
    </w:p>
  </w:endnote>
  <w:endnote w:type="continuationSeparator" w:id="0">
    <w:p w:rsidR="005045E9" w:rsidRDefault="005045E9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C81293" w:rsidRDefault="00C81293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877A2CE" wp14:editId="40AD6AB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192921">
              <w:fldChar w:fldCharType="begin"/>
            </w:r>
            <w:r>
              <w:instrText xml:space="preserve"> PAGE </w:instrText>
            </w:r>
            <w:r w:rsidR="00192921">
              <w:fldChar w:fldCharType="separate"/>
            </w:r>
            <w:r w:rsidR="00BE6497">
              <w:rPr>
                <w:noProof/>
              </w:rPr>
              <w:t>2</w:t>
            </w:r>
            <w:r w:rsidR="00192921">
              <w:rPr>
                <w:noProof/>
              </w:rPr>
              <w:fldChar w:fldCharType="end"/>
            </w:r>
            <w:r>
              <w:t xml:space="preserve"> of </w:t>
            </w:r>
            <w:r w:rsidR="005045E9">
              <w:fldChar w:fldCharType="begin"/>
            </w:r>
            <w:r w:rsidR="005045E9">
              <w:instrText xml:space="preserve"> NUMPAGES  </w:instrText>
            </w:r>
            <w:r w:rsidR="005045E9">
              <w:fldChar w:fldCharType="separate"/>
            </w:r>
            <w:r w:rsidR="00BE6497">
              <w:rPr>
                <w:noProof/>
              </w:rPr>
              <w:t>3</w:t>
            </w:r>
            <w:r w:rsidR="005045E9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5E9" w:rsidRDefault="005045E9" w:rsidP="00611674">
      <w:r>
        <w:separator/>
      </w:r>
    </w:p>
  </w:footnote>
  <w:footnote w:type="continuationSeparator" w:id="0">
    <w:p w:rsidR="005045E9" w:rsidRDefault="005045E9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293" w:rsidRDefault="008E5368" w:rsidP="00611674">
    <w:pPr>
      <w:pStyle w:val="THGHeader2"/>
    </w:pPr>
    <w:r>
      <w:t xml:space="preserve">January </w:t>
    </w:r>
    <w:r w:rsidR="0009450B">
      <w:t>10</w:t>
    </w:r>
    <w:r>
      <w:t>, 2014</w:t>
    </w:r>
    <w:r w:rsidR="00C81293">
      <w:ptab w:relativeTo="margin" w:alignment="center" w:leader="none"/>
    </w:r>
    <w:r w:rsidR="00C81293">
      <w:ptab w:relativeTo="margin" w:alignment="right" w:leader="none"/>
    </w:r>
    <w:r>
      <w:t xml:space="preserve">RFC THG </w:t>
    </w:r>
    <w:r w:rsidR="0009450B">
      <w:t>2014-1-10.v1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293" w:rsidRPr="006D4EA4" w:rsidRDefault="0009450B" w:rsidP="00611674">
    <w:pPr>
      <w:pStyle w:val="THGHeader"/>
    </w:pPr>
    <w:r>
      <w:t>January 10</w:t>
    </w:r>
    <w:r w:rsidR="008E5368">
      <w:t>, 2014</w:t>
    </w:r>
    <w:r w:rsidR="00C81293">
      <w:ptab w:relativeTo="margin" w:alignment="center" w:leader="none"/>
    </w:r>
    <w:r w:rsidR="00C81293">
      <w:ptab w:relativeTo="margin" w:alignment="right" w:leader="none"/>
    </w:r>
    <w:r w:rsidR="00C81293">
      <w:t>RFC THG 201</w:t>
    </w:r>
    <w:r>
      <w:t>4-10</w:t>
    </w:r>
    <w:r w:rsidR="00C81293">
      <w:t>-1</w:t>
    </w:r>
    <w:r>
      <w:t>0</w:t>
    </w:r>
    <w:r w:rsidR="00C81293">
      <w:t>.v</w:t>
    </w:r>
    <w: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4">
    <w:nsid w:val="0650630E"/>
    <w:multiLevelType w:val="hybridMultilevel"/>
    <w:tmpl w:val="AB4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84D2916"/>
    <w:multiLevelType w:val="hybridMultilevel"/>
    <w:tmpl w:val="EC04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17ABE"/>
    <w:multiLevelType w:val="hybridMultilevel"/>
    <w:tmpl w:val="4214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9C536A"/>
    <w:multiLevelType w:val="hybridMultilevel"/>
    <w:tmpl w:val="B8F4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33DAB"/>
    <w:multiLevelType w:val="hybridMultilevel"/>
    <w:tmpl w:val="00F0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C74864"/>
    <w:multiLevelType w:val="hybridMultilevel"/>
    <w:tmpl w:val="BB52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776AD"/>
    <w:multiLevelType w:val="hybridMultilevel"/>
    <w:tmpl w:val="3BCA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E30F7"/>
    <w:multiLevelType w:val="hybridMultilevel"/>
    <w:tmpl w:val="950EB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A93034"/>
    <w:multiLevelType w:val="hybridMultilevel"/>
    <w:tmpl w:val="FDFE9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6C7C3C"/>
    <w:multiLevelType w:val="hybridMultilevel"/>
    <w:tmpl w:val="95E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7490A"/>
    <w:multiLevelType w:val="hybridMultilevel"/>
    <w:tmpl w:val="1B9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CF568B"/>
    <w:multiLevelType w:val="hybridMultilevel"/>
    <w:tmpl w:val="D2A0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A72F4"/>
    <w:multiLevelType w:val="hybridMultilevel"/>
    <w:tmpl w:val="A770FC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FC6E21"/>
    <w:multiLevelType w:val="hybridMultilevel"/>
    <w:tmpl w:val="767276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80652"/>
    <w:multiLevelType w:val="hybridMultilevel"/>
    <w:tmpl w:val="5EC05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0C6086"/>
    <w:multiLevelType w:val="hybridMultilevel"/>
    <w:tmpl w:val="982C4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A5CE0"/>
    <w:multiLevelType w:val="hybridMultilevel"/>
    <w:tmpl w:val="87C4F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2E3042"/>
    <w:multiLevelType w:val="hybridMultilevel"/>
    <w:tmpl w:val="3C4C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4D0543"/>
    <w:multiLevelType w:val="hybridMultilevel"/>
    <w:tmpl w:val="1E3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E087D"/>
    <w:multiLevelType w:val="hybridMultilevel"/>
    <w:tmpl w:val="84D44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5616DC3"/>
    <w:multiLevelType w:val="hybridMultilevel"/>
    <w:tmpl w:val="5D7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75109"/>
    <w:multiLevelType w:val="hybridMultilevel"/>
    <w:tmpl w:val="07B4D8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96EB7"/>
    <w:multiLevelType w:val="hybridMultilevel"/>
    <w:tmpl w:val="CB26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1"/>
  </w:num>
  <w:num w:numId="10">
    <w:abstractNumId w:val="13"/>
  </w:num>
  <w:num w:numId="11">
    <w:abstractNumId w:val="8"/>
  </w:num>
  <w:num w:numId="12">
    <w:abstractNumId w:val="6"/>
  </w:num>
  <w:num w:numId="13">
    <w:abstractNumId w:val="25"/>
  </w:num>
  <w:num w:numId="14">
    <w:abstractNumId w:val="12"/>
  </w:num>
  <w:num w:numId="15">
    <w:abstractNumId w:val="4"/>
  </w:num>
  <w:num w:numId="16">
    <w:abstractNumId w:val="26"/>
  </w:num>
  <w:num w:numId="17">
    <w:abstractNumId w:val="23"/>
  </w:num>
  <w:num w:numId="18">
    <w:abstractNumId w:val="22"/>
  </w:num>
  <w:num w:numId="19">
    <w:abstractNumId w:val="21"/>
  </w:num>
  <w:num w:numId="20">
    <w:abstractNumId w:val="9"/>
  </w:num>
  <w:num w:numId="21">
    <w:abstractNumId w:val="20"/>
  </w:num>
  <w:num w:numId="22">
    <w:abstractNumId w:val="14"/>
  </w:num>
  <w:num w:numId="23">
    <w:abstractNumId w:val="7"/>
  </w:num>
  <w:num w:numId="24">
    <w:abstractNumId w:val="15"/>
  </w:num>
  <w:num w:numId="25">
    <w:abstractNumId w:val="17"/>
  </w:num>
  <w:num w:numId="26">
    <w:abstractNumId w:val="27"/>
  </w:num>
  <w:num w:numId="27">
    <w:abstractNumId w:val="29"/>
  </w:num>
  <w:num w:numId="28">
    <w:abstractNumId w:val="18"/>
  </w:num>
  <w:num w:numId="29">
    <w:abstractNumId w:val="16"/>
  </w:num>
  <w:num w:numId="30">
    <w:abstractNumId w:val="19"/>
  </w:num>
  <w:num w:numId="31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22D"/>
    <w:rsid w:val="00000CC8"/>
    <w:rsid w:val="00000F45"/>
    <w:rsid w:val="00011E74"/>
    <w:rsid w:val="00012248"/>
    <w:rsid w:val="000142C6"/>
    <w:rsid w:val="00026773"/>
    <w:rsid w:val="00040B9D"/>
    <w:rsid w:val="00047235"/>
    <w:rsid w:val="000477AB"/>
    <w:rsid w:val="00050BD2"/>
    <w:rsid w:val="00051823"/>
    <w:rsid w:val="0006318E"/>
    <w:rsid w:val="000648A1"/>
    <w:rsid w:val="0006613E"/>
    <w:rsid w:val="0006743E"/>
    <w:rsid w:val="0007127A"/>
    <w:rsid w:val="00071A98"/>
    <w:rsid w:val="000721F7"/>
    <w:rsid w:val="0007246D"/>
    <w:rsid w:val="0008420F"/>
    <w:rsid w:val="000846B3"/>
    <w:rsid w:val="0009198E"/>
    <w:rsid w:val="000926A8"/>
    <w:rsid w:val="00092D22"/>
    <w:rsid w:val="0009450B"/>
    <w:rsid w:val="00097BFC"/>
    <w:rsid w:val="000A3B5D"/>
    <w:rsid w:val="000A4F47"/>
    <w:rsid w:val="000B1AF0"/>
    <w:rsid w:val="000B710D"/>
    <w:rsid w:val="000C2F1C"/>
    <w:rsid w:val="000C57ED"/>
    <w:rsid w:val="000C68A2"/>
    <w:rsid w:val="000C74B5"/>
    <w:rsid w:val="000D04E5"/>
    <w:rsid w:val="000D1138"/>
    <w:rsid w:val="000D6CB8"/>
    <w:rsid w:val="000E18F1"/>
    <w:rsid w:val="000E4E16"/>
    <w:rsid w:val="000F0CF0"/>
    <w:rsid w:val="000F2D8F"/>
    <w:rsid w:val="000F76B7"/>
    <w:rsid w:val="000F774F"/>
    <w:rsid w:val="001024F9"/>
    <w:rsid w:val="0010628B"/>
    <w:rsid w:val="00111C89"/>
    <w:rsid w:val="00114919"/>
    <w:rsid w:val="001166B4"/>
    <w:rsid w:val="001218F8"/>
    <w:rsid w:val="0012317D"/>
    <w:rsid w:val="001258A1"/>
    <w:rsid w:val="001304C7"/>
    <w:rsid w:val="001313D7"/>
    <w:rsid w:val="001326E0"/>
    <w:rsid w:val="00135495"/>
    <w:rsid w:val="00141C80"/>
    <w:rsid w:val="00147007"/>
    <w:rsid w:val="001501F5"/>
    <w:rsid w:val="001534E3"/>
    <w:rsid w:val="00154FB2"/>
    <w:rsid w:val="001653C9"/>
    <w:rsid w:val="0017507C"/>
    <w:rsid w:val="00190A94"/>
    <w:rsid w:val="00192921"/>
    <w:rsid w:val="001938D5"/>
    <w:rsid w:val="00194CB8"/>
    <w:rsid w:val="00195973"/>
    <w:rsid w:val="001A6840"/>
    <w:rsid w:val="001B42FC"/>
    <w:rsid w:val="001C48E9"/>
    <w:rsid w:val="001E12F3"/>
    <w:rsid w:val="001E7249"/>
    <w:rsid w:val="001F0DA1"/>
    <w:rsid w:val="001F447F"/>
    <w:rsid w:val="002018C2"/>
    <w:rsid w:val="00201E71"/>
    <w:rsid w:val="00202F66"/>
    <w:rsid w:val="00213293"/>
    <w:rsid w:val="00214A2A"/>
    <w:rsid w:val="00214B36"/>
    <w:rsid w:val="00217954"/>
    <w:rsid w:val="00224167"/>
    <w:rsid w:val="00230CE0"/>
    <w:rsid w:val="00231FF2"/>
    <w:rsid w:val="00232832"/>
    <w:rsid w:val="002353BC"/>
    <w:rsid w:val="00244905"/>
    <w:rsid w:val="00245C3A"/>
    <w:rsid w:val="002571BB"/>
    <w:rsid w:val="00262007"/>
    <w:rsid w:val="00280F25"/>
    <w:rsid w:val="002829E8"/>
    <w:rsid w:val="00284BF5"/>
    <w:rsid w:val="00285560"/>
    <w:rsid w:val="00286ADB"/>
    <w:rsid w:val="00286C72"/>
    <w:rsid w:val="0028779C"/>
    <w:rsid w:val="00294572"/>
    <w:rsid w:val="00297F0E"/>
    <w:rsid w:val="002B2B33"/>
    <w:rsid w:val="002C11F4"/>
    <w:rsid w:val="002C5666"/>
    <w:rsid w:val="002C75E8"/>
    <w:rsid w:val="002D2886"/>
    <w:rsid w:val="002E1785"/>
    <w:rsid w:val="002F286A"/>
    <w:rsid w:val="002F375E"/>
    <w:rsid w:val="002F63D4"/>
    <w:rsid w:val="003067D5"/>
    <w:rsid w:val="00307348"/>
    <w:rsid w:val="003139CD"/>
    <w:rsid w:val="003223A2"/>
    <w:rsid w:val="003224EC"/>
    <w:rsid w:val="0033023A"/>
    <w:rsid w:val="00344AFD"/>
    <w:rsid w:val="00346A46"/>
    <w:rsid w:val="00352FFE"/>
    <w:rsid w:val="00371F84"/>
    <w:rsid w:val="00372A78"/>
    <w:rsid w:val="00376B5B"/>
    <w:rsid w:val="00382B6A"/>
    <w:rsid w:val="00382CF6"/>
    <w:rsid w:val="00386B2E"/>
    <w:rsid w:val="00395F2E"/>
    <w:rsid w:val="003969BE"/>
    <w:rsid w:val="003B49E7"/>
    <w:rsid w:val="003C1CCC"/>
    <w:rsid w:val="003D101A"/>
    <w:rsid w:val="003D3ED0"/>
    <w:rsid w:val="003D4578"/>
    <w:rsid w:val="003E198F"/>
    <w:rsid w:val="003E29E3"/>
    <w:rsid w:val="00404CB4"/>
    <w:rsid w:val="00415A34"/>
    <w:rsid w:val="004227B0"/>
    <w:rsid w:val="00422C6E"/>
    <w:rsid w:val="00423BB6"/>
    <w:rsid w:val="004248A4"/>
    <w:rsid w:val="00427B41"/>
    <w:rsid w:val="00431713"/>
    <w:rsid w:val="00433FD4"/>
    <w:rsid w:val="004378D8"/>
    <w:rsid w:val="0044034E"/>
    <w:rsid w:val="00447ABC"/>
    <w:rsid w:val="004504DA"/>
    <w:rsid w:val="004532F7"/>
    <w:rsid w:val="0046452F"/>
    <w:rsid w:val="00471898"/>
    <w:rsid w:val="004735D0"/>
    <w:rsid w:val="00475646"/>
    <w:rsid w:val="004A5C4D"/>
    <w:rsid w:val="004B777C"/>
    <w:rsid w:val="004D06A2"/>
    <w:rsid w:val="004D444E"/>
    <w:rsid w:val="004D5006"/>
    <w:rsid w:val="00502A03"/>
    <w:rsid w:val="0050422D"/>
    <w:rsid w:val="005045E9"/>
    <w:rsid w:val="0050747F"/>
    <w:rsid w:val="0051070E"/>
    <w:rsid w:val="005127BC"/>
    <w:rsid w:val="00516D6E"/>
    <w:rsid w:val="00524C2B"/>
    <w:rsid w:val="00526308"/>
    <w:rsid w:val="005314CF"/>
    <w:rsid w:val="0054103D"/>
    <w:rsid w:val="00541A44"/>
    <w:rsid w:val="00550997"/>
    <w:rsid w:val="00553CDB"/>
    <w:rsid w:val="0055626B"/>
    <w:rsid w:val="00557731"/>
    <w:rsid w:val="00573BFA"/>
    <w:rsid w:val="00575F8C"/>
    <w:rsid w:val="005811C4"/>
    <w:rsid w:val="0058135A"/>
    <w:rsid w:val="00581D6B"/>
    <w:rsid w:val="005849E0"/>
    <w:rsid w:val="00592F2C"/>
    <w:rsid w:val="00593712"/>
    <w:rsid w:val="005974C5"/>
    <w:rsid w:val="005A00DA"/>
    <w:rsid w:val="005A30DB"/>
    <w:rsid w:val="005A4B9D"/>
    <w:rsid w:val="005B1B69"/>
    <w:rsid w:val="005B1B75"/>
    <w:rsid w:val="005B32B9"/>
    <w:rsid w:val="005B6EA1"/>
    <w:rsid w:val="005C53C1"/>
    <w:rsid w:val="005D1608"/>
    <w:rsid w:val="005D79A7"/>
    <w:rsid w:val="005E78F5"/>
    <w:rsid w:val="005F08D4"/>
    <w:rsid w:val="005F0DE0"/>
    <w:rsid w:val="005F21AB"/>
    <w:rsid w:val="00611565"/>
    <w:rsid w:val="00611674"/>
    <w:rsid w:val="00613584"/>
    <w:rsid w:val="00615FDC"/>
    <w:rsid w:val="00622481"/>
    <w:rsid w:val="006228C4"/>
    <w:rsid w:val="006370A2"/>
    <w:rsid w:val="00645152"/>
    <w:rsid w:val="006572D1"/>
    <w:rsid w:val="006656DC"/>
    <w:rsid w:val="0066610A"/>
    <w:rsid w:val="0067296F"/>
    <w:rsid w:val="00675CFC"/>
    <w:rsid w:val="0068417A"/>
    <w:rsid w:val="00684A8D"/>
    <w:rsid w:val="00694190"/>
    <w:rsid w:val="006B2594"/>
    <w:rsid w:val="006C2D37"/>
    <w:rsid w:val="006C737C"/>
    <w:rsid w:val="006C767C"/>
    <w:rsid w:val="006C7C7F"/>
    <w:rsid w:val="006D0986"/>
    <w:rsid w:val="006D6D35"/>
    <w:rsid w:val="006D73BE"/>
    <w:rsid w:val="006E0AB5"/>
    <w:rsid w:val="006E4C3C"/>
    <w:rsid w:val="006E6B08"/>
    <w:rsid w:val="006E7E71"/>
    <w:rsid w:val="00702020"/>
    <w:rsid w:val="00704F2E"/>
    <w:rsid w:val="00707C8E"/>
    <w:rsid w:val="00713ED0"/>
    <w:rsid w:val="00716888"/>
    <w:rsid w:val="007278A1"/>
    <w:rsid w:val="00730093"/>
    <w:rsid w:val="00730928"/>
    <w:rsid w:val="00734EEE"/>
    <w:rsid w:val="0074062D"/>
    <w:rsid w:val="0074194F"/>
    <w:rsid w:val="007439CE"/>
    <w:rsid w:val="00746969"/>
    <w:rsid w:val="007658E3"/>
    <w:rsid w:val="00766DA2"/>
    <w:rsid w:val="00771E9C"/>
    <w:rsid w:val="007761FA"/>
    <w:rsid w:val="00776726"/>
    <w:rsid w:val="00785CC4"/>
    <w:rsid w:val="00785E46"/>
    <w:rsid w:val="007902ED"/>
    <w:rsid w:val="00793EF8"/>
    <w:rsid w:val="007961A4"/>
    <w:rsid w:val="007A46A3"/>
    <w:rsid w:val="007A5074"/>
    <w:rsid w:val="007A72A6"/>
    <w:rsid w:val="007B669A"/>
    <w:rsid w:val="007B6BD0"/>
    <w:rsid w:val="007C15C3"/>
    <w:rsid w:val="007C1AE8"/>
    <w:rsid w:val="007C244C"/>
    <w:rsid w:val="007C508D"/>
    <w:rsid w:val="007C56EA"/>
    <w:rsid w:val="007C6175"/>
    <w:rsid w:val="007D045E"/>
    <w:rsid w:val="007D52CA"/>
    <w:rsid w:val="007E2D8E"/>
    <w:rsid w:val="007E790C"/>
    <w:rsid w:val="007F07EE"/>
    <w:rsid w:val="007F3A92"/>
    <w:rsid w:val="00805896"/>
    <w:rsid w:val="008074C4"/>
    <w:rsid w:val="00810804"/>
    <w:rsid w:val="00813E11"/>
    <w:rsid w:val="00814CDC"/>
    <w:rsid w:val="00817485"/>
    <w:rsid w:val="00827877"/>
    <w:rsid w:val="00841E0F"/>
    <w:rsid w:val="008435A3"/>
    <w:rsid w:val="008525B6"/>
    <w:rsid w:val="0087657A"/>
    <w:rsid w:val="00883B15"/>
    <w:rsid w:val="00891288"/>
    <w:rsid w:val="00897324"/>
    <w:rsid w:val="008A1F9D"/>
    <w:rsid w:val="008A31CB"/>
    <w:rsid w:val="008A34E6"/>
    <w:rsid w:val="008A699D"/>
    <w:rsid w:val="008A744A"/>
    <w:rsid w:val="008A7470"/>
    <w:rsid w:val="008C5C20"/>
    <w:rsid w:val="008D2D95"/>
    <w:rsid w:val="008D3098"/>
    <w:rsid w:val="008D7DC4"/>
    <w:rsid w:val="008E49B9"/>
    <w:rsid w:val="008E5368"/>
    <w:rsid w:val="008F1450"/>
    <w:rsid w:val="00900B83"/>
    <w:rsid w:val="00904973"/>
    <w:rsid w:val="00905259"/>
    <w:rsid w:val="009071D3"/>
    <w:rsid w:val="009107C5"/>
    <w:rsid w:val="00914A34"/>
    <w:rsid w:val="00926F82"/>
    <w:rsid w:val="009331D9"/>
    <w:rsid w:val="00941570"/>
    <w:rsid w:val="00941C4F"/>
    <w:rsid w:val="0094668D"/>
    <w:rsid w:val="00964773"/>
    <w:rsid w:val="0096617B"/>
    <w:rsid w:val="0097228D"/>
    <w:rsid w:val="00976000"/>
    <w:rsid w:val="0098230A"/>
    <w:rsid w:val="0098249B"/>
    <w:rsid w:val="0098267E"/>
    <w:rsid w:val="00984918"/>
    <w:rsid w:val="0098598E"/>
    <w:rsid w:val="0098668D"/>
    <w:rsid w:val="0099186B"/>
    <w:rsid w:val="009A14C6"/>
    <w:rsid w:val="009A3B55"/>
    <w:rsid w:val="009B276A"/>
    <w:rsid w:val="009B591A"/>
    <w:rsid w:val="009B5EF4"/>
    <w:rsid w:val="009C504D"/>
    <w:rsid w:val="009D3D69"/>
    <w:rsid w:val="009D4C12"/>
    <w:rsid w:val="009F2FA0"/>
    <w:rsid w:val="009F3444"/>
    <w:rsid w:val="009F6443"/>
    <w:rsid w:val="009F7E1E"/>
    <w:rsid w:val="00A00B3A"/>
    <w:rsid w:val="00A00BCE"/>
    <w:rsid w:val="00A0433D"/>
    <w:rsid w:val="00A07D29"/>
    <w:rsid w:val="00A1008E"/>
    <w:rsid w:val="00A10C76"/>
    <w:rsid w:val="00A11646"/>
    <w:rsid w:val="00A43B86"/>
    <w:rsid w:val="00A55FA6"/>
    <w:rsid w:val="00A62DFE"/>
    <w:rsid w:val="00A87569"/>
    <w:rsid w:val="00A90100"/>
    <w:rsid w:val="00A90D7B"/>
    <w:rsid w:val="00A97F48"/>
    <w:rsid w:val="00AA0A1D"/>
    <w:rsid w:val="00AA362C"/>
    <w:rsid w:val="00AA5B2F"/>
    <w:rsid w:val="00AA6671"/>
    <w:rsid w:val="00AB0BE4"/>
    <w:rsid w:val="00AB47D6"/>
    <w:rsid w:val="00AB57B0"/>
    <w:rsid w:val="00AC29DF"/>
    <w:rsid w:val="00AD2256"/>
    <w:rsid w:val="00AD750E"/>
    <w:rsid w:val="00AE1EA6"/>
    <w:rsid w:val="00AF0A2C"/>
    <w:rsid w:val="00AF440B"/>
    <w:rsid w:val="00AF59F7"/>
    <w:rsid w:val="00B002E2"/>
    <w:rsid w:val="00B1082E"/>
    <w:rsid w:val="00B1361E"/>
    <w:rsid w:val="00B13A0E"/>
    <w:rsid w:val="00B15088"/>
    <w:rsid w:val="00B1546B"/>
    <w:rsid w:val="00B2065C"/>
    <w:rsid w:val="00B27E7E"/>
    <w:rsid w:val="00B31D54"/>
    <w:rsid w:val="00B32255"/>
    <w:rsid w:val="00B35CDF"/>
    <w:rsid w:val="00B4285F"/>
    <w:rsid w:val="00B46597"/>
    <w:rsid w:val="00B4723A"/>
    <w:rsid w:val="00B62BFF"/>
    <w:rsid w:val="00B66210"/>
    <w:rsid w:val="00B66291"/>
    <w:rsid w:val="00B67681"/>
    <w:rsid w:val="00B75138"/>
    <w:rsid w:val="00B80775"/>
    <w:rsid w:val="00B817CD"/>
    <w:rsid w:val="00B832ED"/>
    <w:rsid w:val="00B86A85"/>
    <w:rsid w:val="00B873D9"/>
    <w:rsid w:val="00BA49B5"/>
    <w:rsid w:val="00BB1E89"/>
    <w:rsid w:val="00BB2476"/>
    <w:rsid w:val="00BB281F"/>
    <w:rsid w:val="00BB6A62"/>
    <w:rsid w:val="00BD7457"/>
    <w:rsid w:val="00BE1832"/>
    <w:rsid w:val="00BE29B5"/>
    <w:rsid w:val="00BE3C08"/>
    <w:rsid w:val="00BE44BC"/>
    <w:rsid w:val="00BE6497"/>
    <w:rsid w:val="00BE7922"/>
    <w:rsid w:val="00BF0887"/>
    <w:rsid w:val="00BF4208"/>
    <w:rsid w:val="00BF52FC"/>
    <w:rsid w:val="00BF63FC"/>
    <w:rsid w:val="00C118DE"/>
    <w:rsid w:val="00C160C8"/>
    <w:rsid w:val="00C21FE7"/>
    <w:rsid w:val="00C273A3"/>
    <w:rsid w:val="00C363A6"/>
    <w:rsid w:val="00C4342E"/>
    <w:rsid w:val="00C5188E"/>
    <w:rsid w:val="00C6437D"/>
    <w:rsid w:val="00C66823"/>
    <w:rsid w:val="00C76D2A"/>
    <w:rsid w:val="00C778A6"/>
    <w:rsid w:val="00C806E2"/>
    <w:rsid w:val="00C81293"/>
    <w:rsid w:val="00C82281"/>
    <w:rsid w:val="00C82D75"/>
    <w:rsid w:val="00C8329E"/>
    <w:rsid w:val="00C863B9"/>
    <w:rsid w:val="00C95B15"/>
    <w:rsid w:val="00C972BF"/>
    <w:rsid w:val="00CA15E9"/>
    <w:rsid w:val="00CA3D3C"/>
    <w:rsid w:val="00CA4CBC"/>
    <w:rsid w:val="00CB00F7"/>
    <w:rsid w:val="00CB074F"/>
    <w:rsid w:val="00CC01D1"/>
    <w:rsid w:val="00CC7D27"/>
    <w:rsid w:val="00CD7F19"/>
    <w:rsid w:val="00CE0730"/>
    <w:rsid w:val="00CE364E"/>
    <w:rsid w:val="00CE3AD8"/>
    <w:rsid w:val="00CF2321"/>
    <w:rsid w:val="00CF274C"/>
    <w:rsid w:val="00CF3CA7"/>
    <w:rsid w:val="00D01281"/>
    <w:rsid w:val="00D0460D"/>
    <w:rsid w:val="00D11E34"/>
    <w:rsid w:val="00D16ADC"/>
    <w:rsid w:val="00D202E3"/>
    <w:rsid w:val="00D24807"/>
    <w:rsid w:val="00D4243D"/>
    <w:rsid w:val="00D4297E"/>
    <w:rsid w:val="00D51A5E"/>
    <w:rsid w:val="00D52D70"/>
    <w:rsid w:val="00D5619F"/>
    <w:rsid w:val="00D56662"/>
    <w:rsid w:val="00D576CE"/>
    <w:rsid w:val="00D70F83"/>
    <w:rsid w:val="00D73838"/>
    <w:rsid w:val="00D74A79"/>
    <w:rsid w:val="00D80E4F"/>
    <w:rsid w:val="00D90D40"/>
    <w:rsid w:val="00D92EB7"/>
    <w:rsid w:val="00D938B1"/>
    <w:rsid w:val="00D96BDD"/>
    <w:rsid w:val="00DA3F6B"/>
    <w:rsid w:val="00DB089A"/>
    <w:rsid w:val="00DC4507"/>
    <w:rsid w:val="00DC46C9"/>
    <w:rsid w:val="00DD0626"/>
    <w:rsid w:val="00DD36E3"/>
    <w:rsid w:val="00DD5117"/>
    <w:rsid w:val="00DE12DE"/>
    <w:rsid w:val="00DE2393"/>
    <w:rsid w:val="00DE3821"/>
    <w:rsid w:val="00DE38EB"/>
    <w:rsid w:val="00DE72E1"/>
    <w:rsid w:val="00DF5B6A"/>
    <w:rsid w:val="00DF76E5"/>
    <w:rsid w:val="00E078C1"/>
    <w:rsid w:val="00E1134E"/>
    <w:rsid w:val="00E114E5"/>
    <w:rsid w:val="00E152BC"/>
    <w:rsid w:val="00E17AB6"/>
    <w:rsid w:val="00E2070B"/>
    <w:rsid w:val="00E21282"/>
    <w:rsid w:val="00E23946"/>
    <w:rsid w:val="00E2562D"/>
    <w:rsid w:val="00E25D9F"/>
    <w:rsid w:val="00E36B3A"/>
    <w:rsid w:val="00E47B8A"/>
    <w:rsid w:val="00E501DF"/>
    <w:rsid w:val="00E51674"/>
    <w:rsid w:val="00E56A07"/>
    <w:rsid w:val="00E83CD1"/>
    <w:rsid w:val="00E86217"/>
    <w:rsid w:val="00E9136A"/>
    <w:rsid w:val="00E92566"/>
    <w:rsid w:val="00E9468B"/>
    <w:rsid w:val="00E959D4"/>
    <w:rsid w:val="00E9652D"/>
    <w:rsid w:val="00E9794D"/>
    <w:rsid w:val="00EA1A2F"/>
    <w:rsid w:val="00EA2699"/>
    <w:rsid w:val="00EA2D96"/>
    <w:rsid w:val="00EB50D0"/>
    <w:rsid w:val="00EB6C65"/>
    <w:rsid w:val="00EB7929"/>
    <w:rsid w:val="00EC114F"/>
    <w:rsid w:val="00EC340C"/>
    <w:rsid w:val="00EE0F05"/>
    <w:rsid w:val="00EE2FCB"/>
    <w:rsid w:val="00EE3783"/>
    <w:rsid w:val="00EE4AC8"/>
    <w:rsid w:val="00EF30E0"/>
    <w:rsid w:val="00EF5FD1"/>
    <w:rsid w:val="00F002A1"/>
    <w:rsid w:val="00F01442"/>
    <w:rsid w:val="00F01498"/>
    <w:rsid w:val="00F0244E"/>
    <w:rsid w:val="00F02924"/>
    <w:rsid w:val="00F037BB"/>
    <w:rsid w:val="00F05356"/>
    <w:rsid w:val="00F13991"/>
    <w:rsid w:val="00F30544"/>
    <w:rsid w:val="00F36508"/>
    <w:rsid w:val="00F36C72"/>
    <w:rsid w:val="00F36D6F"/>
    <w:rsid w:val="00F40501"/>
    <w:rsid w:val="00F515E8"/>
    <w:rsid w:val="00F60021"/>
    <w:rsid w:val="00F66359"/>
    <w:rsid w:val="00F6726B"/>
    <w:rsid w:val="00F750A7"/>
    <w:rsid w:val="00F81B40"/>
    <w:rsid w:val="00F9418F"/>
    <w:rsid w:val="00FA03BC"/>
    <w:rsid w:val="00FA1C44"/>
    <w:rsid w:val="00FA46F6"/>
    <w:rsid w:val="00FB0EEC"/>
    <w:rsid w:val="00FB17BA"/>
    <w:rsid w:val="00FB4617"/>
    <w:rsid w:val="00FB5E41"/>
    <w:rsid w:val="00FC0301"/>
    <w:rsid w:val="00FC0A9A"/>
    <w:rsid w:val="00FC0DBA"/>
    <w:rsid w:val="00FC16C9"/>
    <w:rsid w:val="00FC176D"/>
    <w:rsid w:val="00FC17C8"/>
    <w:rsid w:val="00FC210D"/>
    <w:rsid w:val="00FC7814"/>
    <w:rsid w:val="00FD33AF"/>
    <w:rsid w:val="00FD70DB"/>
    <w:rsid w:val="00FE0BF0"/>
    <w:rsid w:val="00FE2583"/>
    <w:rsid w:val="00FE3EAC"/>
    <w:rsid w:val="00FF2305"/>
    <w:rsid w:val="00FF6520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AppData\Local\Temp\RFC_Template-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B6DC7-4045-4603-B2A6-C4E0341B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RFC_Template-4.dotx</Template>
  <TotalTime>18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vchoi</dc:creator>
  <cp:lastModifiedBy>vchoi</cp:lastModifiedBy>
  <cp:revision>4</cp:revision>
  <cp:lastPrinted>2014-02-26T21:35:00Z</cp:lastPrinted>
  <dcterms:created xsi:type="dcterms:W3CDTF">2014-01-13T16:46:00Z</dcterms:created>
  <dcterms:modified xsi:type="dcterms:W3CDTF">2014-02-26T21:47:00Z</dcterms:modified>
</cp:coreProperties>
</file>