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 w:lineRule="auto"/>
        <w:rPr/>
      </w:pPr>
      <w:r w:rsidDel="00000000" w:rsidR="00000000" w:rsidRPr="00000000">
        <w:rPr>
          <w:rtl w:val="0"/>
        </w:rPr>
      </w:r>
    </w:p>
    <w:p w:rsidR="00000000" w:rsidDel="00000000" w:rsidP="00000000" w:rsidRDefault="00000000" w:rsidRPr="00000000" w14:paraId="00000002">
      <w:pPr>
        <w:spacing w:after="30" w:before="0" w:lineRule="auto"/>
        <w:jc w:val="center"/>
        <w:rPr/>
      </w:pPr>
      <w:r w:rsidDel="00000000" w:rsidR="00000000" w:rsidRPr="00000000">
        <w:rPr>
          <w:b w:val="1"/>
          <w:bCs w:val="1"/>
          <w:color w:val="1e293b"/>
          <w:sz w:val="40"/>
          <w:szCs w:val="40"/>
          <w:rtl w:val="0"/>
        </w:rPr>
        <w:t xml:space="preserve">Backstop Study 2.0</w:t>
      </w:r>
      <w:r w:rsidDel="00000000" w:rsidR="00000000" w:rsidRPr="00000000">
        <w:rPr>
          <w:rtl w:val="0"/>
        </w:rPr>
      </w:r>
    </w:p>
    <w:p w:rsidR="00000000" w:rsidDel="00000000" w:rsidP="00000000" w:rsidRDefault="00000000" w:rsidRPr="00000000" w14:paraId="00000003">
      <w:pPr>
        <w:spacing w:after="30" w:before="0" w:lineRule="auto"/>
        <w:jc w:val="center"/>
        <w:rPr/>
      </w:pPr>
      <w:r w:rsidDel="00000000" w:rsidR="00000000" w:rsidRPr="00000000">
        <w:rPr>
          <w:color w:val="1d4ed8"/>
          <w:sz w:val="26"/>
          <w:szCs w:val="26"/>
          <w:rtl w:val="0"/>
        </w:rPr>
        <w:t xml:space="preserve">Benchmarking Agentic Cost-Escalation Guardrails</w:t>
      </w:r>
      <w:r w:rsidDel="00000000" w:rsidR="00000000" w:rsidRPr="00000000">
        <w:rPr>
          <w:rtl w:val="0"/>
        </w:rPr>
      </w:r>
    </w:p>
    <w:p w:rsidR="00000000" w:rsidDel="00000000" w:rsidP="00000000" w:rsidRDefault="00000000" w:rsidRPr="00000000" w14:paraId="00000004">
      <w:pPr>
        <w:spacing w:after="30" w:before="0" w:lineRule="auto"/>
        <w:jc w:val="center"/>
        <w:rPr/>
      </w:pPr>
      <w:r w:rsidDel="00000000" w:rsidR="00000000" w:rsidRPr="00000000">
        <w:rPr>
          <w:i w:val="1"/>
          <w:iCs w:val="1"/>
          <w:color w:val="4b5563"/>
          <w:sz w:val="20"/>
          <w:szCs w:val="20"/>
          <w:rtl w:val="0"/>
        </w:rPr>
        <w:t xml:space="preserve">A Redlynr Validation Study · Executive Summary</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color w:val="4b5563"/>
          <w:sz w:val="19"/>
          <w:szCs w:val="19"/>
          <w:rtl w:val="0"/>
        </w:rPr>
        <w:t xml:space="preserve">HDGForge Labs, an HD Gregory LLC company · 2026</w:t>
      </w:r>
      <w:r w:rsidDel="00000000" w:rsidR="00000000" w:rsidRPr="00000000">
        <w:rPr>
          <w:rtl w:val="0"/>
        </w:rPr>
      </w:r>
    </w:p>
    <w:p w:rsidR="00000000" w:rsidDel="00000000" w:rsidP="00000000" w:rsidRDefault="00000000" w:rsidRPr="00000000" w14:paraId="00000006">
      <w:pPr>
        <w:pBdr>
          <w:bottom w:color="1d4ed8" w:space="0" w:sz="6" w:val="single"/>
        </w:pBdr>
        <w:spacing w:after="60" w:before="60" w:lineRule="auto"/>
        <w:rPr/>
      </w:pPr>
      <w:r w:rsidDel="00000000" w:rsidR="00000000" w:rsidRPr="00000000">
        <w:rPr>
          <w:rtl w:val="0"/>
        </w:rPr>
      </w:r>
    </w:p>
    <w:p w:rsidR="00000000" w:rsidDel="00000000" w:rsidP="00000000" w:rsidRDefault="00000000" w:rsidRPr="00000000" w14:paraId="00000007">
      <w:pPr>
        <w:spacing w:after="0" w:before="60" w:lineRule="auto"/>
        <w:rPr/>
      </w:pPr>
      <w:r w:rsidDel="00000000" w:rsidR="00000000" w:rsidRPr="00000000">
        <w:rPr>
          <w:rtl w:val="0"/>
        </w:rPr>
      </w:r>
    </w:p>
    <w:p w:rsidR="00000000" w:rsidDel="00000000" w:rsidP="00000000" w:rsidRDefault="00000000" w:rsidRPr="00000000" w14:paraId="00000008">
      <w:pPr>
        <w:spacing w:after="0" w:before="60" w:lineRule="auto"/>
        <w:rPr/>
      </w:pPr>
      <w:r w:rsidDel="00000000" w:rsidR="00000000" w:rsidRPr="00000000">
        <w:rPr>
          <w:rtl w:val="0"/>
        </w:rPr>
      </w:r>
    </w:p>
    <w:p w:rsidR="00000000" w:rsidDel="00000000" w:rsidP="00000000" w:rsidRDefault="00000000" w:rsidRPr="00000000" w14:paraId="00000009">
      <w:pPr>
        <w:pBdr>
          <w:bottom w:color="1d4ed8" w:space="0" w:sz="4" w:val="single"/>
        </w:pBdr>
        <w:spacing w:after="60" w:before="180" w:lineRule="auto"/>
        <w:rPr/>
      </w:pPr>
      <w:r w:rsidDel="00000000" w:rsidR="00000000" w:rsidRPr="00000000">
        <w:rPr>
          <w:b w:val="1"/>
          <w:bCs w:val="1"/>
          <w:color w:val="1e293b"/>
          <w:sz w:val="22"/>
          <w:szCs w:val="22"/>
          <w:rtl w:val="0"/>
        </w:rPr>
        <w:t xml:space="preserve">What Was Tested</w:t>
      </w:r>
      <w:r w:rsidDel="00000000" w:rsidR="00000000" w:rsidRPr="00000000">
        <w:rPr>
          <w:rtl w:val="0"/>
        </w:rPr>
      </w:r>
    </w:p>
    <w:p w:rsidR="00000000" w:rsidDel="00000000" w:rsidP="00000000" w:rsidRDefault="00000000" w:rsidRPr="00000000" w14:paraId="0000000A">
      <w:pPr>
        <w:spacing w:after="55" w:before="40" w:lineRule="auto"/>
        <w:jc w:val="both"/>
        <w:rPr>
          <w:b w:val="0"/>
          <w:bCs w:val="0"/>
          <w:i w:val="0"/>
          <w:iCs w:val="0"/>
          <w:color w:val="111827"/>
          <w:sz w:val="21"/>
          <w:szCs w:val="21"/>
        </w:rPr>
      </w:pPr>
      <w:r w:rsidDel="00000000" w:rsidR="00000000" w:rsidRPr="00000000">
        <w:rPr>
          <w:b w:val="0"/>
          <w:bCs w:val="0"/>
          <w:i w:val="0"/>
          <w:iCs w:val="0"/>
          <w:color w:val="111827"/>
          <w:sz w:val="21"/>
          <w:szCs w:val="21"/>
          <w:rtl w:val="0"/>
        </w:rPr>
        <w:t xml:space="preserve">Redlynr is a per-request guardrail API for LLM agent chains. It sits alongside an agent’s tool-calling loop and monitors per-step behavior — cost accumulation, loop patterns, tool fixation, retry storms, and delegation depth — returning a structured pass/slow_down/stop decision with supporting signal evidence on every call. Backstop answers a single question: does Redlynr actually stop the runaway patterns it claims to stop, without intervening on legitimate traffic?</w:t>
      </w:r>
    </w:p>
    <w:p w:rsidR="00000000" w:rsidDel="00000000" w:rsidP="00000000" w:rsidRDefault="00000000" w:rsidRPr="00000000" w14:paraId="0000000B">
      <w:pPr>
        <w:spacing w:after="55" w:before="40" w:lineRule="auto"/>
        <w:jc w:val="both"/>
        <w:rPr>
          <w:sz w:val="21"/>
          <w:szCs w:val="21"/>
        </w:rPr>
      </w:pPr>
      <w:r w:rsidDel="00000000" w:rsidR="00000000" w:rsidRPr="00000000">
        <w:rPr>
          <w:rtl w:val="0"/>
        </w:rPr>
      </w:r>
    </w:p>
    <w:p w:rsidR="00000000" w:rsidDel="00000000" w:rsidP="00000000" w:rsidRDefault="00000000" w:rsidRPr="00000000" w14:paraId="0000000C">
      <w:pPr>
        <w:pBdr>
          <w:bottom w:color="1d4ed8" w:space="0" w:sz="4" w:val="single"/>
        </w:pBdr>
        <w:spacing w:after="60" w:before="180" w:lineRule="auto"/>
        <w:rPr/>
      </w:pPr>
      <w:r w:rsidDel="00000000" w:rsidR="00000000" w:rsidRPr="00000000">
        <w:rPr>
          <w:b w:val="1"/>
          <w:bCs w:val="1"/>
          <w:color w:val="1e293b"/>
          <w:sz w:val="22"/>
          <w:szCs w:val="22"/>
          <w:rtl w:val="0"/>
        </w:rPr>
        <w:t xml:space="preserve">The Verdict</w:t>
      </w:r>
      <w:r w:rsidDel="00000000" w:rsidR="00000000" w:rsidRPr="00000000">
        <w:rPr>
          <w:rtl w:val="0"/>
        </w:rPr>
      </w:r>
    </w:p>
    <w:p w:rsidR="00000000" w:rsidDel="00000000" w:rsidP="00000000" w:rsidRDefault="00000000" w:rsidRPr="00000000" w14:paraId="0000000D">
      <w:pPr>
        <w:spacing w:after="55" w:before="40" w:lineRule="auto"/>
        <w:jc w:val="both"/>
        <w:rPr>
          <w:b w:val="0"/>
          <w:bCs w:val="0"/>
          <w:i w:val="0"/>
          <w:iCs w:val="0"/>
          <w:color w:val="111827"/>
          <w:sz w:val="21"/>
          <w:szCs w:val="21"/>
        </w:rPr>
      </w:pPr>
      <w:r w:rsidDel="00000000" w:rsidR="00000000" w:rsidRPr="00000000">
        <w:rPr>
          <w:b w:val="0"/>
          <w:bCs w:val="0"/>
          <w:i w:val="0"/>
          <w:iCs w:val="0"/>
          <w:color w:val="111827"/>
          <w:sz w:val="21"/>
          <w:szCs w:val="21"/>
          <w:rtl w:val="0"/>
        </w:rPr>
        <w:t xml:space="preserve">Redlynr’s cost-escalation guardrail was validated across all three tested models and both providers. Across 1,568 trials spanning 28 scenarios, 4 conditions, and 10 domains, C1 and C2 achieved a 100% true positive rate on cost-escalation incidents (Wilson 95% lower bound: 96.3%) and a 0% false positive rate on legitimate workloads (Wilson 95% upper bound: 4.4%). Median guardrail decision latency was 6.4 ms with no statistically significant variation across models. The study also surfaced four genuine findings — all identified and corrected before Phase 2 data collection began.</w:t>
      </w:r>
    </w:p>
    <w:p w:rsidR="00000000" w:rsidDel="00000000" w:rsidP="00000000" w:rsidRDefault="00000000" w:rsidRPr="00000000" w14:paraId="0000000E">
      <w:pPr>
        <w:spacing w:after="55" w:before="40" w:lineRule="auto"/>
        <w:jc w:val="both"/>
        <w:rPr>
          <w:sz w:val="21"/>
          <w:szCs w:val="21"/>
        </w:rPr>
      </w:pPr>
      <w:r w:rsidDel="00000000" w:rsidR="00000000" w:rsidRPr="00000000">
        <w:rPr>
          <w:rtl w:val="0"/>
        </w:rPr>
      </w:r>
    </w:p>
    <w:p w:rsidR="00000000" w:rsidDel="00000000" w:rsidP="00000000" w:rsidRDefault="00000000" w:rsidRPr="00000000" w14:paraId="0000000F">
      <w:pPr>
        <w:pBdr>
          <w:bottom w:color="1d4ed8" w:space="0" w:sz="4" w:val="single"/>
        </w:pBdr>
        <w:spacing w:after="60" w:before="180" w:lineRule="auto"/>
        <w:rPr/>
      </w:pPr>
      <w:r w:rsidDel="00000000" w:rsidR="00000000" w:rsidRPr="00000000">
        <w:rPr>
          <w:b w:val="1"/>
          <w:bCs w:val="1"/>
          <w:color w:val="1e293b"/>
          <w:sz w:val="22"/>
          <w:szCs w:val="22"/>
          <w:rtl w:val="0"/>
        </w:rPr>
        <w:t xml:space="preserve">Results at a Glance</w:t>
      </w:r>
      <w:r w:rsidDel="00000000" w:rsidR="00000000" w:rsidRPr="00000000">
        <w:rPr>
          <w:rtl w:val="0"/>
        </w:rPr>
      </w:r>
    </w:p>
    <w:p w:rsidR="00000000" w:rsidDel="00000000" w:rsidP="00000000" w:rsidRDefault="00000000" w:rsidRPr="00000000" w14:paraId="00000010">
      <w:pPr>
        <w:spacing w:after="100" w:before="40" w:lineRule="auto"/>
        <w:jc w:val="both"/>
        <w:rPr>
          <w:b w:val="0"/>
          <w:bCs w:val="0"/>
          <w:i w:val="0"/>
          <w:iCs w:val="0"/>
          <w:color w:val="111827"/>
          <w:sz w:val="21"/>
          <w:szCs w:val="21"/>
        </w:rPr>
      </w:pPr>
      <w:r w:rsidDel="00000000" w:rsidR="00000000" w:rsidRPr="00000000">
        <w:rPr>
          <w:b w:val="0"/>
          <w:bCs w:val="0"/>
          <w:i w:val="0"/>
          <w:iCs w:val="0"/>
          <w:color w:val="111827"/>
          <w:sz w:val="21"/>
          <w:szCs w:val="21"/>
          <w:rtl w:val="0"/>
        </w:rPr>
        <w:t xml:space="preserve">Each condition was evaluated across incident trials (measuring true positive rate) and control trials (measuring false positive rate). All figures reported with 95% Wilson score confidence intervals in the full report.</w:t>
      </w:r>
    </w:p>
    <w:p w:rsidR="00000000" w:rsidDel="00000000" w:rsidP="00000000" w:rsidRDefault="00000000" w:rsidRPr="00000000" w14:paraId="00000011">
      <w:pPr>
        <w:spacing w:after="100" w:before="40" w:lineRule="auto"/>
        <w:jc w:val="both"/>
        <w:rPr>
          <w:sz w:val="21"/>
          <w:szCs w:val="21"/>
        </w:rPr>
      </w:pPr>
      <w:r w:rsidDel="00000000" w:rsidR="00000000" w:rsidRPr="00000000">
        <w:rPr>
          <w:rtl w:val="0"/>
        </w:rPr>
      </w:r>
    </w:p>
    <w:p w:rsidR="00000000" w:rsidDel="00000000" w:rsidP="00000000" w:rsidRDefault="00000000" w:rsidRPr="00000000" w14:paraId="00000012">
      <w:pPr>
        <w:spacing w:after="100" w:before="40" w:lineRule="auto"/>
        <w:jc w:val="both"/>
        <w:rPr>
          <w:sz w:val="21"/>
          <w:szCs w:val="21"/>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200"/>
        <w:gridCol w:w="2240"/>
        <w:tblGridChange w:id="0">
          <w:tblGrid>
            <w:gridCol w:w="2800"/>
            <w:gridCol w:w="2000"/>
            <w:gridCol w:w="2200"/>
            <w:gridCol w:w="2240"/>
          </w:tblGrid>
        </w:tblGridChange>
      </w:tblGrid>
      <w:tr>
        <w:trPr>
          <w:cantSplit w:val="0"/>
          <w:tblHeader w:val="1"/>
        </w:trPr>
        <w:tc>
          <w:tcPr>
            <w:shd w:fill="1e293b"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b w:val="1"/>
                <w:bCs w:val="1"/>
                <w:color w:val="ffffff"/>
                <w:sz w:val="17"/>
                <w:szCs w:val="17"/>
                <w:rtl w:val="0"/>
              </w:rPr>
              <w:t xml:space="preserve">Condition</w:t>
            </w:r>
            <w:r w:rsidDel="00000000" w:rsidR="00000000" w:rsidRPr="00000000">
              <w:rPr>
                <w:rtl w:val="0"/>
              </w:rPr>
            </w:r>
          </w:p>
        </w:tc>
        <w:tc>
          <w:tcPr>
            <w:shd w:fill="1e293b" w:val="clear"/>
            <w:tcMar>
              <w:top w:w="80.0" w:type="dxa"/>
              <w:left w:w="120.0" w:type="dxa"/>
              <w:bottom w:w="80.0" w:type="dxa"/>
              <w:right w:w="120.0" w:type="dxa"/>
            </w:tcMar>
            <w:vAlign w:val="center"/>
          </w:tcPr>
          <w:p w:rsidR="00000000" w:rsidDel="00000000" w:rsidP="00000000" w:rsidRDefault="00000000" w:rsidRPr="00000000" w14:paraId="00000014">
            <w:pPr>
              <w:jc w:val="center"/>
              <w:rPr/>
            </w:pPr>
            <w:r w:rsidDel="00000000" w:rsidR="00000000" w:rsidRPr="00000000">
              <w:rPr>
                <w:b w:val="1"/>
                <w:bCs w:val="1"/>
                <w:color w:val="ffffff"/>
                <w:sz w:val="17"/>
                <w:szCs w:val="17"/>
                <w:rtl w:val="0"/>
              </w:rPr>
              <w:t xml:space="preserve">Cost-Esc. TPR</w:t>
            </w:r>
            <w:r w:rsidDel="00000000" w:rsidR="00000000" w:rsidRPr="00000000">
              <w:rPr>
                <w:rtl w:val="0"/>
              </w:rPr>
            </w:r>
          </w:p>
        </w:tc>
        <w:tc>
          <w:tcPr>
            <w:shd w:fill="1e293b" w:val="clear"/>
            <w:tcMar>
              <w:top w:w="80.0" w:type="dxa"/>
              <w:left w:w="120.0" w:type="dxa"/>
              <w:bottom w:w="80.0" w:type="dxa"/>
              <w:right w:w="120.0" w:type="dxa"/>
            </w:tcMar>
            <w:vAlign w:val="center"/>
          </w:tcPr>
          <w:p w:rsidR="00000000" w:rsidDel="00000000" w:rsidP="00000000" w:rsidRDefault="00000000" w:rsidRPr="00000000" w14:paraId="00000015">
            <w:pPr>
              <w:jc w:val="center"/>
              <w:rPr/>
            </w:pPr>
            <w:r w:rsidDel="00000000" w:rsidR="00000000" w:rsidRPr="00000000">
              <w:rPr>
                <w:b w:val="1"/>
                <w:bCs w:val="1"/>
                <w:color w:val="ffffff"/>
                <w:sz w:val="17"/>
                <w:szCs w:val="17"/>
                <w:rtl w:val="0"/>
              </w:rPr>
              <w:t xml:space="preserve">FPR (Control)</w:t>
            </w:r>
            <w:r w:rsidDel="00000000" w:rsidR="00000000" w:rsidRPr="00000000">
              <w:rPr>
                <w:rtl w:val="0"/>
              </w:rPr>
            </w:r>
          </w:p>
        </w:tc>
        <w:tc>
          <w:tcPr>
            <w:shd w:fill="1e293b"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b w:val="1"/>
                <w:bCs w:val="1"/>
                <w:color w:val="ffffff"/>
                <w:sz w:val="17"/>
                <w:szCs w:val="17"/>
                <w:rtl w:val="0"/>
              </w:rPr>
              <w:t xml:space="preserve">p50 Latency</w:t>
            </w:r>
            <w:r w:rsidDel="00000000" w:rsidR="00000000" w:rsidRPr="00000000">
              <w:rPr>
                <w:rtl w:val="0"/>
              </w:rPr>
            </w:r>
          </w:p>
        </w:tc>
      </w:tr>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017">
            <w:pPr>
              <w:jc w:val="left"/>
              <w:rPr/>
            </w:pPr>
            <w:r w:rsidDel="00000000" w:rsidR="00000000" w:rsidRPr="00000000">
              <w:rPr>
                <w:b w:val="0"/>
                <w:bCs w:val="0"/>
                <w:i w:val="0"/>
                <w:iCs w:val="0"/>
                <w:color w:val="111827"/>
                <w:sz w:val="17"/>
                <w:szCs w:val="17"/>
                <w:rtl w:val="0"/>
              </w:rPr>
              <w:t xml:space="preserve">C1 — Factory defaults</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18">
            <w:pPr>
              <w:jc w:val="center"/>
              <w:rPr/>
            </w:pPr>
            <w:r w:rsidDel="00000000" w:rsidR="00000000" w:rsidRPr="00000000">
              <w:rPr>
                <w:b w:val="0"/>
                <w:bCs w:val="0"/>
                <w:i w:val="0"/>
                <w:iCs w:val="0"/>
                <w:color w:val="111827"/>
                <w:sz w:val="17"/>
                <w:szCs w:val="17"/>
                <w:rtl w:val="0"/>
              </w:rPr>
              <w:t xml:space="preserve">100% (98/98)</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19">
            <w:pPr>
              <w:jc w:val="center"/>
              <w:rPr/>
            </w:pPr>
            <w:r w:rsidDel="00000000" w:rsidR="00000000" w:rsidRPr="00000000">
              <w:rPr>
                <w:b w:val="0"/>
                <w:bCs w:val="0"/>
                <w:i w:val="0"/>
                <w:iCs w:val="0"/>
                <w:color w:val="111827"/>
                <w:sz w:val="17"/>
                <w:szCs w:val="17"/>
                <w:rtl w:val="0"/>
              </w:rPr>
              <w:t xml:space="preserve">0% (0/84)</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1A">
            <w:pPr>
              <w:jc w:val="center"/>
              <w:rPr/>
            </w:pPr>
            <w:r w:rsidDel="00000000" w:rsidR="00000000" w:rsidRPr="00000000">
              <w:rPr>
                <w:b w:val="0"/>
                <w:bCs w:val="0"/>
                <w:i w:val="0"/>
                <w:iCs w:val="0"/>
                <w:color w:val="111827"/>
                <w:sz w:val="17"/>
                <w:szCs w:val="17"/>
                <w:rtl w:val="0"/>
              </w:rPr>
              <w:t xml:space="preserve">6.36 ms</w:t>
            </w:r>
            <w:r w:rsidDel="00000000" w:rsidR="00000000" w:rsidRPr="00000000">
              <w:rPr>
                <w:rtl w:val="0"/>
              </w:rPr>
            </w:r>
          </w:p>
        </w:tc>
      </w:tr>
      <w:tr>
        <w:trPr>
          <w:cantSplit w:val="0"/>
          <w:tblHeader w:val="0"/>
        </w:trPr>
        <w:tc>
          <w:tcPr>
            <w:shd w:fill="f8fafc" w:val="clear"/>
            <w:tcMar>
              <w:top w:w="60.0" w:type="dxa"/>
              <w:left w:w="120.0" w:type="dxa"/>
              <w:bottom w:w="60.0" w:type="dxa"/>
              <w:right w:w="120.0" w:type="dxa"/>
            </w:tcMar>
            <w:vAlign w:val="center"/>
          </w:tcPr>
          <w:p w:rsidR="00000000" w:rsidDel="00000000" w:rsidP="00000000" w:rsidRDefault="00000000" w:rsidRPr="00000000" w14:paraId="0000001B">
            <w:pPr>
              <w:jc w:val="left"/>
              <w:rPr/>
            </w:pPr>
            <w:r w:rsidDel="00000000" w:rsidR="00000000" w:rsidRPr="00000000">
              <w:rPr>
                <w:b w:val="0"/>
                <w:bCs w:val="0"/>
                <w:i w:val="0"/>
                <w:iCs w:val="0"/>
                <w:color w:val="111827"/>
                <w:sz w:val="17"/>
                <w:szCs w:val="17"/>
                <w:rtl w:val="0"/>
              </w:rPr>
              <w:t xml:space="preserve">C2 — Tuned policy</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1C">
            <w:pPr>
              <w:jc w:val="center"/>
              <w:rPr/>
            </w:pPr>
            <w:r w:rsidDel="00000000" w:rsidR="00000000" w:rsidRPr="00000000">
              <w:rPr>
                <w:b w:val="0"/>
                <w:bCs w:val="0"/>
                <w:i w:val="0"/>
                <w:iCs w:val="0"/>
                <w:color w:val="111827"/>
                <w:sz w:val="17"/>
                <w:szCs w:val="17"/>
                <w:rtl w:val="0"/>
              </w:rPr>
              <w:t xml:space="preserve">100% (98/98)</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1D">
            <w:pPr>
              <w:jc w:val="center"/>
              <w:rPr/>
            </w:pPr>
            <w:r w:rsidDel="00000000" w:rsidR="00000000" w:rsidRPr="00000000">
              <w:rPr>
                <w:b w:val="0"/>
                <w:bCs w:val="0"/>
                <w:i w:val="0"/>
                <w:iCs w:val="0"/>
                <w:color w:val="111827"/>
                <w:sz w:val="17"/>
                <w:szCs w:val="17"/>
                <w:rtl w:val="0"/>
              </w:rPr>
              <w:t xml:space="preserve">0% (0/84)</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1E">
            <w:pPr>
              <w:jc w:val="center"/>
              <w:rPr/>
            </w:pPr>
            <w:r w:rsidDel="00000000" w:rsidR="00000000" w:rsidRPr="00000000">
              <w:rPr>
                <w:b w:val="0"/>
                <w:bCs w:val="0"/>
                <w:i w:val="0"/>
                <w:iCs w:val="0"/>
                <w:color w:val="111827"/>
                <w:sz w:val="17"/>
                <w:szCs w:val="17"/>
                <w:rtl w:val="0"/>
              </w:rPr>
              <w:t xml:space="preserve">6.43 ms</w:t>
            </w:r>
            <w:r w:rsidDel="00000000" w:rsidR="00000000" w:rsidRPr="00000000">
              <w:rPr>
                <w:rtl w:val="0"/>
              </w:rPr>
            </w:r>
          </w:p>
        </w:tc>
      </w:tr>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01F">
            <w:pPr>
              <w:jc w:val="left"/>
              <w:rPr/>
            </w:pPr>
            <w:r w:rsidDel="00000000" w:rsidR="00000000" w:rsidRPr="00000000">
              <w:rPr>
                <w:b w:val="0"/>
                <w:bCs w:val="0"/>
                <w:i w:val="0"/>
                <w:iCs w:val="0"/>
                <w:color w:val="111827"/>
                <w:sz w:val="17"/>
                <w:szCs w:val="17"/>
                <w:rtl w:val="0"/>
              </w:rPr>
              <w:t xml:space="preserve">B — Naive rate limiter</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20">
            <w:pPr>
              <w:jc w:val="center"/>
              <w:rPr/>
            </w:pPr>
            <w:r w:rsidDel="00000000" w:rsidR="00000000" w:rsidRPr="00000000">
              <w:rPr>
                <w:b w:val="0"/>
                <w:bCs w:val="0"/>
                <w:i w:val="0"/>
                <w:iCs w:val="0"/>
                <w:color w:val="111827"/>
                <w:sz w:val="17"/>
                <w:szCs w:val="17"/>
                <w:rtl w:val="0"/>
              </w:rPr>
              <w:t xml:space="preserve">66.3% (65/98)</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21">
            <w:pPr>
              <w:jc w:val="center"/>
              <w:rPr/>
            </w:pPr>
            <w:r w:rsidDel="00000000" w:rsidR="00000000" w:rsidRPr="00000000">
              <w:rPr>
                <w:b w:val="0"/>
                <w:bCs w:val="0"/>
                <w:i w:val="0"/>
                <w:iCs w:val="0"/>
                <w:color w:val="111827"/>
                <w:sz w:val="17"/>
                <w:szCs w:val="17"/>
                <w:rtl w:val="0"/>
              </w:rPr>
              <w:t xml:space="preserve">48.8% (41/84)</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22">
            <w:pPr>
              <w:jc w:val="center"/>
              <w:rPr/>
            </w:pPr>
            <w:r w:rsidDel="00000000" w:rsidR="00000000" w:rsidRPr="00000000">
              <w:rPr>
                <w:b w:val="0"/>
                <w:bCs w:val="0"/>
                <w:i w:val="0"/>
                <w:iCs w:val="0"/>
                <w:color w:val="111827"/>
                <w:sz w:val="17"/>
                <w:szCs w:val="17"/>
                <w:rtl w:val="0"/>
              </w:rPr>
              <w:t xml:space="preserve">N/A</w:t>
            </w:r>
            <w:r w:rsidDel="00000000" w:rsidR="00000000" w:rsidRPr="00000000">
              <w:rPr>
                <w:rtl w:val="0"/>
              </w:rPr>
            </w:r>
          </w:p>
        </w:tc>
      </w:tr>
      <w:tr>
        <w:trPr>
          <w:cantSplit w:val="0"/>
          <w:tblHeader w:val="0"/>
        </w:trPr>
        <w:tc>
          <w:tcPr>
            <w:shd w:fill="f8fafc" w:val="clear"/>
            <w:tcMar>
              <w:top w:w="60.0" w:type="dxa"/>
              <w:left w:w="120.0" w:type="dxa"/>
              <w:bottom w:w="60.0" w:type="dxa"/>
              <w:right w:w="120.0" w:type="dxa"/>
            </w:tcMar>
            <w:vAlign w:val="center"/>
          </w:tcPr>
          <w:p w:rsidR="00000000" w:rsidDel="00000000" w:rsidP="00000000" w:rsidRDefault="00000000" w:rsidRPr="00000000" w14:paraId="00000023">
            <w:pPr>
              <w:jc w:val="left"/>
              <w:rPr/>
            </w:pPr>
            <w:r w:rsidDel="00000000" w:rsidR="00000000" w:rsidRPr="00000000">
              <w:rPr>
                <w:b w:val="0"/>
                <w:bCs w:val="0"/>
                <w:i w:val="0"/>
                <w:iCs w:val="0"/>
                <w:color w:val="111827"/>
                <w:sz w:val="17"/>
                <w:szCs w:val="17"/>
                <w:rtl w:val="0"/>
              </w:rPr>
              <w:t xml:space="preserve">A — No guardrail</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24">
            <w:pPr>
              <w:jc w:val="center"/>
              <w:rPr/>
            </w:pPr>
            <w:r w:rsidDel="00000000" w:rsidR="00000000" w:rsidRPr="00000000">
              <w:rPr>
                <w:b w:val="0"/>
                <w:bCs w:val="0"/>
                <w:i w:val="0"/>
                <w:iCs w:val="0"/>
                <w:color w:val="111827"/>
                <w:sz w:val="17"/>
                <w:szCs w:val="17"/>
                <w:rtl w:val="0"/>
              </w:rPr>
              <w:t xml:space="preserve">0% (0/98)</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25">
            <w:pPr>
              <w:jc w:val="center"/>
              <w:rPr/>
            </w:pPr>
            <w:r w:rsidDel="00000000" w:rsidR="00000000" w:rsidRPr="00000000">
              <w:rPr>
                <w:b w:val="0"/>
                <w:bCs w:val="0"/>
                <w:i w:val="0"/>
                <w:iCs w:val="0"/>
                <w:color w:val="111827"/>
                <w:sz w:val="17"/>
                <w:szCs w:val="17"/>
                <w:rtl w:val="0"/>
              </w:rPr>
              <w:t xml:space="preserve">N/A</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26">
            <w:pPr>
              <w:jc w:val="center"/>
              <w:rPr/>
            </w:pPr>
            <w:r w:rsidDel="00000000" w:rsidR="00000000" w:rsidRPr="00000000">
              <w:rPr>
                <w:b w:val="0"/>
                <w:bCs w:val="0"/>
                <w:i w:val="0"/>
                <w:iCs w:val="0"/>
                <w:color w:val="111827"/>
                <w:sz w:val="17"/>
                <w:szCs w:val="17"/>
                <w:rtl w:val="0"/>
              </w:rPr>
              <w:t xml:space="preserve">N/A</w:t>
            </w:r>
            <w:r w:rsidDel="00000000" w:rsidR="00000000" w:rsidRPr="00000000">
              <w:rPr>
                <w:rtl w:val="0"/>
              </w:rPr>
            </w:r>
          </w:p>
        </w:tc>
      </w:tr>
    </w:tbl>
    <w:p w:rsidR="00000000" w:rsidDel="00000000" w:rsidP="00000000" w:rsidRDefault="00000000" w:rsidRPr="00000000" w14:paraId="00000027">
      <w:pPr>
        <w:spacing w:after="0" w:before="40" w:lineRule="auto"/>
        <w:rPr/>
      </w:pPr>
      <w:r w:rsidDel="00000000" w:rsidR="00000000" w:rsidRPr="00000000">
        <w:rPr>
          <w:rtl w:val="0"/>
        </w:rPr>
      </w:r>
    </w:p>
    <w:p w:rsidR="00000000" w:rsidDel="00000000" w:rsidP="00000000" w:rsidRDefault="00000000" w:rsidRPr="00000000" w14:paraId="00000028">
      <w:pPr>
        <w:spacing w:after="40" w:before="40" w:lineRule="auto"/>
        <w:jc w:val="both"/>
        <w:rPr/>
      </w:pPr>
      <w:r w:rsidDel="00000000" w:rsidR="00000000" w:rsidRPr="00000000">
        <w:rPr>
          <w:i w:val="1"/>
          <w:iCs w:val="1"/>
          <w:color w:val="4b5563"/>
          <w:sz w:val="16"/>
          <w:szCs w:val="16"/>
          <w:rtl w:val="0"/>
        </w:rPr>
        <w:t xml:space="preserve">Wilson 95% lower bound on C1/C2 cost-escalation TPR: 96.3%. Wilson 95% upper bound on C1/C2 FPR: 4.4% (observed rate 0%; n=84 control trials). Loop detection validated on 14 genuinely stuck incidents; 100% catch rate at both C1 and C2. Retry-storm scenarios all self-resolved in condition A; retry-storm is not a validated incident category in this study.</w:t>
      </w:r>
      <w:r w:rsidDel="00000000" w:rsidR="00000000" w:rsidRPr="00000000">
        <w:rPr>
          <w:rtl w:val="0"/>
        </w:rPr>
      </w:r>
    </w:p>
    <w:p w:rsidR="00000000" w:rsidDel="00000000" w:rsidP="00000000" w:rsidRDefault="00000000" w:rsidRPr="00000000" w14:paraId="00000029">
      <w:pPr>
        <w:spacing w:after="0" w:before="4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900"/>
        <w:gridCol w:w="1000"/>
        <w:gridCol w:w="2200"/>
        <w:gridCol w:w="1740"/>
        <w:tblGridChange w:id="0">
          <w:tblGrid>
            <w:gridCol w:w="2000"/>
            <w:gridCol w:w="1400"/>
            <w:gridCol w:w="900"/>
            <w:gridCol w:w="1000"/>
            <w:gridCol w:w="2200"/>
            <w:gridCol w:w="1740"/>
          </w:tblGrid>
        </w:tblGridChange>
      </w:tblGrid>
      <w:tr>
        <w:trPr>
          <w:cantSplit w:val="0"/>
          <w:tblHeader w:val="1"/>
        </w:trPr>
        <w:tc>
          <w:tcPr>
            <w:shd w:fill="1e293b"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17"/>
                <w:szCs w:val="17"/>
                <w:rtl w:val="0"/>
              </w:rPr>
              <w:t xml:space="preserve">Model</w:t>
            </w:r>
            <w:r w:rsidDel="00000000" w:rsidR="00000000" w:rsidRPr="00000000">
              <w:rPr>
                <w:rtl w:val="0"/>
              </w:rPr>
            </w:r>
          </w:p>
        </w:tc>
        <w:tc>
          <w:tcPr>
            <w:shd w:fill="1e293b"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b w:val="1"/>
                <w:bCs w:val="1"/>
                <w:color w:val="ffffff"/>
                <w:sz w:val="17"/>
                <w:szCs w:val="17"/>
                <w:rtl w:val="0"/>
              </w:rPr>
              <w:t xml:space="preserve">Provider</w:t>
            </w:r>
            <w:r w:rsidDel="00000000" w:rsidR="00000000" w:rsidRPr="00000000">
              <w:rPr>
                <w:rtl w:val="0"/>
              </w:rPr>
            </w:r>
          </w:p>
        </w:tc>
        <w:tc>
          <w:tcPr>
            <w:shd w:fill="1e293b"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b w:val="1"/>
                <w:bCs w:val="1"/>
                <w:color w:val="ffffff"/>
                <w:sz w:val="17"/>
                <w:szCs w:val="17"/>
                <w:rtl w:val="0"/>
              </w:rPr>
              <w:t xml:space="preserve">Trials</w:t>
            </w:r>
            <w:r w:rsidDel="00000000" w:rsidR="00000000" w:rsidRPr="00000000">
              <w:rPr>
                <w:rtl w:val="0"/>
              </w:rPr>
            </w:r>
          </w:p>
        </w:tc>
        <w:tc>
          <w:tcPr>
            <w:shd w:fill="1e293b"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color w:val="ffffff"/>
                <w:sz w:val="17"/>
                <w:szCs w:val="17"/>
                <w:rtl w:val="0"/>
              </w:rPr>
              <w:t xml:space="preserve">Repeats</w:t>
            </w:r>
            <w:r w:rsidDel="00000000" w:rsidR="00000000" w:rsidRPr="00000000">
              <w:rPr>
                <w:rtl w:val="0"/>
              </w:rPr>
            </w:r>
          </w:p>
        </w:tc>
        <w:tc>
          <w:tcPr>
            <w:shd w:fill="1e293b"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b w:val="1"/>
                <w:bCs w:val="1"/>
                <w:color w:val="ffffff"/>
                <w:sz w:val="17"/>
                <w:szCs w:val="17"/>
                <w:rtl w:val="0"/>
              </w:rPr>
              <w:t xml:space="preserve">C1/C2 Cost-Esc. TPR</w:t>
            </w:r>
            <w:r w:rsidDel="00000000" w:rsidR="00000000" w:rsidRPr="00000000">
              <w:rPr>
                <w:rtl w:val="0"/>
              </w:rPr>
            </w:r>
          </w:p>
        </w:tc>
        <w:tc>
          <w:tcPr>
            <w:shd w:fill="1e293b"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b w:val="1"/>
                <w:bCs w:val="1"/>
                <w:color w:val="ffffff"/>
                <w:sz w:val="17"/>
                <w:szCs w:val="17"/>
                <w:rtl w:val="0"/>
              </w:rPr>
              <w:t xml:space="preserve">C1/C2 FPR</w:t>
            </w:r>
            <w:r w:rsidDel="00000000" w:rsidR="00000000" w:rsidRPr="00000000">
              <w:rPr>
                <w:rtl w:val="0"/>
              </w:rPr>
            </w:r>
          </w:p>
        </w:tc>
      </w:tr>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030">
            <w:pPr>
              <w:jc w:val="left"/>
              <w:rPr/>
            </w:pPr>
            <w:r w:rsidDel="00000000" w:rsidR="00000000" w:rsidRPr="00000000">
              <w:rPr>
                <w:b w:val="0"/>
                <w:bCs w:val="0"/>
                <w:i w:val="0"/>
                <w:iCs w:val="0"/>
                <w:color w:val="111827"/>
                <w:sz w:val="17"/>
                <w:szCs w:val="17"/>
                <w:rtl w:val="0"/>
              </w:rPr>
              <w:t xml:space="preserve">GPT-5.6 Luna</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31">
            <w:pPr>
              <w:jc w:val="center"/>
              <w:rPr/>
            </w:pPr>
            <w:r w:rsidDel="00000000" w:rsidR="00000000" w:rsidRPr="00000000">
              <w:rPr>
                <w:b w:val="0"/>
                <w:bCs w:val="0"/>
                <w:i w:val="0"/>
                <w:iCs w:val="0"/>
                <w:color w:val="111827"/>
                <w:sz w:val="17"/>
                <w:szCs w:val="17"/>
                <w:rtl w:val="0"/>
              </w:rPr>
              <w:t xml:space="preserve">OpenAI</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32">
            <w:pPr>
              <w:jc w:val="center"/>
              <w:rPr/>
            </w:pPr>
            <w:r w:rsidDel="00000000" w:rsidR="00000000" w:rsidRPr="00000000">
              <w:rPr>
                <w:b w:val="0"/>
                <w:bCs w:val="0"/>
                <w:i w:val="0"/>
                <w:iCs w:val="0"/>
                <w:color w:val="111827"/>
                <w:sz w:val="17"/>
                <w:szCs w:val="17"/>
                <w:rtl w:val="0"/>
              </w:rPr>
              <w:t xml:space="preserve">560</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33">
            <w:pPr>
              <w:jc w:val="center"/>
              <w:rPr/>
            </w:pPr>
            <w:r w:rsidDel="00000000" w:rsidR="00000000" w:rsidRPr="00000000">
              <w:rPr>
                <w:b w:val="0"/>
                <w:bCs w:val="0"/>
                <w:i w:val="0"/>
                <w:iCs w:val="0"/>
                <w:color w:val="111827"/>
                <w:sz w:val="17"/>
                <w:szCs w:val="17"/>
                <w:rtl w:val="0"/>
              </w:rPr>
              <w:t xml:space="preserve">5</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34">
            <w:pPr>
              <w:jc w:val="center"/>
              <w:rPr/>
            </w:pPr>
            <w:r w:rsidDel="00000000" w:rsidR="00000000" w:rsidRPr="00000000">
              <w:rPr>
                <w:b w:val="0"/>
                <w:bCs w:val="0"/>
                <w:i w:val="0"/>
                <w:iCs w:val="0"/>
                <w:color w:val="111827"/>
                <w:sz w:val="17"/>
                <w:szCs w:val="17"/>
                <w:rtl w:val="0"/>
              </w:rPr>
              <w:t xml:space="preserve">100% (35/35)</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35">
            <w:pPr>
              <w:jc w:val="center"/>
              <w:rPr/>
            </w:pPr>
            <w:r w:rsidDel="00000000" w:rsidR="00000000" w:rsidRPr="00000000">
              <w:rPr>
                <w:b w:val="0"/>
                <w:bCs w:val="0"/>
                <w:i w:val="0"/>
                <w:iCs w:val="0"/>
                <w:color w:val="111827"/>
                <w:sz w:val="17"/>
                <w:szCs w:val="17"/>
                <w:rtl w:val="0"/>
              </w:rPr>
              <w:t xml:space="preserve">0% (0/15)</w:t>
            </w:r>
            <w:r w:rsidDel="00000000" w:rsidR="00000000" w:rsidRPr="00000000">
              <w:rPr>
                <w:rtl w:val="0"/>
              </w:rPr>
            </w:r>
          </w:p>
        </w:tc>
      </w:tr>
      <w:tr>
        <w:trPr>
          <w:cantSplit w:val="0"/>
          <w:tblHeader w:val="0"/>
        </w:trPr>
        <w:tc>
          <w:tcPr>
            <w:shd w:fill="f8fafc" w:val="clear"/>
            <w:tcMar>
              <w:top w:w="60.0" w:type="dxa"/>
              <w:left w:w="120.0" w:type="dxa"/>
              <w:bottom w:w="60.0" w:type="dxa"/>
              <w:right w:w="120.0" w:type="dxa"/>
            </w:tcMar>
            <w:vAlign w:val="center"/>
          </w:tcPr>
          <w:p w:rsidR="00000000" w:rsidDel="00000000" w:rsidP="00000000" w:rsidRDefault="00000000" w:rsidRPr="00000000" w14:paraId="00000036">
            <w:pPr>
              <w:jc w:val="left"/>
              <w:rPr/>
            </w:pPr>
            <w:r w:rsidDel="00000000" w:rsidR="00000000" w:rsidRPr="00000000">
              <w:rPr>
                <w:b w:val="0"/>
                <w:bCs w:val="0"/>
                <w:i w:val="0"/>
                <w:iCs w:val="0"/>
                <w:color w:val="111827"/>
                <w:sz w:val="17"/>
                <w:szCs w:val="17"/>
                <w:rtl w:val="0"/>
              </w:rPr>
              <w:t xml:space="preserve">GPT-5.6 Terra</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37">
            <w:pPr>
              <w:jc w:val="center"/>
              <w:rPr/>
            </w:pPr>
            <w:r w:rsidDel="00000000" w:rsidR="00000000" w:rsidRPr="00000000">
              <w:rPr>
                <w:b w:val="0"/>
                <w:bCs w:val="0"/>
                <w:i w:val="0"/>
                <w:iCs w:val="0"/>
                <w:color w:val="111827"/>
                <w:sz w:val="17"/>
                <w:szCs w:val="17"/>
                <w:rtl w:val="0"/>
              </w:rPr>
              <w:t xml:space="preserve">OpenAI</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38">
            <w:pPr>
              <w:jc w:val="center"/>
              <w:rPr/>
            </w:pPr>
            <w:r w:rsidDel="00000000" w:rsidR="00000000" w:rsidRPr="00000000">
              <w:rPr>
                <w:b w:val="0"/>
                <w:bCs w:val="0"/>
                <w:i w:val="0"/>
                <w:iCs w:val="0"/>
                <w:color w:val="111827"/>
                <w:sz w:val="17"/>
                <w:szCs w:val="17"/>
                <w:rtl w:val="0"/>
              </w:rPr>
              <w:t xml:space="preserve">448</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39">
            <w:pPr>
              <w:jc w:val="center"/>
              <w:rPr/>
            </w:pPr>
            <w:r w:rsidDel="00000000" w:rsidR="00000000" w:rsidRPr="00000000">
              <w:rPr>
                <w:b w:val="0"/>
                <w:bCs w:val="0"/>
                <w:i w:val="0"/>
                <w:iCs w:val="0"/>
                <w:color w:val="111827"/>
                <w:sz w:val="17"/>
                <w:szCs w:val="17"/>
                <w:rtl w:val="0"/>
              </w:rPr>
              <w:t xml:space="preserve">3</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3A">
            <w:pPr>
              <w:jc w:val="center"/>
              <w:rPr/>
            </w:pPr>
            <w:r w:rsidDel="00000000" w:rsidR="00000000" w:rsidRPr="00000000">
              <w:rPr>
                <w:b w:val="0"/>
                <w:bCs w:val="0"/>
                <w:i w:val="0"/>
                <w:iCs w:val="0"/>
                <w:color w:val="111827"/>
                <w:sz w:val="17"/>
                <w:szCs w:val="17"/>
                <w:rtl w:val="0"/>
              </w:rPr>
              <w:t xml:space="preserve">100% (21/21)</w:t>
            </w:r>
            <w:r w:rsidDel="00000000" w:rsidR="00000000" w:rsidRPr="00000000">
              <w:rPr>
                <w:rtl w:val="0"/>
              </w:rPr>
            </w:r>
          </w:p>
        </w:tc>
        <w:tc>
          <w:tcPr>
            <w:shd w:fill="f8fafc" w:val="clear"/>
            <w:tcMar>
              <w:top w:w="60.0" w:type="dxa"/>
              <w:left w:w="120.0" w:type="dxa"/>
              <w:bottom w:w="60.0" w:type="dxa"/>
              <w:right w:w="120.0" w:type="dxa"/>
            </w:tcMar>
            <w:vAlign w:val="center"/>
          </w:tcPr>
          <w:p w:rsidR="00000000" w:rsidDel="00000000" w:rsidP="00000000" w:rsidRDefault="00000000" w:rsidRPr="00000000" w14:paraId="0000003B">
            <w:pPr>
              <w:jc w:val="center"/>
              <w:rPr/>
            </w:pPr>
            <w:r w:rsidDel="00000000" w:rsidR="00000000" w:rsidRPr="00000000">
              <w:rPr>
                <w:b w:val="0"/>
                <w:bCs w:val="0"/>
                <w:i w:val="0"/>
                <w:iCs w:val="0"/>
                <w:color w:val="111827"/>
                <w:sz w:val="17"/>
                <w:szCs w:val="17"/>
                <w:rtl w:val="0"/>
              </w:rPr>
              <w:t xml:space="preserve">0% (0/9)</w:t>
            </w:r>
            <w:r w:rsidDel="00000000" w:rsidR="00000000" w:rsidRPr="00000000">
              <w:rPr>
                <w:rtl w:val="0"/>
              </w:rPr>
            </w:r>
          </w:p>
        </w:tc>
      </w:tr>
      <w:tr>
        <w:trPr>
          <w:cantSplit w:val="0"/>
          <w:tblHeader w:val="0"/>
        </w:trPr>
        <w:tc>
          <w:tcPr>
            <w:shd w:fill="ffffff" w:val="clear"/>
            <w:tcMar>
              <w:top w:w="60.0" w:type="dxa"/>
              <w:left w:w="120.0" w:type="dxa"/>
              <w:bottom w:w="60.0" w:type="dxa"/>
              <w:right w:w="120.0" w:type="dxa"/>
            </w:tcMar>
            <w:vAlign w:val="center"/>
          </w:tcPr>
          <w:p w:rsidR="00000000" w:rsidDel="00000000" w:rsidP="00000000" w:rsidRDefault="00000000" w:rsidRPr="00000000" w14:paraId="0000003C">
            <w:pPr>
              <w:jc w:val="left"/>
              <w:rPr/>
            </w:pPr>
            <w:r w:rsidDel="00000000" w:rsidR="00000000" w:rsidRPr="00000000">
              <w:rPr>
                <w:b w:val="0"/>
                <w:bCs w:val="0"/>
                <w:i w:val="0"/>
                <w:iCs w:val="0"/>
                <w:color w:val="111827"/>
                <w:sz w:val="17"/>
                <w:szCs w:val="17"/>
                <w:rtl w:val="0"/>
              </w:rPr>
              <w:t xml:space="preserve">Claude Haiku 4.5</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3D">
            <w:pPr>
              <w:jc w:val="center"/>
              <w:rPr/>
            </w:pPr>
            <w:r w:rsidDel="00000000" w:rsidR="00000000" w:rsidRPr="00000000">
              <w:rPr>
                <w:b w:val="0"/>
                <w:bCs w:val="0"/>
                <w:i w:val="0"/>
                <w:iCs w:val="0"/>
                <w:color w:val="111827"/>
                <w:sz w:val="17"/>
                <w:szCs w:val="17"/>
                <w:rtl w:val="0"/>
              </w:rPr>
              <w:t xml:space="preserve">Anthropic</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3E">
            <w:pPr>
              <w:jc w:val="center"/>
              <w:rPr/>
            </w:pPr>
            <w:r w:rsidDel="00000000" w:rsidR="00000000" w:rsidRPr="00000000">
              <w:rPr>
                <w:b w:val="0"/>
                <w:bCs w:val="0"/>
                <w:i w:val="0"/>
                <w:iCs w:val="0"/>
                <w:color w:val="111827"/>
                <w:sz w:val="17"/>
                <w:szCs w:val="17"/>
                <w:rtl w:val="0"/>
              </w:rPr>
              <w:t xml:space="preserve">560</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3F">
            <w:pPr>
              <w:jc w:val="center"/>
              <w:rPr/>
            </w:pPr>
            <w:r w:rsidDel="00000000" w:rsidR="00000000" w:rsidRPr="00000000">
              <w:rPr>
                <w:b w:val="0"/>
                <w:bCs w:val="0"/>
                <w:i w:val="0"/>
                <w:iCs w:val="0"/>
                <w:color w:val="111827"/>
                <w:sz w:val="17"/>
                <w:szCs w:val="17"/>
                <w:rtl w:val="0"/>
              </w:rPr>
              <w:t xml:space="preserve">5</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40">
            <w:pPr>
              <w:jc w:val="center"/>
              <w:rPr/>
            </w:pPr>
            <w:r w:rsidDel="00000000" w:rsidR="00000000" w:rsidRPr="00000000">
              <w:rPr>
                <w:b w:val="0"/>
                <w:bCs w:val="0"/>
                <w:i w:val="0"/>
                <w:iCs w:val="0"/>
                <w:color w:val="111827"/>
                <w:sz w:val="17"/>
                <w:szCs w:val="17"/>
                <w:rtl w:val="0"/>
              </w:rPr>
              <w:t xml:space="preserve">100% (35/35)</w:t>
            </w:r>
            <w:r w:rsidDel="00000000" w:rsidR="00000000" w:rsidRPr="00000000">
              <w:rPr>
                <w:rtl w:val="0"/>
              </w:rPr>
            </w:r>
          </w:p>
        </w:tc>
        <w:tc>
          <w:tcPr>
            <w:shd w:fill="ffffff" w:val="clear"/>
            <w:tcMar>
              <w:top w:w="60.0" w:type="dxa"/>
              <w:left w:w="120.0" w:type="dxa"/>
              <w:bottom w:w="60.0" w:type="dxa"/>
              <w:right w:w="120.0" w:type="dxa"/>
            </w:tcMar>
            <w:vAlign w:val="center"/>
          </w:tcPr>
          <w:p w:rsidR="00000000" w:rsidDel="00000000" w:rsidP="00000000" w:rsidRDefault="00000000" w:rsidRPr="00000000" w14:paraId="00000041">
            <w:pPr>
              <w:jc w:val="center"/>
              <w:rPr/>
            </w:pPr>
            <w:r w:rsidDel="00000000" w:rsidR="00000000" w:rsidRPr="00000000">
              <w:rPr>
                <w:b w:val="0"/>
                <w:bCs w:val="0"/>
                <w:i w:val="0"/>
                <w:iCs w:val="0"/>
                <w:color w:val="111827"/>
                <w:sz w:val="17"/>
                <w:szCs w:val="17"/>
                <w:rtl w:val="0"/>
              </w:rPr>
              <w:t xml:space="preserve">0% (0/18)</w:t>
            </w:r>
            <w:r w:rsidDel="00000000" w:rsidR="00000000" w:rsidRPr="00000000">
              <w:rPr>
                <w:rtl w:val="0"/>
              </w:rPr>
            </w:r>
          </w:p>
        </w:tc>
      </w:tr>
    </w:tbl>
    <w:p w:rsidR="00000000" w:rsidDel="00000000" w:rsidP="00000000" w:rsidRDefault="00000000" w:rsidRPr="00000000" w14:paraId="00000042">
      <w:pPr>
        <w:spacing w:after="0" w:before="40" w:lineRule="auto"/>
        <w:rPr/>
      </w:pPr>
      <w:r w:rsidDel="00000000" w:rsidR="00000000" w:rsidRPr="00000000">
        <w:rPr>
          <w:rtl w:val="0"/>
        </w:rPr>
      </w:r>
    </w:p>
    <w:p w:rsidR="00000000" w:rsidDel="00000000" w:rsidP="00000000" w:rsidRDefault="00000000" w:rsidRPr="00000000" w14:paraId="00000043">
      <w:pPr>
        <w:spacing w:after="40" w:before="40" w:lineRule="auto"/>
        <w:jc w:val="both"/>
        <w:rPr/>
      </w:pPr>
      <w:r w:rsidDel="00000000" w:rsidR="00000000" w:rsidRPr="00000000">
        <w:rPr>
          <w:i w:val="1"/>
          <w:iCs w:val="1"/>
          <w:color w:val="4b5563"/>
          <w:sz w:val="16"/>
          <w:szCs w:val="16"/>
          <w:rtl w:val="0"/>
        </w:rPr>
        <w:t xml:space="preserve">Terra’s Wilson intervals are wider due to 3 repeats versus 5 for Luna and Haiku. Wilson lower bound (cost-esc. TPR): Luna 90.0%, Terra 84.5%, Haiku 91.5%. Wilson upper bound (FPR): Luna 11.4%, Terra 13.8%, Haiku 11.4%.</w:t>
      </w:r>
      <w:r w:rsidDel="00000000" w:rsidR="00000000" w:rsidRPr="00000000">
        <w:rPr>
          <w:rtl w:val="0"/>
        </w:rPr>
      </w:r>
    </w:p>
    <w:p w:rsidR="00000000" w:rsidDel="00000000" w:rsidP="00000000" w:rsidRDefault="00000000" w:rsidRPr="00000000" w14:paraId="00000044">
      <w:pPr>
        <w:pBdr>
          <w:bottom w:color="1d4ed8" w:space="0" w:sz="4" w:val="single"/>
        </w:pBdr>
        <w:spacing w:after="60" w:before="180" w:lineRule="auto"/>
        <w:rPr>
          <w:b w:val="1"/>
          <w:bCs w:val="1"/>
          <w:color w:val="1e293b"/>
          <w:sz w:val="22"/>
          <w:szCs w:val="22"/>
        </w:rPr>
      </w:pPr>
      <w:r w:rsidDel="00000000" w:rsidR="00000000" w:rsidRPr="00000000">
        <w:rPr>
          <w:rtl w:val="0"/>
        </w:rPr>
      </w:r>
    </w:p>
    <w:p w:rsidR="00000000" w:rsidDel="00000000" w:rsidP="00000000" w:rsidRDefault="00000000" w:rsidRPr="00000000" w14:paraId="00000045">
      <w:pPr>
        <w:pBdr>
          <w:bottom w:color="1d4ed8" w:space="0" w:sz="4" w:val="single"/>
        </w:pBdr>
        <w:spacing w:after="60" w:before="180" w:lineRule="auto"/>
        <w:rPr/>
      </w:pPr>
      <w:r w:rsidDel="00000000" w:rsidR="00000000" w:rsidRPr="00000000">
        <w:rPr>
          <w:b w:val="1"/>
          <w:bCs w:val="1"/>
          <w:color w:val="1e293b"/>
          <w:sz w:val="22"/>
          <w:szCs w:val="22"/>
          <w:rtl w:val="0"/>
        </w:rPr>
        <w:t xml:space="preserve">How the Study Was Conducted</w:t>
      </w:r>
      <w:r w:rsidDel="00000000" w:rsidR="00000000" w:rsidRPr="00000000">
        <w:rPr>
          <w:rtl w:val="0"/>
        </w:rPr>
      </w:r>
    </w:p>
    <w:p w:rsidR="00000000" w:rsidDel="00000000" w:rsidP="00000000" w:rsidRDefault="00000000" w:rsidRPr="00000000" w14:paraId="00000046">
      <w:pPr>
        <w:spacing w:after="40" w:before="100" w:lineRule="auto"/>
        <w:rPr>
          <w:sz w:val="21"/>
          <w:szCs w:val="21"/>
        </w:rPr>
      </w:pPr>
      <w:r w:rsidDel="00000000" w:rsidR="00000000" w:rsidRPr="00000000">
        <w:rPr>
          <w:b w:val="1"/>
          <w:bCs w:val="1"/>
          <w:color w:val="1d4ed8"/>
          <w:sz w:val="21"/>
          <w:szCs w:val="21"/>
          <w:rtl w:val="0"/>
        </w:rPr>
        <w:t xml:space="preserve">Two phases, four conditions</w:t>
      </w:r>
      <w:r w:rsidDel="00000000" w:rsidR="00000000" w:rsidRPr="00000000">
        <w:rPr>
          <w:rtl w:val="0"/>
        </w:rPr>
      </w:r>
    </w:p>
    <w:p w:rsidR="00000000" w:rsidDel="00000000" w:rsidP="00000000" w:rsidRDefault="00000000" w:rsidRPr="00000000" w14:paraId="00000047">
      <w:pPr>
        <w:spacing w:after="55" w:before="40" w:lineRule="auto"/>
        <w:jc w:val="both"/>
        <w:rPr>
          <w:sz w:val="21"/>
          <w:szCs w:val="21"/>
        </w:rPr>
      </w:pPr>
      <w:r w:rsidDel="00000000" w:rsidR="00000000" w:rsidRPr="00000000">
        <w:rPr>
          <w:b w:val="0"/>
          <w:bCs w:val="0"/>
          <w:i w:val="0"/>
          <w:iCs w:val="0"/>
          <w:color w:val="111827"/>
          <w:sz w:val="21"/>
          <w:szCs w:val="21"/>
          <w:rtl w:val="0"/>
        </w:rPr>
        <w:t xml:space="preserve">Phase 1 — Pre-spend validation gate: four test suites (80 mock trials, 48 behavioral trials, 54 adversarial trials, 9 batch-cost-fix validation trials) required to pass at full count before any inference budget was committed. This gate caught four findings in Redlynr’s implementation before any live model inference ran.</w:t>
      </w:r>
      <w:r w:rsidDel="00000000" w:rsidR="00000000" w:rsidRPr="00000000">
        <w:rPr>
          <w:rtl w:val="0"/>
        </w:rPr>
      </w:r>
    </w:p>
    <w:p w:rsidR="00000000" w:rsidDel="00000000" w:rsidP="00000000" w:rsidRDefault="00000000" w:rsidRPr="00000000" w14:paraId="00000048">
      <w:pPr>
        <w:spacing w:after="55" w:before="40" w:lineRule="auto"/>
        <w:jc w:val="both"/>
        <w:rPr>
          <w:b w:val="0"/>
          <w:bCs w:val="0"/>
          <w:i w:val="0"/>
          <w:iCs w:val="0"/>
          <w:color w:val="111827"/>
          <w:sz w:val="21"/>
          <w:szCs w:val="21"/>
        </w:rPr>
      </w:pPr>
      <w:r w:rsidDel="00000000" w:rsidR="00000000" w:rsidRPr="00000000">
        <w:rPr>
          <w:b w:val="0"/>
          <w:bCs w:val="0"/>
          <w:i w:val="0"/>
          <w:iCs w:val="0"/>
          <w:color w:val="111827"/>
          <w:sz w:val="21"/>
          <w:szCs w:val="21"/>
          <w:rtl w:val="0"/>
        </w:rPr>
        <w:t xml:space="preserve">Phase 2 — Full pilot runs: 28 scenarios across 10 domains, evaluated under all four conditions against three models and two providers. 1,568 trials total.</w:t>
      </w:r>
    </w:p>
    <w:p w:rsidR="00000000" w:rsidDel="00000000" w:rsidP="00000000" w:rsidRDefault="00000000" w:rsidRPr="00000000" w14:paraId="00000049">
      <w:pPr>
        <w:spacing w:after="55" w:before="40" w:lineRule="auto"/>
        <w:jc w:val="both"/>
        <w:rPr>
          <w:sz w:val="21"/>
          <w:szCs w:val="21"/>
        </w:rPr>
      </w:pPr>
      <w:r w:rsidDel="00000000" w:rsidR="00000000" w:rsidRPr="00000000">
        <w:rPr>
          <w:rtl w:val="0"/>
        </w:rPr>
      </w:r>
    </w:p>
    <w:p w:rsidR="00000000" w:rsidDel="00000000" w:rsidP="00000000" w:rsidRDefault="00000000" w:rsidRPr="00000000" w14:paraId="0000004A">
      <w:pPr>
        <w:spacing w:after="40" w:before="100" w:lineRule="auto"/>
        <w:rPr>
          <w:rFonts w:ascii="Calibri" w:cs="Calibri" w:eastAsia="Calibri" w:hAnsi="Calibri"/>
          <w:b w:val="0"/>
          <w:bCs w:val="0"/>
          <w:i w:val="0"/>
          <w:iCs w:val="0"/>
          <w:smallCaps w:val="0"/>
          <w:strike w:val="0"/>
          <w:color w:val="111827"/>
          <w:sz w:val="21"/>
          <w:szCs w:val="21"/>
          <w:u w:val="none"/>
          <w:shd w:fill="auto" w:val="clear"/>
          <w:vertAlign w:val="baseline"/>
        </w:rPr>
      </w:pPr>
      <w:r w:rsidDel="00000000" w:rsidR="00000000" w:rsidRPr="00000000">
        <w:rPr>
          <w:b w:val="1"/>
          <w:bCs w:val="1"/>
          <w:color w:val="1d4ed8"/>
          <w:sz w:val="21"/>
          <w:szCs w:val="21"/>
          <w:rtl w:val="0"/>
        </w:rPr>
        <w:t xml:space="preserve">Key methodological decisions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1"/>
          <w:szCs w:val="21"/>
        </w:rPr>
      </w:pPr>
      <w:r w:rsidDel="00000000" w:rsidR="00000000" w:rsidRPr="00000000">
        <w:rPr>
          <w:rFonts w:ascii="Calibri" w:cs="Calibri" w:eastAsia="Calibri" w:hAnsi="Calibri"/>
          <w:b w:val="0"/>
          <w:bCs w:val="0"/>
          <w:i w:val="0"/>
          <w:iCs w:val="0"/>
          <w:smallCaps w:val="0"/>
          <w:strike w:val="0"/>
          <w:color w:val="111827"/>
          <w:sz w:val="21"/>
          <w:szCs w:val="21"/>
          <w:u w:val="none"/>
          <w:shd w:fill="auto" w:val="clear"/>
          <w:vertAlign w:val="baseline"/>
          <w:rtl w:val="0"/>
        </w:rPr>
        <w:t xml:space="preserve">Mechanism-first: each guardrail check’s actual trigger condition was confirmed via direct test calls before any inference budget was committed. This prevented two significant harness misdesigns during Phase 1.</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1"/>
          <w:szCs w:val="21"/>
        </w:rPr>
      </w:pPr>
      <w:r w:rsidDel="00000000" w:rsidR="00000000" w:rsidRPr="00000000">
        <w:rPr>
          <w:rFonts w:ascii="Calibri" w:cs="Calibri" w:eastAsia="Calibri" w:hAnsi="Calibri"/>
          <w:b w:val="0"/>
          <w:bCs w:val="0"/>
          <w:i w:val="0"/>
          <w:iCs w:val="0"/>
          <w:smallCaps w:val="0"/>
          <w:strike w:val="0"/>
          <w:color w:val="111827"/>
          <w:sz w:val="21"/>
          <w:szCs w:val="21"/>
          <w:u w:val="none"/>
          <w:shd w:fill="auto" w:val="clear"/>
          <w:vertAlign w:val="baseline"/>
          <w:rtl w:val="0"/>
        </w:rPr>
        <w:t xml:space="preserve">Pre-spend gate: all four test suites required to pass at required counts before Phase 2 began. No exceptions.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1"/>
          <w:szCs w:val="21"/>
        </w:rPr>
      </w:pPr>
      <w:r w:rsidDel="00000000" w:rsidR="00000000" w:rsidRPr="00000000">
        <w:rPr>
          <w:rFonts w:ascii="Calibri" w:cs="Calibri" w:eastAsia="Calibri" w:hAnsi="Calibri"/>
          <w:b w:val="0"/>
          <w:bCs w:val="0"/>
          <w:i w:val="0"/>
          <w:iCs w:val="0"/>
          <w:smallCaps w:val="0"/>
          <w:strike w:val="0"/>
          <w:color w:val="111827"/>
          <w:sz w:val="21"/>
          <w:szCs w:val="21"/>
          <w:u w:val="none"/>
          <w:shd w:fill="auto" w:val="clear"/>
          <w:vertAlign w:val="baseline"/>
          <w:rtl w:val="0"/>
        </w:rPr>
        <w:t xml:space="preserve">Per-tenant isolation: history-dependent checks use Redis state keyed on tenant_id; each trial was assigned a distinct simulated tenant to prevent cross-trial state contamination.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1"/>
          <w:szCs w:val="21"/>
        </w:rPr>
      </w:pPr>
      <w:r w:rsidDel="00000000" w:rsidR="00000000" w:rsidRPr="00000000">
        <w:rPr>
          <w:rFonts w:ascii="Calibri" w:cs="Calibri" w:eastAsia="Calibri" w:hAnsi="Calibri"/>
          <w:b w:val="0"/>
          <w:bCs w:val="0"/>
          <w:i w:val="0"/>
          <w:iCs w:val="0"/>
          <w:smallCaps w:val="0"/>
          <w:strike w:val="0"/>
          <w:color w:val="111827"/>
          <w:sz w:val="21"/>
          <w:szCs w:val="21"/>
          <w:u w:val="none"/>
          <w:shd w:fill="auto" w:val="clear"/>
          <w:vertAlign w:val="baseline"/>
          <w:rtl w:val="0"/>
        </w:rPr>
        <w:t xml:space="preserve">No-overwrite audit trail: every run is retained in the repository under a numbered directory, including amended runs, so the full history is permanently inspectable.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sz w:val="21"/>
          <w:szCs w:val="21"/>
        </w:rPr>
      </w:pPr>
      <w:r w:rsidDel="00000000" w:rsidR="00000000" w:rsidRPr="00000000">
        <w:rPr>
          <w:rFonts w:ascii="Calibri" w:cs="Calibri" w:eastAsia="Calibri" w:hAnsi="Calibri"/>
          <w:b w:val="0"/>
          <w:bCs w:val="0"/>
          <w:i w:val="0"/>
          <w:iCs w:val="0"/>
          <w:smallCaps w:val="0"/>
          <w:strike w:val="0"/>
          <w:color w:val="111827"/>
          <w:sz w:val="21"/>
          <w:szCs w:val="21"/>
          <w:u w:val="none"/>
          <w:shd w:fill="auto" w:val="clear"/>
          <w:vertAlign w:val="baseline"/>
          <w:rtl w:val="0"/>
        </w:rPr>
        <w:t xml:space="preserve">Amendments disclosed: four deviations from the original design (model pivot, scenario expansion, batch-loop break fix, repeat asymmetry) are documented in full in the methodology section of the technical report.</w:t>
      </w:r>
    </w:p>
    <w:p w:rsidR="00000000" w:rsidDel="00000000" w:rsidP="00000000" w:rsidRDefault="00000000" w:rsidRPr="00000000" w14:paraId="00000050">
      <w:pPr>
        <w:pBdr>
          <w:bottom w:color="1d4ed8" w:space="0" w:sz="4" w:val="single"/>
        </w:pBdr>
        <w:spacing w:after="60" w:before="180" w:lineRule="auto"/>
        <w:rPr/>
      </w:pPr>
      <w:r w:rsidDel="00000000" w:rsidR="00000000" w:rsidRPr="00000000">
        <w:rPr>
          <w:b w:val="1"/>
          <w:bCs w:val="1"/>
          <w:color w:val="1e293b"/>
          <w:sz w:val="22"/>
          <w:szCs w:val="22"/>
          <w:rtl w:val="0"/>
        </w:rPr>
        <w:t xml:space="preserve">Study Findings — Four Corrected Before Phase 2</w:t>
      </w:r>
      <w:r w:rsidDel="00000000" w:rsidR="00000000" w:rsidRPr="00000000">
        <w:rPr>
          <w:rtl w:val="0"/>
        </w:rPr>
      </w:r>
    </w:p>
    <w:p w:rsidR="00000000" w:rsidDel="00000000" w:rsidP="00000000" w:rsidRDefault="00000000" w:rsidRPr="00000000" w14:paraId="00000051">
      <w:pPr>
        <w:spacing w:after="55" w:before="40" w:lineRule="auto"/>
        <w:jc w:val="both"/>
        <w:rPr>
          <w:sz w:val="21"/>
          <w:szCs w:val="21"/>
        </w:rPr>
      </w:pPr>
      <w:r w:rsidDel="00000000" w:rsidR="00000000" w:rsidRPr="00000000">
        <w:rPr>
          <w:b w:val="0"/>
          <w:bCs w:val="0"/>
          <w:i w:val="0"/>
          <w:iCs w:val="0"/>
          <w:color w:val="111827"/>
          <w:sz w:val="21"/>
          <w:szCs w:val="21"/>
          <w:rtl w:val="0"/>
        </w:rPr>
        <w:t xml:space="preserve">A secondary goal of this study was to find real defects in Redlynr through mechanism-first, adversarial testing. Four findings were identified and corrected before Phase 2 data collection began.</w:t>
      </w:r>
      <w:r w:rsidDel="00000000" w:rsidR="00000000" w:rsidRPr="00000000">
        <w:rPr>
          <w:rtl w:val="0"/>
        </w:rPr>
      </w:r>
    </w:p>
    <w:p w:rsidR="00000000" w:rsidDel="00000000" w:rsidP="00000000" w:rsidRDefault="00000000" w:rsidRPr="00000000" w14:paraId="00000052">
      <w:pPr>
        <w:spacing w:after="0" w:before="40" w:lineRule="auto"/>
        <w:rPr>
          <w:sz w:val="21"/>
          <w:szCs w:val="21"/>
        </w:rPr>
      </w:pPr>
      <w:r w:rsidDel="00000000" w:rsidR="00000000" w:rsidRPr="00000000">
        <w:rPr>
          <w:rtl w:val="0"/>
        </w:rPr>
      </w:r>
    </w:p>
    <w:p w:rsidR="00000000" w:rsidDel="00000000" w:rsidP="00000000" w:rsidRDefault="00000000" w:rsidRPr="00000000" w14:paraId="00000053">
      <w:pPr>
        <w:spacing w:after="40" w:before="100" w:lineRule="auto"/>
        <w:rPr>
          <w:sz w:val="21"/>
          <w:szCs w:val="21"/>
        </w:rPr>
      </w:pPr>
      <w:r w:rsidDel="00000000" w:rsidR="00000000" w:rsidRPr="00000000">
        <w:rPr>
          <w:b w:val="1"/>
          <w:bCs w:val="1"/>
          <w:color w:val="1d4ed8"/>
          <w:sz w:val="21"/>
          <w:szCs w:val="21"/>
          <w:rtl w:val="0"/>
        </w:rPr>
        <w:t xml:space="preserve">Finding 1: Cost accumulator not committed to Redis on slow_down decisions (corrected)</w:t>
      </w:r>
      <w:r w:rsidDel="00000000" w:rsidR="00000000" w:rsidRPr="00000000">
        <w:rPr>
          <w:rtl w:val="0"/>
        </w:rPr>
      </w:r>
    </w:p>
    <w:p w:rsidR="00000000" w:rsidDel="00000000" w:rsidP="00000000" w:rsidRDefault="00000000" w:rsidRPr="00000000" w14:paraId="00000054">
      <w:pPr>
        <w:spacing w:after="55" w:before="40" w:lineRule="auto"/>
        <w:jc w:val="both"/>
        <w:rPr>
          <w:b w:val="0"/>
          <w:bCs w:val="0"/>
          <w:i w:val="0"/>
          <w:iCs w:val="0"/>
          <w:color w:val="111827"/>
          <w:sz w:val="21"/>
          <w:szCs w:val="21"/>
        </w:rPr>
      </w:pPr>
      <w:r w:rsidDel="00000000" w:rsidR="00000000" w:rsidRPr="00000000">
        <w:rPr>
          <w:b w:val="0"/>
          <w:bCs w:val="0"/>
          <w:i w:val="0"/>
          <w:iCs w:val="0"/>
          <w:color w:val="111827"/>
          <w:sz w:val="21"/>
          <w:szCs w:val="21"/>
          <w:rtl w:val="0"/>
        </w:rPr>
        <w:t xml:space="preserve">When Redlynr issued a slow_down decision, the cost accumulator was not written to Redis — only stop decisions committed it. In chains where slow_down preceded stop, subsequent steps evaluated cost against a stale baseline. Fix: slow_down now commits the accumulator unconditionally. Verified in the batch-cost-fix validation suite (9/9) before Phase 2.</w:t>
      </w:r>
    </w:p>
    <w:p w:rsidR="00000000" w:rsidDel="00000000" w:rsidP="00000000" w:rsidRDefault="00000000" w:rsidRPr="00000000" w14:paraId="00000055">
      <w:pPr>
        <w:spacing w:after="55" w:before="40" w:lineRule="auto"/>
        <w:jc w:val="both"/>
        <w:rPr>
          <w:sz w:val="21"/>
          <w:szCs w:val="21"/>
        </w:rPr>
      </w:pPr>
      <w:r w:rsidDel="00000000" w:rsidR="00000000" w:rsidRPr="00000000">
        <w:rPr>
          <w:rtl w:val="0"/>
        </w:rPr>
      </w:r>
    </w:p>
    <w:p w:rsidR="00000000" w:rsidDel="00000000" w:rsidP="00000000" w:rsidRDefault="00000000" w:rsidRPr="00000000" w14:paraId="00000056">
      <w:pPr>
        <w:spacing w:after="40" w:before="100" w:lineRule="auto"/>
        <w:rPr>
          <w:sz w:val="21"/>
          <w:szCs w:val="21"/>
        </w:rPr>
      </w:pPr>
      <w:r w:rsidDel="00000000" w:rsidR="00000000" w:rsidRPr="00000000">
        <w:rPr>
          <w:b w:val="1"/>
          <w:bCs w:val="1"/>
          <w:color w:val="1d4ed8"/>
          <w:sz w:val="21"/>
          <w:szCs w:val="21"/>
          <w:rtl w:val="0"/>
        </w:rPr>
        <w:t xml:space="preserve">Finding 2: Subagent guardrail stops not propagating to parent loop (corrected)</w:t>
      </w:r>
      <w:r w:rsidDel="00000000" w:rsidR="00000000" w:rsidRPr="00000000">
        <w:rPr>
          <w:rtl w:val="0"/>
        </w:rPr>
      </w:r>
    </w:p>
    <w:p w:rsidR="00000000" w:rsidDel="00000000" w:rsidP="00000000" w:rsidRDefault="00000000" w:rsidRPr="00000000" w14:paraId="00000057">
      <w:pPr>
        <w:spacing w:after="55" w:before="40" w:lineRule="auto"/>
        <w:jc w:val="both"/>
        <w:rPr>
          <w:b w:val="0"/>
          <w:bCs w:val="0"/>
          <w:i w:val="0"/>
          <w:iCs w:val="0"/>
          <w:color w:val="111827"/>
          <w:sz w:val="21"/>
          <w:szCs w:val="21"/>
        </w:rPr>
      </w:pPr>
      <w:r w:rsidDel="00000000" w:rsidR="00000000" w:rsidRPr="00000000">
        <w:rPr>
          <w:b w:val="0"/>
          <w:bCs w:val="0"/>
          <w:i w:val="0"/>
          <w:iCs w:val="0"/>
          <w:color w:val="111827"/>
          <w:sz w:val="21"/>
          <w:szCs w:val="21"/>
          <w:rtl w:val="0"/>
        </w:rPr>
        <w:t xml:space="preserve">A stop issued inside a subagent chain was local to that subagent. The parent orchestrator loop continued as though the subagent had completed normally, allowing total cost across parent and subagents to exceed the intended ceiling. Fix: subagent stops now propagate to the parent loop as a structured terminal event.</w:t>
      </w:r>
    </w:p>
    <w:p w:rsidR="00000000" w:rsidDel="00000000" w:rsidP="00000000" w:rsidRDefault="00000000" w:rsidRPr="00000000" w14:paraId="00000058">
      <w:pPr>
        <w:spacing w:after="55" w:before="40" w:lineRule="auto"/>
        <w:jc w:val="both"/>
        <w:rPr>
          <w:sz w:val="21"/>
          <w:szCs w:val="21"/>
        </w:rPr>
      </w:pPr>
      <w:r w:rsidDel="00000000" w:rsidR="00000000" w:rsidRPr="00000000">
        <w:rPr>
          <w:rtl w:val="0"/>
        </w:rPr>
      </w:r>
    </w:p>
    <w:p w:rsidR="00000000" w:rsidDel="00000000" w:rsidP="00000000" w:rsidRDefault="00000000" w:rsidRPr="00000000" w14:paraId="00000059">
      <w:pPr>
        <w:spacing w:after="40" w:before="100" w:lineRule="auto"/>
        <w:rPr>
          <w:sz w:val="21"/>
          <w:szCs w:val="21"/>
        </w:rPr>
      </w:pPr>
      <w:r w:rsidDel="00000000" w:rsidR="00000000" w:rsidRPr="00000000">
        <w:rPr>
          <w:b w:val="1"/>
          <w:bCs w:val="1"/>
          <w:color w:val="1d4ed8"/>
          <w:sz w:val="21"/>
          <w:szCs w:val="21"/>
          <w:rtl w:val="0"/>
        </w:rPr>
        <w:t xml:space="preserve">Finding 3: Batch-loop harness continued processing after stop (corrected)</w:t>
      </w:r>
      <w:r w:rsidDel="00000000" w:rsidR="00000000" w:rsidRPr="00000000">
        <w:rPr>
          <w:rtl w:val="0"/>
        </w:rPr>
      </w:r>
    </w:p>
    <w:p w:rsidR="00000000" w:rsidDel="00000000" w:rsidP="00000000" w:rsidRDefault="00000000" w:rsidRPr="00000000" w14:paraId="0000005A">
      <w:pPr>
        <w:spacing w:after="55" w:before="40" w:lineRule="auto"/>
        <w:jc w:val="both"/>
        <w:rPr>
          <w:sz w:val="21"/>
          <w:szCs w:val="21"/>
        </w:rPr>
      </w:pPr>
      <w:r w:rsidDel="00000000" w:rsidR="00000000" w:rsidRPr="00000000">
        <w:rPr>
          <w:b w:val="0"/>
          <w:bCs w:val="0"/>
          <w:i w:val="0"/>
          <w:iCs w:val="0"/>
          <w:color w:val="111827"/>
          <w:sz w:val="21"/>
          <w:szCs w:val="21"/>
          <w:rtl w:val="0"/>
        </w:rPr>
        <w:t xml:space="preserve">This is a harness finding, not a product defect. The orchestrator’s batch loop used continue rather than break when a stop was detected on the first item in a parallel tool-call batch. For models that issue multiple tool calls in a single response (GPT-5.6 Luna did this in 38% of incident trials), remaining calls were processed after a stop was already returned. Fix: continue replaced with break. All 1,568 trial records in the final dataset were collected with the corrected harness.</w:t>
      </w:r>
      <w:r w:rsidDel="00000000" w:rsidR="00000000" w:rsidRPr="00000000">
        <w:rPr>
          <w:rtl w:val="0"/>
        </w:rPr>
      </w:r>
    </w:p>
    <w:p w:rsidR="00000000" w:rsidDel="00000000" w:rsidP="00000000" w:rsidRDefault="00000000" w:rsidRPr="00000000" w14:paraId="0000005B">
      <w:pPr>
        <w:spacing w:after="55" w:before="40" w:lineRule="auto"/>
        <w:jc w:val="both"/>
        <w:rPr>
          <w:sz w:val="21"/>
          <w:szCs w:val="21"/>
        </w:rPr>
      </w:pPr>
      <w:r w:rsidDel="00000000" w:rsidR="00000000" w:rsidRPr="00000000">
        <w:rPr>
          <w:rtl w:val="0"/>
        </w:rPr>
      </w:r>
    </w:p>
    <w:p w:rsidR="00000000" w:rsidDel="00000000" w:rsidP="00000000" w:rsidRDefault="00000000" w:rsidRPr="00000000" w14:paraId="0000005C">
      <w:pPr>
        <w:spacing w:after="40" w:before="100" w:lineRule="auto"/>
        <w:rPr>
          <w:sz w:val="21"/>
          <w:szCs w:val="21"/>
        </w:rPr>
      </w:pPr>
      <w:r w:rsidDel="00000000" w:rsidR="00000000" w:rsidRPr="00000000">
        <w:rPr>
          <w:b w:val="1"/>
          <w:bCs w:val="1"/>
          <w:color w:val="1d4ed8"/>
          <w:sz w:val="21"/>
          <w:szCs w:val="21"/>
          <w:rtl w:val="0"/>
        </w:rPr>
        <w:t xml:space="preserve">Finding 4: Cost hard stop evaluated after step_cap_warning in check order (corrected)</w:t>
      </w:r>
      <w:r w:rsidDel="00000000" w:rsidR="00000000" w:rsidRPr="00000000">
        <w:rPr>
          <w:rtl w:val="0"/>
        </w:rPr>
      </w:r>
    </w:p>
    <w:p w:rsidR="00000000" w:rsidDel="00000000" w:rsidP="00000000" w:rsidRDefault="00000000" w:rsidRPr="00000000" w14:paraId="0000005D">
      <w:pPr>
        <w:spacing w:after="55" w:before="40" w:lineRule="auto"/>
        <w:jc w:val="both"/>
        <w:rPr>
          <w:b w:val="0"/>
          <w:bCs w:val="0"/>
          <w:i w:val="0"/>
          <w:iCs w:val="0"/>
          <w:color w:val="111827"/>
          <w:sz w:val="21"/>
          <w:szCs w:val="21"/>
        </w:rPr>
      </w:pPr>
      <w:r w:rsidDel="00000000" w:rsidR="00000000" w:rsidRPr="00000000">
        <w:rPr>
          <w:b w:val="0"/>
          <w:bCs w:val="0"/>
          <w:i w:val="0"/>
          <w:iCs w:val="0"/>
          <w:color w:val="111827"/>
          <w:sz w:val="21"/>
          <w:szCs w:val="21"/>
          <w:rtl w:val="0"/>
        </w:rPr>
        <w:t xml:space="preserve">A chain that had crossed the cost ceiling but not yet the step cap would receive a step_cap_warning rather than a cost hard stop — a lower-severity signal than warranted. Fix: cost hard stop now evaluates first in check order.</w:t>
      </w:r>
    </w:p>
    <w:p w:rsidR="00000000" w:rsidDel="00000000" w:rsidP="00000000" w:rsidRDefault="00000000" w:rsidRPr="00000000" w14:paraId="0000005E">
      <w:pPr>
        <w:spacing w:after="55" w:before="40" w:lineRule="auto"/>
        <w:jc w:val="both"/>
        <w:rPr/>
      </w:pPr>
      <w:r w:rsidDel="00000000" w:rsidR="00000000" w:rsidRPr="00000000">
        <w:rPr>
          <w:rtl w:val="0"/>
        </w:rPr>
      </w:r>
    </w:p>
    <w:p w:rsidR="00000000" w:rsidDel="00000000" w:rsidP="00000000" w:rsidRDefault="00000000" w:rsidRPr="00000000" w14:paraId="0000005F">
      <w:pPr>
        <w:spacing w:after="55" w:before="40" w:lineRule="auto"/>
        <w:jc w:val="both"/>
        <w:rPr/>
      </w:pPr>
      <w:r w:rsidDel="00000000" w:rsidR="00000000" w:rsidRPr="00000000">
        <w:rPr>
          <w:rtl w:val="0"/>
        </w:rPr>
      </w:r>
    </w:p>
    <w:p w:rsidR="00000000" w:rsidDel="00000000" w:rsidP="00000000" w:rsidRDefault="00000000" w:rsidRPr="00000000" w14:paraId="00000060">
      <w:pPr>
        <w:pBdr>
          <w:bottom w:color="1d4ed8" w:space="0" w:sz="4" w:val="single"/>
        </w:pBdr>
        <w:spacing w:after="60" w:before="180" w:lineRule="auto"/>
        <w:rPr/>
      </w:pPr>
      <w:r w:rsidDel="00000000" w:rsidR="00000000" w:rsidRPr="00000000">
        <w:rPr>
          <w:rtl w:val="0"/>
        </w:rPr>
      </w:r>
    </w:p>
    <w:p w:rsidR="00000000" w:rsidDel="00000000" w:rsidP="00000000" w:rsidRDefault="00000000" w:rsidRPr="00000000" w14:paraId="00000061">
      <w:pPr>
        <w:spacing w:after="55" w:before="40" w:lineRule="auto"/>
        <w:jc w:val="both"/>
        <w:rPr>
          <w:b w:val="1"/>
          <w:bCs w:val="1"/>
          <w:sz w:val="21"/>
          <w:szCs w:val="21"/>
        </w:rPr>
      </w:pPr>
      <w:r w:rsidDel="00000000" w:rsidR="00000000" w:rsidRPr="00000000">
        <w:rPr>
          <w:rtl w:val="0"/>
        </w:rPr>
      </w:r>
    </w:p>
    <w:p w:rsidR="00000000" w:rsidDel="00000000" w:rsidP="00000000" w:rsidRDefault="00000000" w:rsidRPr="00000000" w14:paraId="00000062">
      <w:pPr>
        <w:spacing w:after="55" w:before="40" w:lineRule="auto"/>
        <w:jc w:val="both"/>
        <w:rPr>
          <w:b w:val="0"/>
          <w:bCs w:val="0"/>
          <w:i w:val="0"/>
          <w:iCs w:val="0"/>
          <w:color w:val="111827"/>
          <w:sz w:val="21"/>
          <w:szCs w:val="21"/>
        </w:rPr>
      </w:pPr>
      <w:r w:rsidDel="00000000" w:rsidR="00000000" w:rsidRPr="00000000">
        <w:rPr>
          <w:b w:val="1"/>
          <w:bCs w:val="1"/>
          <w:i w:val="0"/>
          <w:iCs w:val="0"/>
          <w:color w:val="111827"/>
          <w:sz w:val="21"/>
          <w:szCs w:val="21"/>
          <w:rtl w:val="0"/>
        </w:rPr>
        <w:t xml:space="preserve">What is validated: </w:t>
      </w:r>
      <w:r w:rsidDel="00000000" w:rsidR="00000000" w:rsidRPr="00000000">
        <w:rPr>
          <w:b w:val="0"/>
          <w:bCs w:val="0"/>
          <w:i w:val="0"/>
          <w:iCs w:val="0"/>
          <w:color w:val="111827"/>
          <w:sz w:val="21"/>
          <w:szCs w:val="21"/>
          <w:rtl w:val="0"/>
        </w:rPr>
        <w:t xml:space="preserve">Redlynr’s cost-escalation guardrail stops cost-escalation incidents and stays quiet on legitimate workloads, across GPT-5.6 Luna, GPT-5.6 Terra, and Claude Haiku 4.5. At N=98 cost-escalation incident trials and N=84 control trials with 95% Wilson intervals, this is a statistically powered result on cost escalation specifically. Loop detection is validated on 14 genuinely stuck incidents (crm_loop_01, 100% catch rate). Retry-storm and other incident types where models self-resolved at 100% are not validated categories in this study.</w:t>
      </w:r>
    </w:p>
    <w:p w:rsidR="00000000" w:rsidDel="00000000" w:rsidP="00000000" w:rsidRDefault="00000000" w:rsidRPr="00000000" w14:paraId="00000063">
      <w:pPr>
        <w:spacing w:after="55" w:before="40" w:lineRule="auto"/>
        <w:jc w:val="both"/>
        <w:rPr>
          <w:sz w:val="21"/>
          <w:szCs w:val="21"/>
        </w:rPr>
      </w:pPr>
      <w:r w:rsidDel="00000000" w:rsidR="00000000" w:rsidRPr="00000000">
        <w:rPr>
          <w:rtl w:val="0"/>
        </w:rPr>
      </w:r>
    </w:p>
    <w:p w:rsidR="00000000" w:rsidDel="00000000" w:rsidP="00000000" w:rsidRDefault="00000000" w:rsidRPr="00000000" w14:paraId="00000064">
      <w:pPr>
        <w:spacing w:after="0" w:before="60" w:lineRule="auto"/>
        <w:rPr/>
      </w:pPr>
      <w:r w:rsidDel="00000000" w:rsidR="00000000" w:rsidRPr="00000000">
        <w:rPr>
          <w:rtl w:val="0"/>
        </w:rPr>
      </w:r>
    </w:p>
    <w:p w:rsidR="00000000" w:rsidDel="00000000" w:rsidP="00000000" w:rsidRDefault="00000000" w:rsidRPr="00000000" w14:paraId="00000065">
      <w:pPr>
        <w:pBdr>
          <w:bottom w:color="cbd5e1" w:space="0" w:sz="6" w:val="single"/>
        </w:pBdr>
        <w:spacing w:after="60" w:before="60" w:lineRule="auto"/>
        <w:rPr/>
      </w:pPr>
      <w:r w:rsidDel="00000000" w:rsidR="00000000" w:rsidRPr="00000000">
        <w:rPr>
          <w:rtl w:val="0"/>
        </w:rPr>
      </w:r>
    </w:p>
    <w:p w:rsidR="00000000" w:rsidDel="00000000" w:rsidP="00000000" w:rsidRDefault="00000000" w:rsidRPr="00000000" w14:paraId="00000066">
      <w:pPr>
        <w:spacing w:after="0" w:before="60" w:lineRule="auto"/>
        <w:rPr/>
      </w:pPr>
      <w:r w:rsidDel="00000000" w:rsidR="00000000" w:rsidRPr="00000000">
        <w:rPr>
          <w:rtl w:val="0"/>
        </w:rPr>
      </w:r>
    </w:p>
    <w:p w:rsidR="00000000" w:rsidDel="00000000" w:rsidP="00000000" w:rsidRDefault="00000000" w:rsidRPr="00000000" w14:paraId="00000067">
      <w:pPr>
        <w:spacing w:after="30" w:before="0" w:lineRule="auto"/>
        <w:jc w:val="center"/>
        <w:rPr/>
      </w:pPr>
      <w:r w:rsidDel="00000000" w:rsidR="00000000" w:rsidRPr="00000000">
        <w:rPr>
          <w:i w:val="1"/>
          <w:iCs w:val="1"/>
          <w:color w:val="4b5563"/>
          <w:sz w:val="17"/>
          <w:szCs w:val="17"/>
          <w:rtl w:val="0"/>
        </w:rPr>
        <w:t xml:space="preserve">Audit trail: all 1,568 trial-level records, harness code, and methodology documentation are publicly available at</w:t>
      </w:r>
      <w:r w:rsidDel="00000000" w:rsidR="00000000" w:rsidRPr="00000000">
        <w:rPr>
          <w:rtl w:val="0"/>
        </w:rPr>
      </w:r>
    </w:p>
    <w:p w:rsidR="00000000" w:rsidDel="00000000" w:rsidP="00000000" w:rsidRDefault="00000000" w:rsidRPr="00000000" w14:paraId="00000068">
      <w:pPr>
        <w:spacing w:after="30" w:before="0" w:lineRule="auto"/>
        <w:jc w:val="center"/>
        <w:rPr/>
      </w:pPr>
      <w:r w:rsidDel="00000000" w:rsidR="00000000" w:rsidRPr="00000000">
        <w:rPr>
          <w:b w:val="1"/>
          <w:bCs w:val="1"/>
          <w:color w:val="1d4ed8"/>
          <w:sz w:val="17"/>
          <w:szCs w:val="17"/>
          <w:rtl w:val="0"/>
        </w:rPr>
        <w:t xml:space="preserve">github.com/HDGForge-Labs/backstop-study-2</w:t>
      </w:r>
      <w:r w:rsidDel="00000000" w:rsidR="00000000" w:rsidRPr="00000000">
        <w:rPr>
          <w:rtl w:val="0"/>
        </w:rPr>
      </w:r>
    </w:p>
    <w:p w:rsidR="00000000" w:rsidDel="00000000" w:rsidP="00000000" w:rsidRDefault="00000000" w:rsidRPr="00000000" w14:paraId="00000069">
      <w:pPr>
        <w:spacing w:after="30" w:before="0" w:lineRule="auto"/>
        <w:jc w:val="center"/>
        <w:rPr/>
      </w:pPr>
      <w:r w:rsidDel="00000000" w:rsidR="00000000" w:rsidRPr="00000000">
        <w:rPr>
          <w:i w:val="1"/>
          <w:iCs w:val="1"/>
          <w:color w:val="4b5563"/>
          <w:sz w:val="17"/>
          <w:szCs w:val="17"/>
          <w:rtl w:val="0"/>
        </w:rPr>
        <w:t xml:space="preserve">Reports: github.com/HDGForge-Labs/backstop-study-2/tree/main/reports</w:t>
      </w:r>
      <w:r w:rsidDel="00000000" w:rsidR="00000000" w:rsidRPr="00000000">
        <w:rPr>
          <w:rtl w:val="0"/>
        </w:rPr>
      </w:r>
    </w:p>
    <w:p w:rsidR="00000000" w:rsidDel="00000000" w:rsidP="00000000" w:rsidRDefault="00000000" w:rsidRPr="00000000" w14:paraId="0000006A">
      <w:pPr>
        <w:spacing w:after="0" w:before="0" w:lineRule="auto"/>
        <w:jc w:val="center"/>
        <w:rPr/>
      </w:pPr>
      <w:r w:rsidDel="00000000" w:rsidR="00000000" w:rsidRPr="00000000">
        <w:rPr>
          <w:color w:val="4b5563"/>
          <w:sz w:val="17"/>
          <w:szCs w:val="17"/>
          <w:rtl w:val="0"/>
        </w:rPr>
        <w:t xml:space="preserve">Redlynr is available at redlynr.com · HDGForge Labs, an HD Gregory LLC company · 2026</w:t>
      </w:r>
      <w:r w:rsidDel="00000000" w:rsidR="00000000" w:rsidRPr="00000000">
        <w:rPr>
          <w:rtl w:val="0"/>
        </w:rPr>
      </w:r>
    </w:p>
    <w:sectPr>
      <w:head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bottom w:color="cbd5e1" w:space="0" w:sz="4" w:val="single"/>
      </w:pBdr>
      <w:spacing w:after="60" w:before="0" w:lineRule="auto"/>
      <w:jc w:val="left"/>
      <w:rPr/>
    </w:pPr>
    <w:r w:rsidDel="00000000" w:rsidR="00000000" w:rsidRPr="00000000">
      <w:rPr>
        <w:color w:val="9ca3af"/>
        <w:sz w:val="15"/>
        <w:szCs w:val="15"/>
        <w:rtl w:val="0"/>
      </w:rPr>
      <w:t xml:space="preserve">HDGForge Labs, an HD Gregory LLC company — Backstop Study 2.0 Executive Summary — 2026   Page </w:t>
    </w:r>
    <w:r w:rsidDel="00000000" w:rsidR="00000000" w:rsidRPr="00000000">
      <w:rPr>
        <w:color w:val="9ca3af"/>
        <w:sz w:val="15"/>
        <w:szCs w:val="15"/>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827"/>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1182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B+H0CvSc/Or8IvLgEWerPH1OQ==">CgMxLjA4AHIhMWxzaTdTbFdLRUUxV1FBdl84TE5JUDVVNXFPeW1nVnp4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2026-08-10T23:51:27.267Z</dcterms:created>
  <dc:creator>Un-named</dc:creator>
</cp:coreProperties>
</file>

<file path=docProps/custom.xml><?xml version="1.0" encoding="utf-8"?>
<Properties xmlns="http://schemas.openxmlformats.org/officeDocument/2006/custom-properties" xmlns:vt="http://schemas.openxmlformats.org/officeDocument/2006/docPropsVTypes"/>
</file>