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{{site_visit_phrase}}</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{{schedule_notes}}</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pPr>
        <w:ind w:left="0" w:start="0"/>
      </w:pPr>
      <w:r>
        <w:rPr>
          <w:noProof/>
          <w:b w:val="0"/>
          <w:bCs w:val="0"/>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r>
                              <w:t xml:space="preserve">{{#tax_breakout}}</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{{/tax_breakout}}</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r>
                              <w:t xml:space="preserve">{{/tax_breakout}}</w:t>
                            </w:r>
                          </w:p>
                          <w:p>
                            <w:r>
                              <w:t xml:space="preserve">{{#has_options}}</w:t>
                            </w: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r>
                              <w:t xml:space="preserve">{{/has_options}}</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Polished Concrete Flooring as described above {{base_tax_phrase}}</w:t>
                      </w:r>
                    </w:p>
                    <w:p>
                      <w:r>
                        <w:t xml:space="preserve">{{#tax_breakout}}</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
                    <w:p>
                      <w:r>
                        <w:t xml:space="preserve">{{/tax_breakout}}</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r>
                        <w:t xml:space="preserve">{{/tax_breakout}}</w:t>
                      </w:r>
                    </w:p>
                    <w:p>
                      <w:r>
                        <w:t xml:space="preserve">{{#has_options}}</w:t>
                      </w: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r>
                        <w:t xml:space="preserve">{{/has_options}}</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