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F4E79"/>
          <w:sz w:val="52"/>
          <w:szCs w:val="52"/>
        </w:rPr>
        <w:t xml:space="preserve">Baltic States Climate Risk Analysis</w:t>
      </w:r>
    </w:p>
    <w:p>
      <w:pPr>
        <w:spacing w:after="600"/>
        <w:jc w:val="center"/>
      </w:pPr>
      <w:r>
        <w:rPr>
          <w:rFonts w:ascii="Arial" w:cs="Arial" w:eastAsia="Arial" w:hAnsi="Arial"/>
          <w:b w:val="false"/>
          <w:bCs w:val="false"/>
          <w:color w:val="2E75B6"/>
          <w:sz w:val="40"/>
          <w:szCs w:val="40"/>
        </w:rPr>
        <w:t xml:space="preserve">PoC Project Plan</w:t>
      </w:r>
    </w:p>
    <w:p>
      <w:pPr>
        <w:pBdr>
          <w:bottom w:val="single" w:color="2E75B6" w:sz="10" w:space="1"/>
        </w:pBdr>
        <w:spacing w:after="600"/>
        <w:jc w:val="center"/>
      </w:pPr>
    </w:p>
    <w:p>
      <w:pPr>
        <w:spacing w:after="200"/>
        <w:jc w:val="center"/>
      </w:pPr>
      <w:r>
        <w:rPr>
          <w:rFonts w:ascii="Arial" w:cs="Arial" w:eastAsia="Arial" w:hAnsi="Arial"/>
          <w:color w:val="555555"/>
          <w:sz w:val="28"/>
          <w:szCs w:val="28"/>
        </w:rPr>
        <w:t xml:space="preserve">Proof of Concept</w:t>
      </w:r>
    </w:p>
    <w:p>
      <w:pPr>
        <w:spacing w:after="200"/>
        <w:jc w:val="center"/>
      </w:pPr>
      <w:r>
        <w:rPr>
          <w:rFonts w:ascii="Arial" w:cs="Arial" w:eastAsia="Arial" w:hAnsi="Arial"/>
          <w:color w:val="555555"/>
          <w:sz w:val="24"/>
          <w:szCs w:val="24"/>
        </w:rPr>
        <w:t xml:space="preserve">April 2026</w:t>
      </w:r>
    </w:p>
    <w:p>
      <w:pPr>
        <w:spacing w:before="1800"/>
      </w:pPr>
    </w:p>
    <w:p>
      <w:pPr>
        <w:jc w:val="center"/>
      </w:pPr>
      <w:r>
        <w:rPr>
          <w:rFonts w:ascii="Arial" w:cs="Arial" w:eastAsia="Arial" w:hAnsi="Arial"/>
          <w:b/>
          <w:bCs/>
          <w:color w:val="2E75B6"/>
          <w:sz w:val="22"/>
          <w:szCs w:val="22"/>
        </w:rPr>
        <w:t xml:space="preserve">Status: Draft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Executive Summary</w:t>
      </w:r>
    </w:p>
    <w:p>
      <w:pPr>
        <w:pBdr>
          <w:bottom w:val="single" w:color="2E75B6" w:sz="6" w:space="1"/>
        </w:pBdr>
        <w:spacing w:after="200"/>
      </w:pPr>
    </w:p>
    <w:p>
      <w:pPr>
        <w:spacing w:after="140" w:line="276"/>
      </w:pPr>
      <w:r>
        <w:rPr>
          <w:rFonts w:ascii="Arial" w:cs="Arial" w:eastAsia="Arial" w:hAnsi="Arial"/>
          <w:b w:val="false"/>
          <w:bCs w:val="false"/>
          <w:color w:val="000000"/>
          <w:sz w:val="22"/>
          <w:szCs w:val="22"/>
        </w:rPr>
        <w:t xml:space="preserve">This document describes the Proof of Concept (PoC) project plan for a climate risk analysis solution covering the Baltic States — Estonia, Latvia, and Lithuania. The project aims to deliver a high-resolution, user-facing tool for querying climate risk metrics under both current and future climate scenarios.</w:t>
      </w:r>
    </w:p>
    <w:p>
      <w:pPr>
        <w:spacing w:after="140" w:line="276"/>
      </w:pPr>
      <w:r>
        <w:rPr>
          <w:rFonts w:ascii="Arial" w:cs="Arial" w:eastAsia="Arial" w:hAnsi="Arial"/>
          <w:b w:val="false"/>
          <w:bCs w:val="false"/>
          <w:color w:val="000000"/>
          <w:sz w:val="22"/>
          <w:szCs w:val="22"/>
        </w:rPr>
        <w:t xml:space="preserve">The solution will leverage openly available climate datasets from the Copernicus Climate Data Store (CDS): ERA5-Land for the current reference period (1991–2020) and EURO-CORDEX regional climate model data for future projections up to 2100. All software and data will be open-source and freely accessible, ensuring no proprietary data licensing costs.</w:t>
      </w:r>
    </w:p>
    <w:p>
      <w:pPr>
        <w:spacing w:after="140" w:line="276"/>
      </w:pPr>
      <w:r>
        <w:rPr>
          <w:rFonts w:ascii="Arial" w:cs="Arial" w:eastAsia="Arial" w:hAnsi="Arial"/>
          <w:b w:val="false"/>
          <w:bCs w:val="false"/>
          <w:color w:val="000000"/>
          <w:sz w:val="22"/>
          <w:szCs w:val="22"/>
        </w:rPr>
        <w:t xml:space="preserve">Key deliverables of the PoC include:</w:t>
      </w:r>
    </w:p>
    <w:p>
      <w:pPr>
        <w:pStyle w:val="ListParagraph"/>
        <w:numPr>
          <w:ilvl w:val="0"/>
          <w:numId w:val="2"/>
        </w:numPr>
        <w:spacing w:after="80"/>
      </w:pPr>
      <w:r>
        <w:rPr>
          <w:rFonts w:ascii="Arial" w:cs="Arial" w:eastAsia="Arial" w:hAnsi="Arial"/>
          <w:sz w:val="22"/>
          <w:szCs w:val="22"/>
        </w:rPr>
        <w:t xml:space="preserve">A data acquisition and processing pipeline (Python) that downloads, processes, and optionally caches climate data.</w:t>
      </w:r>
    </w:p>
    <w:p>
      <w:pPr>
        <w:pStyle w:val="ListParagraph"/>
        <w:numPr>
          <w:ilvl w:val="0"/>
          <w:numId w:val="2"/>
        </w:numPr>
        <w:spacing w:after="80"/>
      </w:pPr>
      <w:r>
        <w:rPr>
          <w:rFonts w:ascii="Arial" w:cs="Arial" w:eastAsia="Arial" w:hAnsi="Arial"/>
          <w:sz w:val="22"/>
          <w:szCs w:val="22"/>
        </w:rPr>
        <w:t xml:space="preserve">Pre-computed climate risk metrics (e.g., extreme heat days, frost days, drought days, extreme precipitation days) for the Baltic States at spatial resolutions of ~9 km (ERA5-Land) and ~12.5 km (EURO-CORDEX EUR-11).</w:t>
      </w:r>
    </w:p>
    <w:p>
      <w:pPr>
        <w:pStyle w:val="ListParagraph"/>
        <w:numPr>
          <w:ilvl w:val="0"/>
          <w:numId w:val="2"/>
        </w:numPr>
        <w:spacing w:after="80"/>
      </w:pPr>
      <w:r>
        <w:rPr>
          <w:rFonts w:ascii="Arial" w:cs="Arial" w:eastAsia="Arial" w:hAnsi="Arial"/>
          <w:sz w:val="22"/>
          <w:szCs w:val="22"/>
        </w:rPr>
        <w:t xml:space="preserve">An interactive user-facing interface — recommended as a web dashboard (e.g., Streamlit) rather than an Excel extension — allowing location-based queries by place name or coordinates.</w:t>
      </w:r>
    </w:p>
    <w:p>
      <w:pPr>
        <w:pStyle w:val="ListParagraph"/>
        <w:numPr>
          <w:ilvl w:val="0"/>
          <w:numId w:val="2"/>
        </w:numPr>
        <w:spacing w:after="80"/>
      </w:pPr>
      <w:r>
        <w:rPr>
          <w:rFonts w:ascii="Arial" w:cs="Arial" w:eastAsia="Arial" w:hAnsi="Arial"/>
          <w:sz w:val="22"/>
          <w:szCs w:val="22"/>
        </w:rPr>
        <w:t xml:space="preserve">Scenario comparisons for at least two IPCC emissions pathways (SSP2-4.5 and SSP5-8.5) and multiple time horizons (1991–2020 reference, 2031–2060 near-term, 2071–2100 long-term).</w:t>
      </w:r>
    </w:p>
    <w:p>
      <w:pPr>
        <w:spacing w:after="200"/>
      </w:pPr>
    </w:p>
    <w:p>
      <w:r>
        <w:br w:type="page"/>
      </w:r>
    </w:p>
    <w:p>
      <w:pPr>
        <w:pStyle w:val="Heading1"/>
        <w:spacing w:after="200" w:before="360"/>
      </w:pPr>
      <w:r>
        <w:rPr>
          <w:rFonts w:ascii="Arial" w:cs="Arial" w:eastAsia="Arial" w:hAnsi="Arial"/>
          <w:b/>
          <w:bCs/>
          <w:color w:val="1F4E79"/>
          <w:sz w:val="32"/>
          <w:szCs w:val="32"/>
        </w:rPr>
        <w:t xml:space="preserve">2. Project Scope &amp; Objectives</w:t>
      </w:r>
    </w:p>
    <w:p>
      <w:pPr>
        <w:pBdr>
          <w:bottom w:val="single" w:color="2E75B6" w:sz="6" w:space="1"/>
        </w:pBdr>
        <w:spacing w:after="200"/>
      </w:pPr>
    </w:p>
    <w:p>
      <w:pPr>
        <w:pStyle w:val="Heading2"/>
        <w:spacing w:after="140" w:before="280"/>
      </w:pPr>
      <w:r>
        <w:rPr>
          <w:rFonts w:ascii="Arial" w:cs="Arial" w:eastAsia="Arial" w:hAnsi="Arial"/>
          <w:b/>
          <w:bCs/>
          <w:color w:val="2E75B6"/>
          <w:sz w:val="26"/>
          <w:szCs w:val="26"/>
        </w:rPr>
        <w:t xml:space="preserve">2.1 Background and Motivation</w:t>
      </w:r>
    </w:p>
    <w:p>
      <w:pPr>
        <w:spacing w:after="140" w:line="276"/>
      </w:pPr>
      <w:r>
        <w:rPr>
          <w:rFonts w:ascii="Arial" w:cs="Arial" w:eastAsia="Arial" w:hAnsi="Arial"/>
          <w:b w:val="false"/>
          <w:bCs w:val="false"/>
          <w:color w:val="000000"/>
          <w:sz w:val="22"/>
          <w:szCs w:val="22"/>
        </w:rPr>
        <w:t xml:space="preserve">Climate change poses increasing risks across Europe, including the Baltic States. Decision-makers in urban planning, agriculture, infrastructure, and insurance need quantified, spatially resolved estimates of climate hazard indicators both for the current climate and for future decades. Existing tools such as the Copernicus Climate Atlas provide broad European overviews but lack the spatial granularity needed for local decision support.</w:t>
      </w:r>
    </w:p>
    <w:p>
      <w:pPr>
        <w:spacing w:after="140" w:line="276"/>
      </w:pPr>
      <w:r>
        <w:rPr>
          <w:rFonts w:ascii="Arial" w:cs="Arial" w:eastAsia="Arial" w:hAnsi="Arial"/>
          <w:b w:val="false"/>
          <w:bCs w:val="false"/>
          <w:color w:val="000000"/>
          <w:sz w:val="22"/>
          <w:szCs w:val="22"/>
        </w:rPr>
        <w:t xml:space="preserve">This PoC project bridges that gap by building a higher-resolution, Baltic-focused analysis pipeline and user interface, using only open-access data and open-source software.</w:t>
      </w:r>
    </w:p>
    <w:p>
      <w:pPr>
        <w:pStyle w:val="Heading2"/>
        <w:spacing w:after="140" w:before="280"/>
      </w:pPr>
      <w:r>
        <w:rPr>
          <w:rFonts w:ascii="Arial" w:cs="Arial" w:eastAsia="Arial" w:hAnsi="Arial"/>
          <w:b/>
          <w:bCs/>
          <w:color w:val="2E75B6"/>
          <w:sz w:val="26"/>
          <w:szCs w:val="26"/>
        </w:rPr>
        <w:t xml:space="preserve">2.2 Objectives</w:t>
      </w:r>
    </w:p>
    <w:p>
      <w:pPr>
        <w:pStyle w:val="ListParagraph"/>
        <w:numPr>
          <w:ilvl w:val="0"/>
          <w:numId w:val="2"/>
        </w:numPr>
        <w:spacing w:after="80"/>
      </w:pPr>
      <w:r>
        <w:rPr>
          <w:rFonts w:ascii="Arial" w:cs="Arial" w:eastAsia="Arial" w:hAnsi="Arial"/>
          <w:sz w:val="22"/>
          <w:szCs w:val="22"/>
        </w:rPr>
        <w:t xml:space="preserve">Implement an automated pipeline to download ERA5-Land and EURO-CORDEX data via the CDS API.</w:t>
      </w:r>
    </w:p>
    <w:p>
      <w:pPr>
        <w:pStyle w:val="ListParagraph"/>
        <w:numPr>
          <w:ilvl w:val="0"/>
          <w:numId w:val="2"/>
        </w:numPr>
        <w:spacing w:after="80"/>
      </w:pPr>
      <w:r>
        <w:rPr>
          <w:rFonts w:ascii="Arial" w:cs="Arial" w:eastAsia="Arial" w:hAnsi="Arial"/>
          <w:sz w:val="22"/>
          <w:szCs w:val="22"/>
        </w:rPr>
        <w:t xml:space="preserve">Compute a set of agreed climate risk metrics from daily temperature and precipitation data.</w:t>
      </w:r>
    </w:p>
    <w:p>
      <w:pPr>
        <w:pStyle w:val="ListParagraph"/>
        <w:numPr>
          <w:ilvl w:val="0"/>
          <w:numId w:val="2"/>
        </w:numPr>
        <w:spacing w:after="80"/>
      </w:pPr>
      <w:r>
        <w:rPr>
          <w:rFonts w:ascii="Arial" w:cs="Arial" w:eastAsia="Arial" w:hAnsi="Arial"/>
          <w:sz w:val="22"/>
          <w:szCs w:val="22"/>
        </w:rPr>
        <w:t xml:space="preserve">Store or generate results at the grid-point level with sufficient spatial resolution for local queries.</w:t>
      </w:r>
    </w:p>
    <w:p>
      <w:pPr>
        <w:pStyle w:val="ListParagraph"/>
        <w:numPr>
          <w:ilvl w:val="0"/>
          <w:numId w:val="2"/>
        </w:numPr>
        <w:spacing w:after="80"/>
      </w:pPr>
      <w:r>
        <w:rPr>
          <w:rFonts w:ascii="Arial" w:cs="Arial" w:eastAsia="Arial" w:hAnsi="Arial"/>
          <w:sz w:val="22"/>
          <w:szCs w:val="22"/>
        </w:rPr>
        <w:t xml:space="preserve">Deliver a user-friendly interface supporting location queries (by name or coordinates) and risk metric selection.</w:t>
      </w:r>
    </w:p>
    <w:p>
      <w:pPr>
        <w:pStyle w:val="ListParagraph"/>
        <w:numPr>
          <w:ilvl w:val="0"/>
          <w:numId w:val="2"/>
        </w:numPr>
        <w:spacing w:after="80"/>
      </w:pPr>
      <w:r>
        <w:rPr>
          <w:rFonts w:ascii="Arial" w:cs="Arial" w:eastAsia="Arial" w:hAnsi="Arial"/>
          <w:sz w:val="22"/>
          <w:szCs w:val="22"/>
        </w:rPr>
        <w:t xml:space="preserve">Provide climate statistics for two future scenarios and three time periods.</w:t>
      </w:r>
    </w:p>
    <w:p>
      <w:pPr>
        <w:pStyle w:val="ListParagraph"/>
        <w:numPr>
          <w:ilvl w:val="0"/>
          <w:numId w:val="2"/>
        </w:numPr>
        <w:spacing w:after="80"/>
      </w:pPr>
      <w:r>
        <w:rPr>
          <w:rFonts w:ascii="Arial" w:cs="Arial" w:eastAsia="Arial" w:hAnsi="Arial"/>
          <w:sz w:val="22"/>
          <w:szCs w:val="22"/>
        </w:rPr>
        <w:t xml:space="preserve">Apply data quality controls and ensure pipeline idempotency.</w:t>
      </w:r>
    </w:p>
    <w:p>
      <w:pPr>
        <w:pStyle w:val="Heading2"/>
        <w:spacing w:after="140" w:before="280"/>
      </w:pPr>
      <w:r>
        <w:rPr>
          <w:rFonts w:ascii="Arial" w:cs="Arial" w:eastAsia="Arial" w:hAnsi="Arial"/>
          <w:b/>
          <w:bCs/>
          <w:color w:val="2E75B6"/>
          <w:sz w:val="26"/>
          <w:szCs w:val="26"/>
        </w:rPr>
        <w:t xml:space="preserve">2.3 Scope Constraints</w:t>
      </w:r>
    </w:p>
    <w:p>
      <w:pPr>
        <w:pStyle w:val="ListParagraph"/>
        <w:numPr>
          <w:ilvl w:val="0"/>
          <w:numId w:val="2"/>
        </w:numPr>
        <w:spacing w:after="80"/>
      </w:pPr>
      <w:r>
        <w:rPr>
          <w:rFonts w:ascii="Arial" w:cs="Arial" w:eastAsia="Arial" w:hAnsi="Arial"/>
          <w:sz w:val="22"/>
          <w:szCs w:val="22"/>
        </w:rPr>
        <w:t xml:space="preserve">Geographic scope: Estonia, Latvia, Lithuania (bounding box approximately 53.9°N–59.7°N, 20.9°E–28.2°E).</w:t>
      </w:r>
    </w:p>
    <w:p>
      <w:pPr>
        <w:pStyle w:val="ListParagraph"/>
        <w:numPr>
          <w:ilvl w:val="0"/>
          <w:numId w:val="2"/>
        </w:numPr>
        <w:spacing w:after="80"/>
      </w:pPr>
      <w:r>
        <w:rPr>
          <w:rFonts w:ascii="Arial" w:cs="Arial" w:eastAsia="Arial" w:hAnsi="Arial"/>
          <w:sz w:val="22"/>
          <w:szCs w:val="22"/>
        </w:rPr>
        <w:t xml:space="preserve">PoC granularity: time aggregations at 5–10 year steps or three canonical periods (reference, 2031–2060, 2071–2100). Daily resolution is used internally for metric computation but not necessarily exposed to the user.</w:t>
      </w:r>
    </w:p>
    <w:p>
      <w:pPr>
        <w:pStyle w:val="ListParagraph"/>
        <w:numPr>
          <w:ilvl w:val="0"/>
          <w:numId w:val="2"/>
        </w:numPr>
        <w:spacing w:after="80"/>
      </w:pPr>
      <w:r>
        <w:rPr>
          <w:rFonts w:ascii="Arial" w:cs="Arial" w:eastAsia="Arial" w:hAnsi="Arial"/>
          <w:sz w:val="22"/>
          <w:szCs w:val="22"/>
        </w:rPr>
        <w:t xml:space="preserve">User base: fewer than 10 concurrent users in the PoC phase.</w:t>
      </w:r>
    </w:p>
    <w:p>
      <w:pPr>
        <w:pStyle w:val="ListParagraph"/>
        <w:numPr>
          <w:ilvl w:val="0"/>
          <w:numId w:val="2"/>
        </w:numPr>
        <w:spacing w:after="80"/>
      </w:pPr>
      <w:r>
        <w:rPr>
          <w:rFonts w:ascii="Arial" w:cs="Arial" w:eastAsia="Arial" w:hAnsi="Arial"/>
          <w:sz w:val="22"/>
          <w:szCs w:val="22"/>
        </w:rPr>
        <w:t xml:space="preserve">Technology constraint: all data and software must be open-access/open-source. Microsoft Office (Excel) is permitted if chosen as the UI, but alternatives are to be evaluated.</w:t>
      </w:r>
    </w:p>
    <w:p>
      <w:pPr>
        <w:spacing w:after="200"/>
      </w:pPr>
    </w:p>
    <w:p>
      <w:r>
        <w:br w:type="page"/>
      </w:r>
    </w:p>
    <w:p>
      <w:pPr>
        <w:pStyle w:val="Heading1"/>
        <w:spacing w:after="200" w:before="360"/>
      </w:pPr>
      <w:r>
        <w:rPr>
          <w:rFonts w:ascii="Arial" w:cs="Arial" w:eastAsia="Arial" w:hAnsi="Arial"/>
          <w:b/>
          <w:bCs/>
          <w:color w:val="1F4E79"/>
          <w:sz w:val="32"/>
          <w:szCs w:val="32"/>
        </w:rPr>
        <w:t xml:space="preserve">3. Data Sources</w:t>
      </w:r>
    </w:p>
    <w:p>
      <w:pPr>
        <w:pBdr>
          <w:bottom w:val="single" w:color="2E75B6" w:sz="6" w:space="1"/>
        </w:pBdr>
        <w:spacing w:after="200"/>
      </w:pPr>
    </w:p>
    <w:p>
      <w:pPr>
        <w:pStyle w:val="Heading2"/>
        <w:spacing w:after="140" w:before="280"/>
      </w:pPr>
      <w:r>
        <w:rPr>
          <w:rFonts w:ascii="Arial" w:cs="Arial" w:eastAsia="Arial" w:hAnsi="Arial"/>
          <w:b/>
          <w:bCs/>
          <w:color w:val="2E75B6"/>
          <w:sz w:val="26"/>
          <w:szCs w:val="26"/>
        </w:rPr>
        <w:t xml:space="preserve">3.1 Current Climate — ERA5-Land</w:t>
      </w:r>
    </w:p>
    <w:p>
      <w:pPr>
        <w:spacing w:after="140" w:line="276"/>
      </w:pPr>
      <w:r>
        <w:rPr>
          <w:rFonts w:ascii="Arial" w:cs="Arial" w:eastAsia="Arial" w:hAnsi="Arial"/>
          <w:b w:val="false"/>
          <w:bCs w:val="false"/>
          <w:color w:val="000000"/>
          <w:sz w:val="22"/>
          <w:szCs w:val="22"/>
        </w:rPr>
        <w:t xml:space="preserve">ERA5-Land is the land component of the ECMWF ERA5 global reanalysis, produced by Copernicus Climate Change Service (C3S).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Provider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ECMWF / Copernicus C3S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Spatial resolution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 km (0.1° × 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Temporal coverage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1950 – present (near real-time)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Reference period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1991–2020 (recommended WMO normal)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Key variables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2m max temperature (TX), 2m min temperature (TN), total precipitation (TP)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Additional vars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10m wind speed, soil moisture, snow depth — available if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NetCDF, GRIB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Copernicus Climate Data Store (CDS) via cdsapi Python package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License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Copernicus licence (free, open, attribution required)</w:t>
            </w:r>
          </w:p>
        </w:tc>
      </w:tr>
    </w:tbl>
    <w:p>
      <w:pPr>
        <w:spacing w:after="200"/>
      </w:pPr>
    </w:p>
    <w:p>
      <w:pPr>
        <w:spacing w:after="140" w:line="276"/>
      </w:pPr>
      <w:r>
        <w:rPr>
          <w:rFonts w:ascii="Arial" w:cs="Arial" w:eastAsia="Arial" w:hAnsi="Arial"/>
          <w:b w:val="false"/>
          <w:bCs w:val="false"/>
          <w:color w:val="000000"/>
          <w:sz w:val="22"/>
          <w:szCs w:val="22"/>
        </w:rPr>
        <w:t xml:space="preserve">ERA5-Land provides the most reliable gridded observational-quality data for deriving current-climate baseline metrics. For the Baltic States the grid contains approximately 3,700 land points.</w:t>
      </w:r>
    </w:p>
    <w:p>
      <w:pPr>
        <w:pStyle w:val="Heading2"/>
        <w:spacing w:after="140" w:before="280"/>
      </w:pPr>
      <w:r>
        <w:rPr>
          <w:rFonts w:ascii="Arial" w:cs="Arial" w:eastAsia="Arial" w:hAnsi="Arial"/>
          <w:b/>
          <w:bCs/>
          <w:color w:val="2E75B6"/>
          <w:sz w:val="26"/>
          <w:szCs w:val="26"/>
        </w:rPr>
        <w:t xml:space="preserve">3.2 Future Projections — EURO-CORDEX</w:t>
      </w:r>
    </w:p>
    <w:p>
      <w:pPr>
        <w:spacing w:after="140" w:line="276"/>
      </w:pPr>
      <w:r>
        <w:rPr>
          <w:rFonts w:ascii="Arial" w:cs="Arial" w:eastAsia="Arial" w:hAnsi="Arial"/>
          <w:b w:val="false"/>
          <w:bCs w:val="false"/>
          <w:color w:val="000000"/>
          <w:sz w:val="22"/>
          <w:szCs w:val="22"/>
        </w:rPr>
        <w:t xml:space="preserve">EURO-CORDEX is the European branch of the CORDEX initiative, providing dynamically downscaled regional climate model (RCM) simulations driven by global CMIP5/CMIP6 models.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Provider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modelling centres (SMHI, KNMI, DMI, etc.) via Copernicus CDS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EUR-11 (Europe at ~12.5 km resolution) — preferred for this project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Also available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EUR-44 (~50 km) if storage or compute is constrained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Scenarios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RCP4.5 / SSP2-4.5 (moderate), RCP8.5 / SSP5-8.5 (high emissions)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Time periods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Historical 1971–2005, near-future 2006–2060, far-future 2061–2100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Key variables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TX, TN, precipitation (pr) — sufficient for most risk metrics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Ensemble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GCM–RCM combinations available; recommend selecting 3–5 models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NetCDF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Access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CDS via cdsapi; also available from ESGF (Earth System Grid Federation)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License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Copernicus licence / individual model licences (all open)</w:t>
            </w:r>
          </w:p>
        </w:tc>
      </w:tr>
    </w:tbl>
    <w:p>
      <w:pPr>
        <w:spacing w:after="200"/>
      </w:pPr>
    </w:p>
    <w:p>
      <w:pPr>
        <w:spacing w:after="140" w:line="276"/>
      </w:pPr>
      <w:r>
        <w:rPr>
          <w:rFonts w:ascii="Arial" w:cs="Arial" w:eastAsia="Arial" w:hAnsi="Arial"/>
          <w:b w:val="false"/>
          <w:bCs w:val="false"/>
          <w:color w:val="000000"/>
          <w:sz w:val="22"/>
          <w:szCs w:val="22"/>
        </w:rPr>
        <w:t xml:space="preserve">For the PoC it is recommended to use EUR-11 resolution and select at least two GCM–RCM chains (e.g., one driven by MPI-ESM and one by EC-Earth) to provide a basic uncertainty range. A median or ensemble mean can be presented as the default.</w:t>
      </w:r>
    </w:p>
    <w:p>
      <w:pPr>
        <w:pStyle w:val="Heading2"/>
        <w:spacing w:after="140" w:before="280"/>
      </w:pPr>
      <w:r>
        <w:rPr>
          <w:rFonts w:ascii="Arial" w:cs="Arial" w:eastAsia="Arial" w:hAnsi="Arial"/>
          <w:b/>
          <w:bCs/>
          <w:color w:val="2E75B6"/>
          <w:sz w:val="26"/>
          <w:szCs w:val="26"/>
        </w:rPr>
        <w:t xml:space="preserve">3.3 Supporting Spatial Data</w:t>
      </w:r>
    </w:p>
    <w:p>
      <w:pPr>
        <w:spacing w:after="140" w:line="276"/>
      </w:pPr>
      <w:r>
        <w:rPr>
          <w:rFonts w:ascii="Arial" w:cs="Arial" w:eastAsia="Arial" w:hAnsi="Arial"/>
          <w:b w:val="false"/>
          <w:bCs w:val="false"/>
          <w:color w:val="000000"/>
          <w:sz w:val="22"/>
          <w:szCs w:val="22"/>
        </w:rPr>
        <w:t xml:space="preserve">Administrative boundaries and basemaps will use exclusively open data:</w:t>
      </w:r>
    </w:p>
    <w:p>
      <w:pPr>
        <w:pStyle w:val="ListParagraph"/>
        <w:numPr>
          <w:ilvl w:val="0"/>
          <w:numId w:val="2"/>
        </w:numPr>
        <w:spacing w:after="80"/>
      </w:pPr>
      <w:r>
        <w:rPr>
          <w:rFonts w:ascii="Arial" w:cs="Arial" w:eastAsia="Arial" w:hAnsi="Arial"/>
          <w:sz w:val="22"/>
          <w:szCs w:val="22"/>
        </w:rPr>
        <w:t xml:space="preserve">GADM (Global Administrative Areas) — country, county, and municipality polygons for Estonia, Latvia, and Lithuania.</w:t>
      </w:r>
    </w:p>
    <w:p>
      <w:pPr>
        <w:pStyle w:val="ListParagraph"/>
        <w:numPr>
          <w:ilvl w:val="0"/>
          <w:numId w:val="2"/>
        </w:numPr>
        <w:spacing w:after="80"/>
      </w:pPr>
      <w:r>
        <w:rPr>
          <w:rFonts w:ascii="Arial" w:cs="Arial" w:eastAsia="Arial" w:hAnsi="Arial"/>
          <w:sz w:val="22"/>
          <w:szCs w:val="22"/>
        </w:rPr>
        <w:t xml:space="preserve">OpenStreetMap (via Nominatim API) — for geocoding place names to coordinates.</w:t>
      </w:r>
    </w:p>
    <w:p>
      <w:pPr>
        <w:pStyle w:val="ListParagraph"/>
        <w:numPr>
          <w:ilvl w:val="0"/>
          <w:numId w:val="2"/>
        </w:numPr>
        <w:spacing w:after="80"/>
      </w:pPr>
      <w:r>
        <w:rPr>
          <w:rFonts w:ascii="Arial" w:cs="Arial" w:eastAsia="Arial" w:hAnsi="Arial"/>
          <w:sz w:val="22"/>
          <w:szCs w:val="22"/>
        </w:rPr>
        <w:t xml:space="preserve">ETRS89 / LAEA projection (EPSG:3035) recommended for spatial analysis in the Baltic region; WGS84 (EPSG:4326) for user-facing coordinate input.</w:t>
      </w:r>
    </w:p>
    <w:p>
      <w:pPr>
        <w:spacing w:after="200"/>
      </w:pPr>
    </w:p>
    <w:p>
      <w:r>
        <w:br w:type="page"/>
      </w:r>
    </w:p>
    <w:p>
      <w:pPr>
        <w:pStyle w:val="Heading1"/>
        <w:spacing w:after="200" w:before="360"/>
      </w:pPr>
      <w:r>
        <w:rPr>
          <w:rFonts w:ascii="Arial" w:cs="Arial" w:eastAsia="Arial" w:hAnsi="Arial"/>
          <w:b/>
          <w:bCs/>
          <w:color w:val="1F4E79"/>
          <w:sz w:val="32"/>
          <w:szCs w:val="32"/>
        </w:rPr>
        <w:t xml:space="preserve">4. Climate Risk Metrics</w:t>
      </w:r>
    </w:p>
    <w:p>
      <w:pPr>
        <w:pBdr>
          <w:bottom w:val="single" w:color="2E75B6" w:sz="6" w:space="1"/>
        </w:pBdr>
        <w:spacing w:after="200"/>
      </w:pPr>
    </w:p>
    <w:p>
      <w:pPr>
        <w:spacing w:after="140" w:line="276"/>
      </w:pPr>
      <w:r>
        <w:rPr>
          <w:rFonts w:ascii="Arial" w:cs="Arial" w:eastAsia="Arial" w:hAnsi="Arial"/>
          <w:b w:val="false"/>
          <w:bCs w:val="false"/>
          <w:color w:val="000000"/>
          <w:sz w:val="22"/>
          <w:szCs w:val="22"/>
        </w:rPr>
        <w:t xml:space="preserve">All metrics will be derived from daily TX (maximum 2-metre temperature), TN (minimum 2-metre temperature), and TP (total precipitation). The following set is proposed for the PoC; the list can be extended after validation with the climate consultant agent.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1800"/>
        <w:gridCol w:w="13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Variable</w:t>
            </w:r>
          </w:p>
        </w:tc>
        <w:tc>
          <w:tcPr>
            <w:tcW w:type="dxa" w:w="1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heat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per year with TX &gt; 30 °C (or 35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 heat, health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Tropical nights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Nights per year with TN &gt; 20 °C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 cooling demand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Frost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per year with TN &lt; 0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Agriculture, infrastructure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frost days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Days per year with TN &lt; −10 °C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 energy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Ice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per year with TX &lt; 0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energy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Heating degree days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 of (18 °C − Tmean) for days with Tmean &lt; 18 °C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TX + TN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 consumption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Cooling degree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(Tmean − 22 °C) for days with Tmean &gt; 22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 + TN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consumption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Extreme precip days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Days per year with TP &gt; 20 mm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TP</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Flooding, drainage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precip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per year with TP &gt; 10 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Agriculture, flooding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Consecutive dry days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run of days with TP &lt; 1 mm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TP</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Drought, agriculture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Drought severity index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SPI-based indicator (3-month timescale)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resources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Growing season length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Days between last spring frost and first autumn frost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Agriculture</w:t>
            </w:r>
          </w:p>
        </w:tc>
      </w:tr>
    </w:tbl>
    <w:p>
      <w:pPr>
        <w:spacing w:after="200"/>
      </w:pPr>
    </w:p>
    <w:p>
      <w:pPr>
        <w:spacing w:after="140" w:line="276"/>
      </w:pPr>
      <w:r>
        <w:rPr>
          <w:rFonts w:ascii="Arial" w:cs="Arial" w:eastAsia="Arial" w:hAnsi="Arial"/>
          <w:b w:val="false"/>
          <w:bCs w:val="false"/>
          <w:color w:val="000000"/>
          <w:sz w:val="22"/>
          <w:szCs w:val="22"/>
        </w:rPr>
        <w:t xml:space="preserve">Threshold values (e.g., 30 °C vs 35 °C for extreme heat) should be validated by the climate consultant agent against ETCCDI (Expert Team on Climate Change Detection and Indices) standards and any relevant national guidelines for Estonia, Latvia, and Lithuania.</w:t>
      </w:r>
    </w:p>
    <w:p>
      <w:pPr>
        <w:spacing w:after="200"/>
      </w:pPr>
    </w:p>
    <w:p>
      <w:r>
        <w:br w:type="page"/>
      </w:r>
    </w:p>
    <w:p>
      <w:pPr>
        <w:pStyle w:val="Heading1"/>
        <w:spacing w:after="200" w:before="360"/>
      </w:pPr>
      <w:r>
        <w:rPr>
          <w:rFonts w:ascii="Arial" w:cs="Arial" w:eastAsia="Arial" w:hAnsi="Arial"/>
          <w:b/>
          <w:bCs/>
          <w:color w:val="1F4E79"/>
          <w:sz w:val="32"/>
          <w:szCs w:val="32"/>
        </w:rPr>
        <w:t xml:space="preserve">5. System Architecture</w:t>
      </w:r>
    </w:p>
    <w:p>
      <w:pPr>
        <w:pBdr>
          <w:bottom w:val="single" w:color="2E75B6" w:sz="6" w:space="1"/>
        </w:pBdr>
        <w:spacing w:after="200"/>
      </w:pPr>
    </w:p>
    <w:p>
      <w:pPr>
        <w:pStyle w:val="Heading2"/>
        <w:spacing w:after="140" w:before="280"/>
      </w:pPr>
      <w:r>
        <w:rPr>
          <w:rFonts w:ascii="Arial" w:cs="Arial" w:eastAsia="Arial" w:hAnsi="Arial"/>
          <w:b/>
          <w:bCs/>
          <w:color w:val="2E75B6"/>
          <w:sz w:val="26"/>
          <w:szCs w:val="26"/>
        </w:rPr>
        <w:t xml:space="preserve">5.1 High-Level Architecture</w:t>
      </w:r>
    </w:p>
    <w:p>
      <w:pPr>
        <w:spacing w:after="140" w:line="276"/>
      </w:pPr>
      <w:r>
        <w:rPr>
          <w:rFonts w:ascii="Arial" w:cs="Arial" w:eastAsia="Arial" w:hAnsi="Arial"/>
          <w:b w:val="false"/>
          <w:bCs w:val="false"/>
          <w:color w:val="000000"/>
          <w:sz w:val="22"/>
          <w:szCs w:val="22"/>
        </w:rPr>
        <w:t xml:space="preserve">The solution is structured as a three-layer pipeline:</w:t>
      </w:r>
    </w:p>
    <w:p>
      <w:pPr>
        <w:spacing w:after="80"/>
      </w:pPr>
    </w:p>
    <w:p>
      <w:pPr>
        <w:pStyle w:val="ListParagraph"/>
        <w:numPr>
          <w:ilvl w:val="0"/>
          <w:numId w:val="2"/>
        </w:numPr>
        <w:spacing w:after="80"/>
      </w:pPr>
      <w:r>
        <w:rPr>
          <w:rFonts w:ascii="Arial" w:cs="Arial" w:eastAsia="Arial" w:hAnsi="Arial"/>
          <w:sz w:val="22"/>
          <w:szCs w:val="22"/>
        </w:rPr>
        <w:t xml:space="preserve">Layer 1 — Data Acquisition: CDS API downloads → raw NetCDF files stored locally or in a designated data directory.</w:t>
      </w:r>
    </w:p>
    <w:p>
      <w:pPr>
        <w:pStyle w:val="ListParagraph"/>
        <w:numPr>
          <w:ilvl w:val="0"/>
          <w:numId w:val="2"/>
        </w:numPr>
        <w:spacing w:after="80"/>
      </w:pPr>
      <w:r>
        <w:rPr>
          <w:rFonts w:ascii="Arial" w:cs="Arial" w:eastAsia="Arial" w:hAnsi="Arial"/>
          <w:sz w:val="22"/>
          <w:szCs w:val="22"/>
        </w:rPr>
        <w:t xml:space="preserve">Layer 2 — Processing &amp; Metric Computation: Python scripts transform raw climate data into annual (or decadal) metric summaries at grid-point level, stored as lightweight Parquet or NetCDF files.</w:t>
      </w:r>
    </w:p>
    <w:p>
      <w:pPr>
        <w:pStyle w:val="ListParagraph"/>
        <w:numPr>
          <w:ilvl w:val="0"/>
          <w:numId w:val="2"/>
        </w:numPr>
        <w:spacing w:after="80"/>
      </w:pPr>
      <w:r>
        <w:rPr>
          <w:rFonts w:ascii="Arial" w:cs="Arial" w:eastAsia="Arial" w:hAnsi="Arial"/>
          <w:sz w:val="22"/>
          <w:szCs w:val="22"/>
        </w:rPr>
        <w:t xml:space="preserve">Layer 3 — User Interface: A web dashboard (Streamlit recommended) reads pre-processed metric files, accepts user location input, and returns time-series charts and summary tables.</w:t>
      </w:r>
    </w:p>
    <w:p>
      <w:pPr>
        <w:spacing w:after="160"/>
      </w:pPr>
    </w:p>
    <w:p>
      <w:pPr>
        <w:spacing w:after="140" w:line="276"/>
      </w:pPr>
      <w:r>
        <w:rPr>
          <w:rFonts w:ascii="Arial" w:cs="Arial" w:eastAsia="Arial" w:hAnsi="Arial"/>
          <w:b w:val="false"/>
          <w:bCs w:val="false"/>
          <w:color w:val="000000"/>
          <w:sz w:val="22"/>
          <w:szCs w:val="22"/>
        </w:rPr>
        <w:t xml:space="preserve">This architecture separates the computationally heavy data processing (Layer 2) from the interactive query layer (Layer 3), enabling fast response times for &lt;10 users without running full analysis on every request.</w:t>
      </w:r>
    </w:p>
    <w:p>
      <w:pPr>
        <w:pStyle w:val="Heading2"/>
        <w:spacing w:after="140" w:before="280"/>
      </w:pPr>
      <w:r>
        <w:rPr>
          <w:rFonts w:ascii="Arial" w:cs="Arial" w:eastAsia="Arial" w:hAnsi="Arial"/>
          <w:b/>
          <w:bCs/>
          <w:color w:val="2E75B6"/>
          <w:sz w:val="26"/>
          <w:szCs w:val="26"/>
        </w:rPr>
        <w:t xml:space="preserve">5.2 Storage Layer Analysis</w:t>
      </w:r>
    </w:p>
    <w:p>
      <w:pPr>
        <w:pStyle w:val="Heading3"/>
        <w:spacing w:after="100" w:before="200"/>
      </w:pPr>
      <w:r>
        <w:rPr>
          <w:rFonts w:ascii="Arial" w:cs="Arial" w:eastAsia="Arial" w:hAnsi="Arial"/>
          <w:b/>
          <w:bCs/>
          <w:color w:val="1F4E79"/>
          <w:sz w:val="24"/>
          <w:szCs w:val="24"/>
        </w:rPr>
        <w:t xml:space="preserve">5.2.1 Raw Data Volume</w:t>
      </w:r>
    </w:p>
    <w:p>
      <w:pPr>
        <w:spacing w:after="140" w:line="276"/>
      </w:pPr>
      <w:r>
        <w:rPr>
          <w:rFonts w:ascii="Arial" w:cs="Arial" w:eastAsia="Arial" w:hAnsi="Arial"/>
          <w:b w:val="false"/>
          <w:bCs w:val="false"/>
          <w:color w:val="000000"/>
          <w:sz w:val="22"/>
          <w:szCs w:val="22"/>
        </w:rPr>
        <w:t xml:space="preserve">Raw ERA5-Land data for the Baltic States reference period (1991–2020):</w:t>
      </w:r>
    </w:p>
    <w:p>
      <w:pPr>
        <w:pStyle w:val="ListParagraph"/>
        <w:numPr>
          <w:ilvl w:val="0"/>
          <w:numId w:val="2"/>
        </w:numPr>
        <w:spacing w:after="80"/>
      </w:pPr>
      <w:r>
        <w:rPr>
          <w:rFonts w:ascii="Arial" w:cs="Arial" w:eastAsia="Arial" w:hAnsi="Arial"/>
          <w:sz w:val="22"/>
          <w:szCs w:val="22"/>
        </w:rPr>
        <w:t xml:space="preserve">Grid points (land only, ~9 km): approximately 3,700 points.</w:t>
      </w:r>
    </w:p>
    <w:p>
      <w:pPr>
        <w:pStyle w:val="ListParagraph"/>
        <w:numPr>
          <w:ilvl w:val="0"/>
          <w:numId w:val="2"/>
        </w:numPr>
        <w:spacing w:after="80"/>
      </w:pPr>
      <w:r>
        <w:rPr>
          <w:rFonts w:ascii="Arial" w:cs="Arial" w:eastAsia="Arial" w:hAnsi="Arial"/>
          <w:sz w:val="22"/>
          <w:szCs w:val="22"/>
        </w:rPr>
        <w:t xml:space="preserve">Variables: TX, TN, TP = 3 variables.</w:t>
      </w:r>
    </w:p>
    <w:p>
      <w:pPr>
        <w:pStyle w:val="ListParagraph"/>
        <w:numPr>
          <w:ilvl w:val="0"/>
          <w:numId w:val="2"/>
        </w:numPr>
        <w:spacing w:after="80"/>
      </w:pPr>
      <w:r>
        <w:rPr>
          <w:rFonts w:ascii="Arial" w:cs="Arial" w:eastAsia="Arial" w:hAnsi="Arial"/>
          <w:sz w:val="22"/>
          <w:szCs w:val="22"/>
        </w:rPr>
        <w:t xml:space="preserve">Days: 30 years × 365.25 ≈ 10,958 days.</w:t>
      </w:r>
    </w:p>
    <w:p>
      <w:pPr>
        <w:pStyle w:val="ListParagraph"/>
        <w:numPr>
          <w:ilvl w:val="0"/>
          <w:numId w:val="2"/>
        </w:numPr>
        <w:spacing w:after="80"/>
      </w:pPr>
      <w:r>
        <w:rPr>
          <w:rFonts w:ascii="Arial" w:cs="Arial" w:eastAsia="Arial" w:hAnsi="Arial"/>
          <w:sz w:val="22"/>
          <w:szCs w:val="22"/>
        </w:rPr>
        <w:t xml:space="preserve">Storage: 3,700 × 3 × 10,958 × 4 bytes ≈ 490 MB raw float32; compressed NetCDF ≈ 50–100 MB.</w:t>
      </w:r>
    </w:p>
    <w:p>
      <w:pPr>
        <w:spacing w:after="100"/>
      </w:pPr>
    </w:p>
    <w:p>
      <w:pPr>
        <w:spacing w:after="140" w:line="276"/>
      </w:pPr>
      <w:r>
        <w:rPr>
          <w:rFonts w:ascii="Arial" w:cs="Arial" w:eastAsia="Arial" w:hAnsi="Arial"/>
          <w:b w:val="false"/>
          <w:bCs w:val="false"/>
          <w:color w:val="000000"/>
          <w:sz w:val="22"/>
          <w:szCs w:val="22"/>
        </w:rPr>
        <w:t xml:space="preserve">Raw EURO-CORDEX EUR-11 data for the Baltic States (two scenarios, two future periods):</w:t>
      </w:r>
    </w:p>
    <w:p>
      <w:pPr>
        <w:pStyle w:val="ListParagraph"/>
        <w:numPr>
          <w:ilvl w:val="0"/>
          <w:numId w:val="2"/>
        </w:numPr>
        <w:spacing w:after="80"/>
      </w:pPr>
      <w:r>
        <w:rPr>
          <w:rFonts w:ascii="Arial" w:cs="Arial" w:eastAsia="Arial" w:hAnsi="Arial"/>
          <w:sz w:val="22"/>
          <w:szCs w:val="22"/>
        </w:rPr>
        <w:t xml:space="preserve">Grid points (~12.5 km): approximately 2,000 points.</w:t>
      </w:r>
    </w:p>
    <w:p>
      <w:pPr>
        <w:pStyle w:val="ListParagraph"/>
        <w:numPr>
          <w:ilvl w:val="0"/>
          <w:numId w:val="2"/>
        </w:numPr>
        <w:spacing w:after="80"/>
      </w:pPr>
      <w:r>
        <w:rPr>
          <w:rFonts w:ascii="Arial" w:cs="Arial" w:eastAsia="Arial" w:hAnsi="Arial"/>
          <w:sz w:val="22"/>
          <w:szCs w:val="22"/>
        </w:rPr>
        <w:t xml:space="preserve">Scenarios × periods: 2 scenarios × 2 periods × ~10,950 days each ≈ 43,800 day-rows per variable.</w:t>
      </w:r>
    </w:p>
    <w:p>
      <w:pPr>
        <w:pStyle w:val="ListParagraph"/>
        <w:numPr>
          <w:ilvl w:val="0"/>
          <w:numId w:val="2"/>
        </w:numPr>
        <w:spacing w:after="80"/>
      </w:pPr>
      <w:r>
        <w:rPr>
          <w:rFonts w:ascii="Arial" w:cs="Arial" w:eastAsia="Arial" w:hAnsi="Arial"/>
          <w:sz w:val="22"/>
          <w:szCs w:val="22"/>
        </w:rPr>
        <w:t xml:space="preserve">Storage per model: 2,000 × 3 × 43,800 × 4 bytes ≈ 1.0 GB raw; compressed ≈ 100–200 MB per GCM–RCM chain.</w:t>
      </w:r>
    </w:p>
    <w:p>
      <w:pPr>
        <w:pStyle w:val="ListParagraph"/>
        <w:numPr>
          <w:ilvl w:val="0"/>
          <w:numId w:val="2"/>
        </w:numPr>
        <w:spacing w:after="80"/>
      </w:pPr>
      <w:r>
        <w:rPr>
          <w:rFonts w:ascii="Arial" w:cs="Arial" w:eastAsia="Arial" w:hAnsi="Arial"/>
          <w:sz w:val="22"/>
          <w:szCs w:val="22"/>
        </w:rPr>
        <w:t xml:space="preserve">For 4 ensemble members: approximately 400–800 MB compressed.</w:t>
      </w:r>
    </w:p>
    <w:p>
      <w:pPr>
        <w:spacing w:after="100"/>
      </w:pPr>
    </w:p>
    <w:p>
      <w:pPr>
        <w:spacing w:after="140" w:line="276"/>
      </w:pPr>
      <w:r>
        <w:rPr>
          <w:rFonts w:ascii="Arial" w:cs="Arial" w:eastAsia="Arial" w:hAnsi="Arial"/>
          <w:b w:val="false"/>
          <w:bCs w:val="false"/>
          <w:color w:val="000000"/>
          <w:sz w:val="22"/>
          <w:szCs w:val="22"/>
        </w:rPr>
        <w:t xml:space="preserve">Total raw data budget: approximately 500 MB – 1 GB, well within reasonable storage limits.</w:t>
      </w:r>
    </w:p>
    <w:p>
      <w:pPr>
        <w:pStyle w:val="Heading3"/>
        <w:spacing w:after="100" w:before="200"/>
      </w:pPr>
      <w:r>
        <w:rPr>
          <w:rFonts w:ascii="Arial" w:cs="Arial" w:eastAsia="Arial" w:hAnsi="Arial"/>
          <w:b/>
          <w:bCs/>
          <w:color w:val="1F4E79"/>
          <w:sz w:val="24"/>
          <w:szCs w:val="24"/>
        </w:rPr>
        <w:t xml:space="preserve">5.2.2 Processed / Pre-Computed Metric Storage</w:t>
      </w:r>
    </w:p>
    <w:p>
      <w:pPr>
        <w:spacing w:after="140" w:line="276"/>
      </w:pPr>
      <w:r>
        <w:rPr>
          <w:rFonts w:ascii="Arial" w:cs="Arial" w:eastAsia="Arial" w:hAnsi="Arial"/>
          <w:b w:val="false"/>
          <w:bCs w:val="false"/>
          <w:color w:val="000000"/>
          <w:sz w:val="22"/>
          <w:szCs w:val="22"/>
        </w:rPr>
        <w:t xml:space="preserve">If daily data is processed to annual metric summaries and stored as Parquet:</w:t>
      </w:r>
    </w:p>
    <w:p>
      <w:pPr>
        <w:pStyle w:val="ListParagraph"/>
        <w:numPr>
          <w:ilvl w:val="0"/>
          <w:numId w:val="2"/>
        </w:numPr>
        <w:spacing w:after="80"/>
      </w:pPr>
      <w:r>
        <w:rPr>
          <w:rFonts w:ascii="Arial" w:cs="Arial" w:eastAsia="Arial" w:hAnsi="Arial"/>
          <w:sz w:val="22"/>
          <w:szCs w:val="22"/>
        </w:rPr>
        <w:t xml:space="preserve">ERA5-Land: 3,700 points × 12 metrics × 30 years = 1.3 M rows × ~5 columns ≈ 25 MB.</w:t>
      </w:r>
    </w:p>
    <w:p>
      <w:pPr>
        <w:pStyle w:val="ListParagraph"/>
        <w:numPr>
          <w:ilvl w:val="0"/>
          <w:numId w:val="2"/>
        </w:numPr>
        <w:spacing w:after="80"/>
      </w:pPr>
      <w:r>
        <w:rPr>
          <w:rFonts w:ascii="Arial" w:cs="Arial" w:eastAsia="Arial" w:hAnsi="Arial"/>
          <w:sz w:val="22"/>
          <w:szCs w:val="22"/>
        </w:rPr>
        <w:t xml:space="preserve">CORDEX (4 models, 2 scenarios, 2 periods, annual): 2,000 × 12 × 4 × 4 × 30 ≈ 11.5 M rows ≈ 200 MB.</w:t>
      </w:r>
    </w:p>
    <w:p>
      <w:pPr>
        <w:spacing w:after="140" w:line="276"/>
      </w:pPr>
      <w:r>
        <w:rPr>
          <w:rFonts w:ascii="Arial" w:cs="Arial" w:eastAsia="Arial" w:hAnsi="Arial"/>
          <w:b w:val="false"/>
          <w:bCs w:val="false"/>
          <w:color w:val="000000"/>
          <w:sz w:val="22"/>
          <w:szCs w:val="22"/>
        </w:rPr>
        <w:t xml:space="preserve">Pre-computing annual metrics and caching as Parquet is strongly recommended. This reduces query response time to milliseconds and eliminates repeated computation.</w:t>
      </w:r>
    </w:p>
    <w:p>
      <w:pPr>
        <w:pStyle w:val="Heading3"/>
        <w:spacing w:after="100" w:before="200"/>
      </w:pPr>
      <w:r>
        <w:rPr>
          <w:rFonts w:ascii="Arial" w:cs="Arial" w:eastAsia="Arial" w:hAnsi="Arial"/>
          <w:b/>
          <w:bCs/>
          <w:color w:val="1F4E79"/>
          <w:sz w:val="24"/>
          <w:szCs w:val="24"/>
        </w:rPr>
        <w:t xml:space="preserve">5.2.3 Recommendation</w:t>
      </w:r>
    </w:p>
    <w:p>
      <w:pPr>
        <w:spacing w:after="140" w:line="276"/>
      </w:pPr>
      <w:r>
        <w:rPr>
          <w:rFonts w:ascii="Arial" w:cs="Arial" w:eastAsia="Arial" w:hAnsi="Arial"/>
          <w:b w:val="false"/>
          <w:bCs w:val="false"/>
          <w:color w:val="000000"/>
          <w:sz w:val="22"/>
          <w:szCs w:val="22"/>
        </w:rPr>
        <w:t xml:space="preserve">A lightweight local storage layer (Parquet files organised by variable and period) is recommended. A full database (PostgreSQL, SQLite) is not necessary for the PoC with &lt;10 users. This decision can be revisited if the user base grows or if near-real-time data ingestion is required.</w:t>
      </w:r>
    </w:p>
    <w:p>
      <w:pPr>
        <w:pStyle w:val="Heading2"/>
        <w:spacing w:after="140" w:before="280"/>
      </w:pPr>
      <w:r>
        <w:rPr>
          <w:rFonts w:ascii="Arial" w:cs="Arial" w:eastAsia="Arial" w:hAnsi="Arial"/>
          <w:b/>
          <w:bCs/>
          <w:color w:val="2E75B6"/>
          <w:sz w:val="26"/>
          <w:szCs w:val="26"/>
        </w:rPr>
        <w:t xml:space="preserve">5.3 User Interface Options</w:t>
      </w:r>
    </w:p>
    <w:p>
      <w:pPr>
        <w:spacing w:after="140" w:line="276"/>
      </w:pPr>
      <w:r>
        <w:rPr>
          <w:rFonts w:ascii="Arial" w:cs="Arial" w:eastAsia="Arial" w:hAnsi="Arial"/>
          <w:b w:val="false"/>
          <w:bCs w:val="false"/>
          <w:color w:val="000000"/>
          <w:sz w:val="22"/>
          <w:szCs w:val="22"/>
        </w:rPr>
        <w:t xml:space="preserve">Two UI options are evaluated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Web Dashboard (Streamlit)</w:t>
            </w:r>
          </w:p>
        </w:tc>
        <w:tc>
          <w:tcPr>
            <w:tcW w:type="dxa" w:w="31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Excel Extension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effort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pure Python, no frontend expertise needed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requires VBA or Office.js, COM interop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Interactivity</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native chart widgets, map layers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limited to Excel charting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Map-based input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(Folium/Leaflet integration)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local, Docker, or cloud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Office installed on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 Python ecosystem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 Office version dependencies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 use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Python environment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Office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Sharing results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link or PDF export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file distribution</w:t>
            </w:r>
          </w:p>
        </w:tc>
      </w:tr>
    </w:tbl>
    <w:p>
      <w:pPr>
        <w:spacing w:after="160"/>
      </w:pPr>
    </w:p>
    <w:p>
      <w:pPr>
        <w:spacing w:after="140" w:line="276"/>
      </w:pPr>
      <w:r>
        <w:rPr>
          <w:rFonts w:ascii="Arial" w:cs="Arial" w:eastAsia="Arial" w:hAnsi="Arial"/>
          <w:b w:val="false"/>
          <w:bCs w:val="false"/>
          <w:color w:val="000000"/>
          <w:sz w:val="22"/>
          <w:szCs w:val="22"/>
        </w:rPr>
        <w:t xml:space="preserve">Recommendation: Begin the PoC with a Streamlit dashboard. This allows rapid iteration, interactive map-based location selection, and easy chart customisation. If the final customer requirement is specifically Excel, Streamlit outputs can be exported to Excel using openpyxl or xlsxwriter as a secondary deliverable. Google Looker Studio (formerly Data Studio) is another option but requires Google account integration and is less suitable for local/offline deployment.</w:t>
      </w:r>
    </w:p>
    <w:p>
      <w:pPr>
        <w:pStyle w:val="Heading2"/>
        <w:spacing w:after="140" w:before="280"/>
      </w:pPr>
      <w:r>
        <w:rPr>
          <w:rFonts w:ascii="Arial" w:cs="Arial" w:eastAsia="Arial" w:hAnsi="Arial"/>
          <w:b/>
          <w:bCs/>
          <w:color w:val="2E75B6"/>
          <w:sz w:val="26"/>
          <w:szCs w:val="26"/>
        </w:rPr>
        <w:t xml:space="preserve">5.4 Location Query Approach</w:t>
      </w:r>
    </w:p>
    <w:p>
      <w:pPr>
        <w:spacing w:after="140" w:line="276"/>
      </w:pPr>
      <w:r>
        <w:rPr>
          <w:rFonts w:ascii="Arial" w:cs="Arial" w:eastAsia="Arial" w:hAnsi="Arial"/>
          <w:b w:val="false"/>
          <w:bCs w:val="false"/>
          <w:color w:val="000000"/>
          <w:sz w:val="22"/>
          <w:szCs w:val="22"/>
        </w:rPr>
        <w:t xml:space="preserve">Two input methods will be supported:</w:t>
      </w:r>
    </w:p>
    <w:p>
      <w:pPr>
        <w:pStyle w:val="ListParagraph"/>
        <w:numPr>
          <w:ilvl w:val="0"/>
          <w:numId w:val="2"/>
        </w:numPr>
        <w:spacing w:after="80"/>
      </w:pPr>
      <w:r>
        <w:rPr>
          <w:rFonts w:ascii="Arial" w:cs="Arial" w:eastAsia="Arial" w:hAnsi="Arial"/>
          <w:sz w:val="22"/>
          <w:szCs w:val="22"/>
        </w:rPr>
        <w:t xml:space="preserve">Named location / administrative unit: User types a place name; the system queries the Nominatim (OSM) geocoding API to resolve the name to coordinates (WGS84), then identifies the nearest grid point(s) using spatial indexing (scipy.spatial.KDTree or geopandas).</w:t>
      </w:r>
    </w:p>
    <w:p>
      <w:pPr>
        <w:pStyle w:val="ListParagraph"/>
        <w:numPr>
          <w:ilvl w:val="0"/>
          <w:numId w:val="2"/>
        </w:numPr>
        <w:spacing w:after="80"/>
      </w:pPr>
      <w:r>
        <w:rPr>
          <w:rFonts w:ascii="Arial" w:cs="Arial" w:eastAsia="Arial" w:hAnsi="Arial"/>
          <w:sz w:val="22"/>
          <w:szCs w:val="22"/>
        </w:rPr>
        <w:t xml:space="preserve">Coordinate input (ETRS89 or WGS84): User enters latitude/longitude directly. The system transforms ETRS89 to WGS84 if needed (using pyproj) and queries the nearest grid point.</w:t>
      </w:r>
    </w:p>
    <w:p>
      <w:pPr>
        <w:spacing w:after="140" w:line="276"/>
      </w:pPr>
      <w:r>
        <w:rPr>
          <w:rFonts w:ascii="Arial" w:cs="Arial" w:eastAsia="Arial" w:hAnsi="Arial"/>
          <w:b w:val="false"/>
          <w:bCs w:val="false"/>
          <w:color w:val="000000"/>
          <w:sz w:val="22"/>
          <w:szCs w:val="22"/>
        </w:rPr>
        <w:t xml:space="preserve">For administrative unit aggregation (e.g., mean over a municipality), GADM polygon boundaries will be used to spatially aggregate grid-point values using area-weighted averaging.</w:t>
      </w:r>
    </w:p>
    <w:p>
      <w:pPr>
        <w:spacing w:after="200"/>
      </w:pPr>
    </w:p>
    <w:p>
      <w:r>
        <w:br w:type="page"/>
      </w:r>
    </w:p>
    <w:p>
      <w:pPr>
        <w:pStyle w:val="Heading1"/>
        <w:spacing w:after="200" w:before="360"/>
      </w:pPr>
      <w:r>
        <w:rPr>
          <w:rFonts w:ascii="Arial" w:cs="Arial" w:eastAsia="Arial" w:hAnsi="Arial"/>
          <w:b/>
          <w:bCs/>
          <w:color w:val="1F4E79"/>
          <w:sz w:val="32"/>
          <w:szCs w:val="32"/>
        </w:rPr>
        <w:t xml:space="preserve">6. Development Phases</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900"/>
        <w:gridCol w:w="246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4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Data Acquisition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CDS API access, implement download scripts for ERA5-Land and EURO-CORDEX, validate raw data integrity.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download pipeline, raw NetCDF files, basic QC checks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Metric Computation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Python functions for each climate risk metric, validate against known benchmarks, generate Parquet output files.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Metric computation library, Parquet data store, validation report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User Interface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Streamlit dashboard with location input (map + text), metric selector, time-series chart, scenario comparison.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dashboard accessible locally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QC &amp; Hardening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comprehensive error handling, idempotency checks, logging, unit tests, and documentation.</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suite, CI pipeline, README, deployment guide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Review &amp; Handoff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and climate science review by agents, fix issues, prepare final PoC report.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PoC deliverable, project report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bl>
    <w:p>
      <w:pPr>
        <w:spacing w:after="200"/>
      </w:pPr>
    </w:p>
    <w:p>
      <w:r>
        <w:br w:type="page"/>
      </w:r>
    </w:p>
    <w:p>
      <w:pPr>
        <w:pStyle w:val="Heading1"/>
        <w:spacing w:after="200" w:before="360"/>
      </w:pPr>
      <w:r>
        <w:rPr>
          <w:rFonts w:ascii="Arial" w:cs="Arial" w:eastAsia="Arial" w:hAnsi="Arial"/>
          <w:b/>
          <w:bCs/>
          <w:color w:val="1F4E79"/>
          <w:sz w:val="32"/>
          <w:szCs w:val="32"/>
        </w:rPr>
        <w:t xml:space="preserve">7. Quality Control &amp; Idempotency</w:t>
      </w:r>
    </w:p>
    <w:p>
      <w:pPr>
        <w:pBdr>
          <w:bottom w:val="single" w:color="2E75B6" w:sz="6" w:space="1"/>
        </w:pBdr>
        <w:spacing w:after="200"/>
      </w:pPr>
    </w:p>
    <w:p>
      <w:pPr>
        <w:pStyle w:val="Heading2"/>
        <w:spacing w:after="140" w:before="280"/>
      </w:pPr>
      <w:r>
        <w:rPr>
          <w:rFonts w:ascii="Arial" w:cs="Arial" w:eastAsia="Arial" w:hAnsi="Arial"/>
          <w:b/>
          <w:bCs/>
          <w:color w:val="2E75B6"/>
          <w:sz w:val="26"/>
          <w:szCs w:val="26"/>
        </w:rPr>
        <w:t xml:space="preserve">7.1 Data Quality Controls</w:t>
      </w:r>
    </w:p>
    <w:p>
      <w:pPr>
        <w:pStyle w:val="ListParagraph"/>
        <w:numPr>
          <w:ilvl w:val="0"/>
          <w:numId w:val="2"/>
        </w:numPr>
        <w:spacing w:after="80"/>
      </w:pPr>
      <w:r>
        <w:rPr>
          <w:rFonts w:ascii="Arial" w:cs="Arial" w:eastAsia="Arial" w:hAnsi="Arial"/>
          <w:sz w:val="22"/>
          <w:szCs w:val="22"/>
        </w:rPr>
        <w:t xml:space="preserve">Range checks: TX must be within physically plausible bounds (e.g., −50 °C to +50 °C for the Baltic region); flag and log anomalies.</w:t>
      </w:r>
    </w:p>
    <w:p>
      <w:pPr>
        <w:pStyle w:val="ListParagraph"/>
        <w:numPr>
          <w:ilvl w:val="0"/>
          <w:numId w:val="2"/>
        </w:numPr>
        <w:spacing w:after="80"/>
      </w:pPr>
      <w:r>
        <w:rPr>
          <w:rFonts w:ascii="Arial" w:cs="Arial" w:eastAsia="Arial" w:hAnsi="Arial"/>
          <w:sz w:val="22"/>
          <w:szCs w:val="22"/>
        </w:rPr>
        <w:t xml:space="preserve">Missing data detection: Identify and report grid cells or time steps with NaN or fill values; apply configurable gap-fill thresholds.</w:t>
      </w:r>
    </w:p>
    <w:p>
      <w:pPr>
        <w:pStyle w:val="ListParagraph"/>
        <w:numPr>
          <w:ilvl w:val="0"/>
          <w:numId w:val="2"/>
        </w:numPr>
        <w:spacing w:after="80"/>
      </w:pPr>
      <w:r>
        <w:rPr>
          <w:rFonts w:ascii="Arial" w:cs="Arial" w:eastAsia="Arial" w:hAnsi="Arial"/>
          <w:sz w:val="22"/>
          <w:szCs w:val="22"/>
        </w:rPr>
        <w:t xml:space="preserve">Spatial consistency: Spot-check derived metric values against published climatological statistics for the Baltic States.</w:t>
      </w:r>
    </w:p>
    <w:p>
      <w:pPr>
        <w:pStyle w:val="ListParagraph"/>
        <w:numPr>
          <w:ilvl w:val="0"/>
          <w:numId w:val="2"/>
        </w:numPr>
        <w:spacing w:after="80"/>
      </w:pPr>
      <w:r>
        <w:rPr>
          <w:rFonts w:ascii="Arial" w:cs="Arial" w:eastAsia="Arial" w:hAnsi="Arial"/>
          <w:sz w:val="22"/>
          <w:szCs w:val="22"/>
        </w:rPr>
        <w:t xml:space="preserve">Temporal continuity: Verify no unexpected gaps in downloaded time series before computing metrics.</w:t>
      </w:r>
    </w:p>
    <w:p>
      <w:pPr>
        <w:pStyle w:val="ListParagraph"/>
        <w:numPr>
          <w:ilvl w:val="0"/>
          <w:numId w:val="2"/>
        </w:numPr>
        <w:spacing w:after="80"/>
      </w:pPr>
      <w:r>
        <w:rPr>
          <w:rFonts w:ascii="Arial" w:cs="Arial" w:eastAsia="Arial" w:hAnsi="Arial"/>
          <w:sz w:val="22"/>
          <w:szCs w:val="22"/>
        </w:rPr>
        <w:t xml:space="preserve">Unit validation: ERA5-Land precipitation is in metres per hour; conversion factors must be explicitly tested.</w:t>
      </w:r>
    </w:p>
    <w:p>
      <w:pPr>
        <w:pStyle w:val="Heading2"/>
        <w:spacing w:after="140" w:before="280"/>
      </w:pPr>
      <w:r>
        <w:rPr>
          <w:rFonts w:ascii="Arial" w:cs="Arial" w:eastAsia="Arial" w:hAnsi="Arial"/>
          <w:b/>
          <w:bCs/>
          <w:color w:val="2E75B6"/>
          <w:sz w:val="26"/>
          <w:szCs w:val="26"/>
        </w:rPr>
        <w:t xml:space="preserve">7.2 Pipeline Idempotency</w:t>
      </w:r>
    </w:p>
    <w:p>
      <w:pPr>
        <w:pStyle w:val="ListParagraph"/>
        <w:numPr>
          <w:ilvl w:val="0"/>
          <w:numId w:val="2"/>
        </w:numPr>
        <w:spacing w:after="80"/>
      </w:pPr>
      <w:r>
        <w:rPr>
          <w:rFonts w:ascii="Arial" w:cs="Arial" w:eastAsia="Arial" w:hAnsi="Arial"/>
          <w:sz w:val="22"/>
          <w:szCs w:val="22"/>
        </w:rPr>
        <w:t xml:space="preserve">Each pipeline stage checks whether its output already exists (by hash or timestamp) before re-running, enabling safe re-execution after failures.</w:t>
      </w:r>
    </w:p>
    <w:p>
      <w:pPr>
        <w:pStyle w:val="ListParagraph"/>
        <w:numPr>
          <w:ilvl w:val="0"/>
          <w:numId w:val="2"/>
        </w:numPr>
        <w:spacing w:after="80"/>
      </w:pPr>
      <w:r>
        <w:rPr>
          <w:rFonts w:ascii="Arial" w:cs="Arial" w:eastAsia="Arial" w:hAnsi="Arial"/>
          <w:sz w:val="22"/>
          <w:szCs w:val="22"/>
        </w:rPr>
        <w:t xml:space="preserve">Download stage: If a NetCDF file exists and passes a checksum or file-size check, the download is skipped.</w:t>
      </w:r>
    </w:p>
    <w:p>
      <w:pPr>
        <w:pStyle w:val="ListParagraph"/>
        <w:numPr>
          <w:ilvl w:val="0"/>
          <w:numId w:val="2"/>
        </w:numPr>
        <w:spacing w:after="80"/>
      </w:pPr>
      <w:r>
        <w:rPr>
          <w:rFonts w:ascii="Arial" w:cs="Arial" w:eastAsia="Arial" w:hAnsi="Arial"/>
          <w:sz w:val="22"/>
          <w:szCs w:val="22"/>
        </w:rPr>
        <w:t xml:space="preserve">Processing stage: Output Parquet files are written atomically (write to temp file, rename on success) to avoid partially written outputs.</w:t>
      </w:r>
    </w:p>
    <w:p>
      <w:pPr>
        <w:pStyle w:val="ListParagraph"/>
        <w:numPr>
          <w:ilvl w:val="0"/>
          <w:numId w:val="2"/>
        </w:numPr>
        <w:spacing w:after="80"/>
      </w:pPr>
      <w:r>
        <w:rPr>
          <w:rFonts w:ascii="Arial" w:cs="Arial" w:eastAsia="Arial" w:hAnsi="Arial"/>
          <w:sz w:val="22"/>
          <w:szCs w:val="22"/>
        </w:rPr>
        <w:t xml:space="preserve">All pipeline stages produce structured logs (JSON lines) for audit and debugging.</w:t>
      </w:r>
    </w:p>
    <w:p>
      <w:pPr>
        <w:pStyle w:val="ListParagraph"/>
        <w:numPr>
          <w:ilvl w:val="0"/>
          <w:numId w:val="2"/>
        </w:numPr>
        <w:spacing w:after="80"/>
      </w:pPr>
      <w:r>
        <w:rPr>
          <w:rFonts w:ascii="Arial" w:cs="Arial" w:eastAsia="Arial" w:hAnsi="Arial"/>
          <w:sz w:val="22"/>
          <w:szCs w:val="22"/>
        </w:rPr>
        <w:t xml:space="preserve">Configuration is driven by a single YAML config file (config.yaml), making runs fully reproducible.</w:t>
      </w:r>
    </w:p>
    <w:p>
      <w:pPr>
        <w:pStyle w:val="Heading2"/>
        <w:spacing w:after="140" w:before="280"/>
      </w:pPr>
      <w:r>
        <w:rPr>
          <w:rFonts w:ascii="Arial" w:cs="Arial" w:eastAsia="Arial" w:hAnsi="Arial"/>
          <w:b/>
          <w:bCs/>
          <w:color w:val="2E75B6"/>
          <w:sz w:val="26"/>
          <w:szCs w:val="26"/>
        </w:rPr>
        <w:t xml:space="preserve">7.3 Error Handling &amp; Feedback</w:t>
      </w:r>
    </w:p>
    <w:p>
      <w:pPr>
        <w:pStyle w:val="ListParagraph"/>
        <w:numPr>
          <w:ilvl w:val="0"/>
          <w:numId w:val="2"/>
        </w:numPr>
        <w:spacing w:after="80"/>
      </w:pPr>
      <w:r>
        <w:rPr>
          <w:rFonts w:ascii="Arial" w:cs="Arial" w:eastAsia="Arial" w:hAnsi="Arial"/>
          <w:sz w:val="22"/>
          <w:szCs w:val="22"/>
        </w:rPr>
        <w:t xml:space="preserve">The CDS API has rate limits and queuing delays; the pipeline must implement retry logic with exponential back-off.</w:t>
      </w:r>
    </w:p>
    <w:p>
      <w:pPr>
        <w:pStyle w:val="ListParagraph"/>
        <w:numPr>
          <w:ilvl w:val="0"/>
          <w:numId w:val="2"/>
        </w:numPr>
        <w:spacing w:after="80"/>
      </w:pPr>
      <w:r>
        <w:rPr>
          <w:rFonts w:ascii="Arial" w:cs="Arial" w:eastAsia="Arial" w:hAnsi="Arial"/>
          <w:sz w:val="22"/>
          <w:szCs w:val="22"/>
        </w:rPr>
        <w:t xml:space="preserve">User-facing error messages in the dashboard must be clear and actionable (e.g., 'Location not found — please check spelling or use coordinates').</w:t>
      </w:r>
    </w:p>
    <w:p>
      <w:pPr>
        <w:pStyle w:val="ListParagraph"/>
        <w:numPr>
          <w:ilvl w:val="0"/>
          <w:numId w:val="2"/>
        </w:numPr>
        <w:spacing w:after="80"/>
      </w:pPr>
      <w:r>
        <w:rPr>
          <w:rFonts w:ascii="Arial" w:cs="Arial" w:eastAsia="Arial" w:hAnsi="Arial"/>
          <w:sz w:val="22"/>
          <w:szCs w:val="22"/>
        </w:rPr>
        <w:t xml:space="preserve">Processing errors are logged to a rotating log file and summarised in a run report.</w:t>
      </w:r>
    </w:p>
    <w:p>
      <w:pPr>
        <w:spacing w:after="200"/>
      </w:pPr>
    </w:p>
    <w:p>
      <w:r>
        <w:br w:type="page"/>
      </w:r>
    </w:p>
    <w:p>
      <w:pPr>
        <w:pStyle w:val="Heading1"/>
        <w:spacing w:after="200" w:before="360"/>
      </w:pPr>
      <w:r>
        <w:rPr>
          <w:rFonts w:ascii="Arial" w:cs="Arial" w:eastAsia="Arial" w:hAnsi="Arial"/>
          <w:b/>
          <w:bCs/>
          <w:color w:val="1F4E79"/>
          <w:sz w:val="32"/>
          <w:szCs w:val="32"/>
        </w:rPr>
        <w:t xml:space="preserve">8. Open Source Technology Stack</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cdsapi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Copernicus CDS API client for ERA5-Land and CORDEX downloads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processing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xarray + dask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 loading and processing of large NetCDF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Climate 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climpact (Python port) / xclim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ETCCDI climate indices computation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Spatial ops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geopandas, pyproj, shapely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Coordinate transforms, spatial joins, polygon aggregation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Parquet (via pandas)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 columnar storage for processed metric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Geocoding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geopy (Nominatim backend)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 name to coordinate resolution (OSM)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boundaries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GADM v4.1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region, and municipality polygons (open licence)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Rapid web UI development in pure Python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Folium / pydeck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map widget embedded in Streamlit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Plotly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Interactive time-series and bar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and integration tests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ruff, mypy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Linting and type checking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testing and validation on push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conda / mamba + environment.yml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Reproducible Python environment management</w:t>
            </w:r>
          </w:p>
        </w:tc>
      </w:tr>
    </w:tbl>
    <w:p>
      <w:pPr>
        <w:spacing w:after="200"/>
      </w:pPr>
    </w:p>
    <w:p>
      <w:pPr>
        <w:spacing w:after="140" w:line="276"/>
      </w:pPr>
      <w:r>
        <w:rPr>
          <w:rFonts w:ascii="Arial" w:cs="Arial" w:eastAsia="Arial" w:hAnsi="Arial"/>
          <w:b w:val="false"/>
          <w:bCs w:val="false"/>
          <w:color w:val="000000"/>
          <w:sz w:val="22"/>
          <w:szCs w:val="22"/>
        </w:rPr>
        <w:t xml:space="preserve">Note: xclim is a modern, maintained Python library that implements most ETCCDI indices natively and is compatible with xarray. It is strongly preferred over manual index implementation for correctness and maintainability.</w:t>
      </w:r>
    </w:p>
    <w:p>
      <w:pPr>
        <w:spacing w:after="200"/>
      </w:pPr>
    </w:p>
    <w:p>
      <w:r>
        <w:br w:type="page"/>
      </w:r>
    </w:p>
    <w:p>
      <w:pPr>
        <w:pStyle w:val="Heading1"/>
        <w:spacing w:after="200" w:before="360"/>
      </w:pPr>
      <w:r>
        <w:rPr>
          <w:rFonts w:ascii="Arial" w:cs="Arial" w:eastAsia="Arial" w:hAnsi="Arial"/>
          <w:b/>
          <w:bCs/>
          <w:color w:val="1F4E79"/>
          <w:sz w:val="32"/>
          <w:szCs w:val="32"/>
        </w:rPr>
        <w:t xml:space="preserve">9. Open Questions &amp; Next Steps</w:t>
      </w:r>
    </w:p>
    <w:p>
      <w:pPr>
        <w:pBdr>
          <w:bottom w:val="single" w:color="2E75B6" w:sz="6" w:space="1"/>
        </w:pBdr>
        <w:spacing w:after="200"/>
      </w:pPr>
    </w:p>
    <w:p>
      <w:pPr>
        <w:spacing w:after="140" w:line="276"/>
      </w:pPr>
      <w:r>
        <w:rPr>
          <w:rFonts w:ascii="Arial" w:cs="Arial" w:eastAsia="Arial" w:hAnsi="Arial"/>
          <w:b w:val="false"/>
          <w:bCs w:val="false"/>
          <w:color w:val="000000"/>
          <w:sz w:val="22"/>
          <w:szCs w:val="22"/>
        </w:rPr>
        <w:t xml:space="preserve">The following items require further clarification or decisions before or during Phase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CORDEX ensemble size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many GCM–RCM chains should be included? Recommend starting with 3–5 and expanding based on storage budget.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Threshold values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Exact thresholds for extreme heat, drought, etc. to be validated by the climate consultant agent against ETCCDI standards and local guidelines.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UI language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Should the dashboard support Estonian, Latvian, and Lithuanian, or English-only for the PoC?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User authentication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 any access control needed, or is the PoC open to any user on the local network?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Excel output requirement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 whether the final deliverable must be Excel or if a dashboard with Excel export is sufficient.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CORDEX scenario naming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CMIP5 uses RCP4.5/RCP8.5; CMIP6 uses SSP2-4.5/SSP5-8.5. Clarify which generation of CORDEX data is to be used (CORDEX-CMIP5 or CORDEX-CMIP6 where available).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Deployment target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laptop, team server, or cloud (e.g., free-tier Streamlit Cloud)? This affects data storage location.</w:t>
            </w:r>
          </w:p>
        </w:tc>
      </w:tr>
    </w:tbl>
    <w:p>
      <w:pPr>
        <w:spacing w:after="30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Baltic States Climate Risk Analysis — PoC Project Plan  |  Draft April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2026-04-22T06:41:26.800Z</dcterms:created>
  <dcterms:modified xsi:type="dcterms:W3CDTF">2026-04-22T06:41:26.801Z</dcterms:modified>
</cp:coreProperties>
</file>

<file path=docProps/custom.xml><?xml version="1.0" encoding="utf-8"?>
<Properties xmlns="http://schemas.openxmlformats.org/officeDocument/2006/custom-properties" xmlns:vt="http://schemas.openxmlformats.org/officeDocument/2006/docPropsVTypes"/>
</file>