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B3665"/>
    <w:p w14:paraId="1D2DB78D"/>
    <w:p w14:paraId="2F61123C"/>
    <w:p w14:paraId="2A030155">
      <w:pPr>
        <w:jc w:val="center"/>
      </w:pPr>
      <w:bookmarkStart w:id="44" w:name="_GoBack"/>
      <w:bookmarkEnd w:id="44"/>
      <w:r>
        <w:rPr>
          <w:rFonts w:ascii="Times New Roman" w:hAnsi="Times New Roman" w:eastAsia="黑体"/>
          <w:b w:val="0"/>
          <w:i w:val="0"/>
          <w:sz w:val="32"/>
        </w:rPr>
        <w:t>全国青少年科学探究建模能力大赛</w:t>
      </w:r>
    </w:p>
    <w:p w14:paraId="6ED882B2">
      <w:pPr>
        <w:jc w:val="center"/>
      </w:pPr>
      <w:r>
        <w:rPr>
          <w:rFonts w:ascii="Times New Roman" w:hAnsi="Times New Roman" w:eastAsia="黑体"/>
          <w:b w:val="0"/>
          <w:i w:val="0"/>
          <w:color w:val="595959"/>
          <w:sz w:val="24"/>
        </w:rPr>
        <w:t>H4 主题四"产业与城市绿色转型" ｜ 福建赛区 ｜ 高中组</w:t>
      </w:r>
    </w:p>
    <w:p w14:paraId="5A62EBA0"/>
    <w:p w14:paraId="446AB236">
      <w:pPr>
        <w:jc w:val="center"/>
      </w:pPr>
      <w:r>
        <w:rPr>
          <w:rFonts w:ascii="Times New Roman" w:hAnsi="Times New Roman" w:eastAsia="黑体"/>
          <w:b w:val="0"/>
          <w:i w:val="0"/>
          <w:color w:val="595959"/>
          <w:sz w:val="28"/>
        </w:rPr>
        <w:t>研究报告</w:t>
      </w:r>
    </w:p>
    <w:p w14:paraId="5E038E96"/>
    <w:p w14:paraId="31253FE8">
      <w:pPr>
        <w:jc w:val="center"/>
      </w:pPr>
      <w:r>
        <w:rPr>
          <w:rFonts w:ascii="Times New Roman" w:hAnsi="Times New Roman" w:eastAsia="黑体"/>
          <w:b/>
          <w:i w:val="0"/>
          <w:sz w:val="44"/>
        </w:rPr>
        <w:t>台风暴雨与高温双风险下</w:t>
      </w:r>
      <w:r>
        <w:rPr>
          <w:rFonts w:ascii="Times New Roman" w:hAnsi="Times New Roman" w:eastAsia="黑体"/>
          <w:b/>
          <w:i w:val="0"/>
          <w:sz w:val="44"/>
        </w:rPr>
        <w:br w:type="textWrapping"/>
      </w:r>
      <w:r>
        <w:rPr>
          <w:rFonts w:ascii="Times New Roman" w:hAnsi="Times New Roman" w:eastAsia="黑体"/>
          <w:b/>
          <w:i w:val="0"/>
          <w:sz w:val="44"/>
        </w:rPr>
        <w:t>校园绿色基础设施配置优化</w:t>
      </w:r>
    </w:p>
    <w:p w14:paraId="4896D27E">
      <w:pPr>
        <w:jc w:val="center"/>
      </w:pPr>
      <w:r>
        <w:rPr>
          <w:rFonts w:ascii="Times New Roman" w:hAnsi="Times New Roman" w:eastAsia="黑体"/>
          <w:b w:val="0"/>
          <w:i w:val="0"/>
          <w:sz w:val="27"/>
        </w:rPr>
        <w:t>——基于 SCS-CN 与双目标 0-1 规划的"绿-雨"双服务方案设计</w:t>
      </w:r>
    </w:p>
    <w:p w14:paraId="53E2DD51"/>
    <w:p w14:paraId="199425C0"/>
    <w:p w14:paraId="3AA5E1E0"/>
    <w:p w14:paraId="6FB33D36"/>
    <w:p w14:paraId="6A932460"/>
    <w:p w14:paraId="51E5C5AE"/>
    <w:p w14:paraId="3272BCDB"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案例学校：晋江市季延中学本部</w:t>
      </w:r>
    </w:p>
    <w:p w14:paraId="7F3024AA"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团队：3 人（成员姓名待填）</w:t>
      </w:r>
    </w:p>
    <w:p w14:paraId="165BA02A"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日期：____ 年 ____ 月 ____ 日</w:t>
      </w:r>
    </w:p>
    <w:p w14:paraId="30721BA9">
      <w:r>
        <w:br w:type="page"/>
      </w:r>
    </w:p>
    <w:p w14:paraId="06A053A5">
      <w:pPr>
        <w:jc w:val="center"/>
      </w:pPr>
      <w:r>
        <w:rPr>
          <w:rFonts w:ascii="Times New Roman" w:hAnsi="Times New Roman" w:eastAsia="黑体"/>
          <w:b/>
          <w:i w:val="0"/>
          <w:sz w:val="32"/>
        </w:rPr>
        <w:t>目  录</w:t>
      </w:r>
    </w:p>
    <w:p w14:paraId="42371BAA">
      <w:pPr>
        <w:pStyle w:val="26"/>
        <w:tabs>
          <w:tab w:val="right" w:leader="dot" w:pos="9066"/>
        </w:tabs>
      </w:pPr>
      <w:r>
        <w:rPr>
          <w:rFonts w:ascii="Times New Roman" w:hAnsi="Times New Roman" w:eastAsia="宋体"/>
          <w:b w:val="0"/>
          <w:i/>
          <w:color w:val="808080"/>
          <w:sz w:val="21"/>
        </w:rPr>
        <w:fldChar w:fldCharType="begin"/>
      </w:r>
      <w:r>
        <w:rPr>
          <w:rFonts w:ascii="Times New Roman" w:hAnsi="Times New Roman" w:eastAsia="宋体"/>
          <w:b w:val="0"/>
          <w:i/>
          <w:color w:val="808080"/>
          <w:sz w:val="21"/>
        </w:rPr>
        <w:instrText xml:space="preserve">TOC \o "1-3" \h \z \u</w:instrText>
      </w:r>
      <w:r>
        <w:rPr>
          <w:rFonts w:ascii="Times New Roman" w:hAnsi="Times New Roman" w:eastAsia="宋体"/>
          <w:b w:val="0"/>
          <w:i/>
          <w:color w:val="808080"/>
          <w:sz w:val="21"/>
        </w:rPr>
        <w:fldChar w:fldCharType="separate"/>
      </w: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_Toc7173 </w:instrText>
      </w:r>
      <w:r>
        <w:rPr>
          <w:rFonts w:ascii="Times New Roman" w:hAnsi="Times New Roman" w:eastAsia="宋体"/>
          <w:i/>
        </w:rPr>
        <w:fldChar w:fldCharType="separate"/>
      </w:r>
      <w:r>
        <w:t>摘要</w:t>
      </w:r>
      <w:r>
        <w:tab/>
      </w:r>
      <w:r>
        <w:fldChar w:fldCharType="begin"/>
      </w:r>
      <w:r>
        <w:instrText xml:space="preserve"> PAGEREF _Toc7173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746F132D">
      <w:pPr>
        <w:pStyle w:val="26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_Toc21116 </w:instrText>
      </w:r>
      <w:r>
        <w:rPr>
          <w:rFonts w:ascii="Times New Roman" w:hAnsi="Times New Roman" w:eastAsia="宋体"/>
          <w:i/>
        </w:rPr>
        <w:fldChar w:fldCharType="separate"/>
      </w:r>
      <w:r>
        <w:t>1 问题提出</w:t>
      </w:r>
      <w:r>
        <w:tab/>
      </w:r>
      <w:r>
        <w:fldChar w:fldCharType="begin"/>
      </w:r>
      <w:r>
        <w:instrText xml:space="preserve"> PAGEREF _Toc21116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13965E80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_Toc28145 </w:instrText>
      </w:r>
      <w:r>
        <w:rPr>
          <w:rFonts w:ascii="Times New Roman" w:hAnsi="Times New Roman" w:eastAsia="宋体"/>
          <w:i/>
        </w:rPr>
        <w:fldChar w:fldCharType="separate"/>
      </w:r>
      <w:r>
        <w:t>1.1 现实背景</w:t>
      </w:r>
      <w:r>
        <w:tab/>
      </w:r>
      <w:r>
        <w:fldChar w:fldCharType="begin"/>
      </w:r>
      <w:r>
        <w:instrText xml:space="preserve"> PAGEREF _Toc28145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53A9313C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_Toc24883 </w:instrText>
      </w:r>
      <w:r>
        <w:rPr>
          <w:rFonts w:ascii="Times New Roman" w:hAnsi="Times New Roman" w:eastAsia="宋体"/>
          <w:i/>
        </w:rPr>
        <w:fldChar w:fldCharType="separate"/>
      </w:r>
      <w:r>
        <w:t>1.2 案例对象与研究区</w:t>
      </w:r>
      <w:r>
        <w:tab/>
      </w:r>
      <w:r>
        <w:fldChar w:fldCharType="begin"/>
      </w:r>
      <w:r>
        <w:instrText xml:space="preserve"> PAGEREF _Toc24883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6BBCD70B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_Toc28668 </w:instrText>
      </w:r>
      <w:r>
        <w:rPr>
          <w:rFonts w:ascii="Times New Roman" w:hAnsi="Times New Roman" w:eastAsia="宋体"/>
          <w:i/>
        </w:rPr>
        <w:fldChar w:fldCharType="separate"/>
      </w:r>
      <w:r>
        <w:t>1.3 问题重述</w:t>
      </w:r>
      <w:r>
        <w:tab/>
      </w:r>
      <w:r>
        <w:fldChar w:fldCharType="begin"/>
      </w:r>
      <w:r>
        <w:instrText xml:space="preserve"> PAGEREF _Toc28668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1338ACF7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_Toc7582 </w:instrText>
      </w:r>
      <w:r>
        <w:rPr>
          <w:rFonts w:ascii="Times New Roman" w:hAnsi="Times New Roman" w:eastAsia="宋体"/>
          <w:i/>
        </w:rPr>
        <w:fldChar w:fldCharType="separate"/>
      </w:r>
      <w:r>
        <w:t>1.4 任务分解</w:t>
      </w:r>
      <w:r>
        <w:tab/>
      </w:r>
      <w:r>
        <w:fldChar w:fldCharType="begin"/>
      </w:r>
      <w:r>
        <w:instrText xml:space="preserve"> PAGEREF _Toc7582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0D499E92">
      <w:pPr>
        <w:pStyle w:val="26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_Toc2996 </w:instrText>
      </w:r>
      <w:r>
        <w:rPr>
          <w:rFonts w:ascii="Times New Roman" w:hAnsi="Times New Roman" w:eastAsia="宋体"/>
          <w:i/>
        </w:rPr>
        <w:fldChar w:fldCharType="separate"/>
      </w:r>
      <w:r>
        <w:t>2 模型假设</w:t>
      </w:r>
      <w:r>
        <w:tab/>
      </w:r>
      <w:r>
        <w:fldChar w:fldCharType="begin"/>
      </w:r>
      <w:r>
        <w:instrText xml:space="preserve"> PAGEREF _Toc2996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0E69D969">
      <w:pPr>
        <w:pStyle w:val="26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_Toc3506 </w:instrText>
      </w:r>
      <w:r>
        <w:rPr>
          <w:rFonts w:ascii="Times New Roman" w:hAnsi="Times New Roman" w:eastAsia="宋体"/>
          <w:i/>
        </w:rPr>
        <w:fldChar w:fldCharType="separate"/>
      </w:r>
      <w:r>
        <w:t>3 符号说明</w:t>
      </w:r>
      <w:r>
        <w:tab/>
      </w:r>
      <w:r>
        <w:fldChar w:fldCharType="begin"/>
      </w:r>
      <w:r>
        <w:instrText xml:space="preserve"> PAGEREF _Toc3506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2117F0F4">
      <w:pPr>
        <w:pStyle w:val="26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_Toc20326 </w:instrText>
      </w:r>
      <w:r>
        <w:rPr>
          <w:rFonts w:ascii="Times New Roman" w:hAnsi="Times New Roman" w:eastAsia="宋体"/>
          <w:i/>
        </w:rPr>
        <w:fldChar w:fldCharType="separate"/>
      </w:r>
      <w:r>
        <w:t>4 问题分析</w:t>
      </w:r>
      <w:r>
        <w:tab/>
      </w:r>
      <w:r>
        <w:fldChar w:fldCharType="begin"/>
      </w:r>
      <w:r>
        <w:instrText xml:space="preserve"> PAGEREF _Toc20326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5C3E073A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_Toc28142 </w:instrText>
      </w:r>
      <w:r>
        <w:rPr>
          <w:rFonts w:ascii="Times New Roman" w:hAnsi="Times New Roman" w:eastAsia="宋体"/>
          <w:i/>
        </w:rPr>
        <w:fldChar w:fldCharType="separate"/>
      </w:r>
      <w:r>
        <w:t>4.1 现实情境的数学转化</w:t>
      </w:r>
      <w:r>
        <w:tab/>
      </w:r>
      <w:r>
        <w:fldChar w:fldCharType="begin"/>
      </w:r>
      <w:r>
        <w:instrText xml:space="preserve"> PAGEREF _Toc28142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3F42AC71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_Toc30556 </w:instrText>
      </w:r>
      <w:r>
        <w:rPr>
          <w:rFonts w:ascii="Times New Roman" w:hAnsi="Times New Roman" w:eastAsia="宋体"/>
          <w:i/>
        </w:rPr>
        <w:fldChar w:fldCharType="separate"/>
      </w:r>
      <w:r>
        <w:t>4.2 双服务的量化定义</w:t>
      </w:r>
      <w:r>
        <w:tab/>
      </w:r>
      <w:r>
        <w:fldChar w:fldCharType="begin"/>
      </w:r>
      <w:r>
        <w:instrText xml:space="preserve"> PAGEREF _Toc30556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6284FD36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_Toc15407 </w:instrText>
      </w:r>
      <w:r>
        <w:rPr>
          <w:rFonts w:ascii="Times New Roman" w:hAnsi="Times New Roman" w:eastAsia="宋体"/>
          <w:i/>
        </w:rPr>
        <w:fldChar w:fldCharType="separate"/>
      </w:r>
      <w:r>
        <w:t>4.3 优化问题形式化</w:t>
      </w:r>
      <w:r>
        <w:tab/>
      </w:r>
      <w:r>
        <w:fldChar w:fldCharType="begin"/>
      </w:r>
      <w:r>
        <w:instrText xml:space="preserve"> PAGEREF _Toc15407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3352DC93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_Toc22991 </w:instrText>
      </w:r>
      <w:r>
        <w:rPr>
          <w:rFonts w:ascii="Times New Roman" w:hAnsi="Times New Roman" w:eastAsia="宋体"/>
          <w:i/>
        </w:rPr>
        <w:fldChar w:fldCharType="separate"/>
      </w:r>
      <w:r>
        <w:t>4.4 数据与参数的可获得性</w:t>
      </w:r>
      <w:r>
        <w:tab/>
      </w:r>
      <w:r>
        <w:fldChar w:fldCharType="begin"/>
      </w:r>
      <w:r>
        <w:instrText xml:space="preserve"> PAGEREF _Toc22991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78DCE469">
      <w:pPr>
        <w:pStyle w:val="26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_Toc20054 </w:instrText>
      </w:r>
      <w:r>
        <w:rPr>
          <w:rFonts w:ascii="Times New Roman" w:hAnsi="Times New Roman" w:eastAsia="宋体"/>
          <w:i/>
        </w:rPr>
        <w:fldChar w:fldCharType="separate"/>
      </w:r>
      <w:r>
        <w:t>5 模型建立</w:t>
      </w:r>
      <w:r>
        <w:tab/>
      </w:r>
      <w:r>
        <w:fldChar w:fldCharType="begin"/>
      </w:r>
      <w:r>
        <w:instrText xml:space="preserve"> PAGEREF _Toc20054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054A332C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_Toc4992 </w:instrText>
      </w:r>
      <w:r>
        <w:rPr>
          <w:rFonts w:ascii="Times New Roman" w:hAnsi="Times New Roman" w:eastAsia="宋体"/>
          <w:i/>
        </w:rPr>
        <w:fldChar w:fldCharType="separate"/>
      </w:r>
      <w:r>
        <w:t>5.1 M1 设计暴雨模型</w:t>
      </w:r>
      <w:r>
        <w:tab/>
      </w:r>
      <w:r>
        <w:fldChar w:fldCharType="begin"/>
      </w:r>
      <w:r>
        <w:instrText xml:space="preserve"> PAGEREF _Toc4992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4A998A41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_Toc31479 </w:instrText>
      </w:r>
      <w:r>
        <w:rPr>
          <w:rFonts w:ascii="Times New Roman" w:hAnsi="Times New Roman" w:eastAsia="宋体"/>
          <w:i/>
        </w:rPr>
        <w:fldChar w:fldCharType="separate"/>
      </w:r>
      <w:r>
        <w:t>5.2 M2 产流模型（SCS-CN）</w:t>
      </w:r>
      <w:r>
        <w:tab/>
      </w:r>
      <w:r>
        <w:fldChar w:fldCharType="begin"/>
      </w:r>
      <w:r>
        <w:instrText xml:space="preserve"> PAGEREF _Toc31479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61D0E18F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_Toc543 </w:instrText>
      </w:r>
      <w:r>
        <w:rPr>
          <w:rFonts w:ascii="Times New Roman" w:hAnsi="Times New Roman" w:eastAsia="宋体"/>
          <w:i/>
        </w:rPr>
        <w:fldChar w:fldCharType="separate"/>
      </w:r>
      <w:r>
        <w:t>5.3 M3 降温响应模型</w:t>
      </w:r>
      <w:r>
        <w:tab/>
      </w:r>
      <w:r>
        <w:fldChar w:fldCharType="begin"/>
      </w:r>
      <w:r>
        <w:instrText xml:space="preserve"> PAGEREF _Toc543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29E1B55A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_Toc19627 </w:instrText>
      </w:r>
      <w:r>
        <w:rPr>
          <w:rFonts w:ascii="Times New Roman" w:hAnsi="Times New Roman" w:eastAsia="宋体"/>
          <w:i/>
        </w:rPr>
        <w:fldChar w:fldCharType="separate"/>
      </w:r>
      <w:r>
        <w:t>5.4 M4 配置优化模型（核心）</w:t>
      </w:r>
      <w:r>
        <w:tab/>
      </w:r>
      <w:r>
        <w:fldChar w:fldCharType="begin"/>
      </w:r>
      <w:r>
        <w:instrText xml:space="preserve"> PAGEREF _Toc19627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75370D42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_Toc17130 </w:instrText>
      </w:r>
      <w:r>
        <w:rPr>
          <w:rFonts w:ascii="Times New Roman" w:hAnsi="Times New Roman" w:eastAsia="宋体"/>
          <w:i/>
        </w:rPr>
        <w:fldChar w:fldCharType="separate"/>
      </w:r>
      <w:r>
        <w:t>5.5 指标体系</w:t>
      </w:r>
      <w:r>
        <w:tab/>
      </w:r>
      <w:r>
        <w:fldChar w:fldCharType="begin"/>
      </w:r>
      <w:r>
        <w:instrText xml:space="preserve"> PAGEREF _Toc17130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07E1C0BE">
      <w:pPr>
        <w:pStyle w:val="26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_Toc15544 </w:instrText>
      </w:r>
      <w:r>
        <w:rPr>
          <w:rFonts w:ascii="Times New Roman" w:hAnsi="Times New Roman" w:eastAsia="宋体"/>
          <w:i/>
        </w:rPr>
        <w:fldChar w:fldCharType="separate"/>
      </w:r>
      <w:r>
        <w:t>6 模型求解与结果</w:t>
      </w:r>
      <w:r>
        <w:tab/>
      </w:r>
      <w:r>
        <w:fldChar w:fldCharType="begin"/>
      </w:r>
      <w:r>
        <w:instrText xml:space="preserve"> PAGEREF _Toc15544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3751F4EB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_Toc24351 </w:instrText>
      </w:r>
      <w:r>
        <w:rPr>
          <w:rFonts w:ascii="Times New Roman" w:hAnsi="Times New Roman" w:eastAsia="宋体"/>
          <w:i/>
        </w:rPr>
        <w:fldChar w:fldCharType="separate"/>
      </w:r>
      <w:r>
        <w:t>6.1 参数标定与单地块系数</w:t>
      </w:r>
      <w:r>
        <w:tab/>
      </w:r>
      <w:r>
        <w:fldChar w:fldCharType="begin"/>
      </w:r>
      <w:r>
        <w:instrText xml:space="preserve"> PAGEREF _Toc24351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4FDDF667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_Toc6184 </w:instrText>
      </w:r>
      <w:r>
        <w:rPr>
          <w:rFonts w:ascii="Times New Roman" w:hAnsi="Times New Roman" w:eastAsia="宋体"/>
          <w:i/>
        </w:rPr>
        <w:fldChar w:fldCharType="separate"/>
      </w:r>
      <w:r>
        <w:t>6.2 现状评估（回答第 ① 问）</w:t>
      </w:r>
      <w:r>
        <w:tab/>
      </w:r>
      <w:r>
        <w:fldChar w:fldCharType="begin"/>
      </w:r>
      <w:r>
        <w:instrText xml:space="preserve"> PAGEREF _Toc6184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4380FB6B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_Toc23872 </w:instrText>
      </w:r>
      <w:r>
        <w:rPr>
          <w:rFonts w:ascii="Times New Roman" w:hAnsi="Times New Roman" w:eastAsia="宋体"/>
          <w:i/>
        </w:rPr>
        <w:fldChar w:fldCharType="separate"/>
      </w:r>
      <w:r>
        <w:t>6.3 Pareto 前沿与三档方案（回答第 ③ 问）</w:t>
      </w:r>
      <w:r>
        <w:tab/>
      </w:r>
      <w:r>
        <w:fldChar w:fldCharType="begin"/>
      </w:r>
      <w:r>
        <w:instrText xml:space="preserve"> PAGEREF _Toc23872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5011973E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_Toc2706 </w:instrText>
      </w:r>
      <w:r>
        <w:rPr>
          <w:rFonts w:ascii="Times New Roman" w:hAnsi="Times New Roman" w:eastAsia="宋体"/>
          <w:i/>
        </w:rPr>
        <w:fldChar w:fldCharType="separate"/>
      </w:r>
      <w:r>
        <w:t>6.4 优先改造地图（回答第 ② 问）</w:t>
      </w:r>
      <w:r>
        <w:tab/>
      </w:r>
      <w:r>
        <w:fldChar w:fldCharType="begin"/>
      </w:r>
      <w:r>
        <w:instrText xml:space="preserve"> PAGEREF _Toc2706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531794E7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_Toc25913 </w:instrText>
      </w:r>
      <w:r>
        <w:rPr>
          <w:rFonts w:ascii="Times New Roman" w:hAnsi="Times New Roman" w:eastAsia="宋体"/>
          <w:i/>
        </w:rPr>
        <w:fldChar w:fldCharType="separate"/>
      </w:r>
      <w:r>
        <w:t>6.5 双模式对照（方法学结果）</w:t>
      </w:r>
      <w:r>
        <w:tab/>
      </w:r>
      <w:r>
        <w:fldChar w:fldCharType="begin"/>
      </w:r>
      <w:r>
        <w:instrText xml:space="preserve"> PAGEREF _Toc25913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57AAF2ED">
      <w:pPr>
        <w:pStyle w:val="26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_Toc25627 </w:instrText>
      </w:r>
      <w:r>
        <w:rPr>
          <w:rFonts w:ascii="Times New Roman" w:hAnsi="Times New Roman" w:eastAsia="宋体"/>
          <w:i/>
        </w:rPr>
        <w:fldChar w:fldCharType="separate"/>
      </w:r>
      <w:r>
        <w:t>7 结果分析与检验</w:t>
      </w:r>
      <w:r>
        <w:tab/>
      </w:r>
      <w:r>
        <w:fldChar w:fldCharType="begin"/>
      </w:r>
      <w:r>
        <w:instrText xml:space="preserve"> PAGEREF _Toc25627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220FD4E2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_Toc22244 </w:instrText>
      </w:r>
      <w:r>
        <w:rPr>
          <w:rFonts w:ascii="Times New Roman" w:hAnsi="Times New Roman" w:eastAsia="宋体"/>
          <w:i/>
        </w:rPr>
        <w:fldChar w:fldCharType="separate"/>
      </w:r>
      <w:r>
        <w:t>7.1 敏感性分析</w:t>
      </w:r>
      <w:r>
        <w:tab/>
      </w:r>
      <w:r>
        <w:fldChar w:fldCharType="begin"/>
      </w:r>
      <w:r>
        <w:instrText xml:space="preserve"> PAGEREF _Toc22244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39BC357D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_Toc7281 </w:instrText>
      </w:r>
      <w:r>
        <w:rPr>
          <w:rFonts w:ascii="Times New Roman" w:hAnsi="Times New Roman" w:eastAsia="宋体"/>
          <w:i/>
        </w:rPr>
        <w:fldChar w:fldCharType="separate"/>
      </w:r>
      <w:r>
        <w:t>7.2 结构敏感性：临界预算</w:t>
      </w:r>
      <w:r>
        <w:tab/>
      </w:r>
      <w:r>
        <w:fldChar w:fldCharType="begin"/>
      </w:r>
      <w:r>
        <w:instrText xml:space="preserve"> PAGEREF _Toc7281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4C44C1E6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_Toc28032 </w:instrText>
      </w:r>
      <w:r>
        <w:rPr>
          <w:rFonts w:ascii="Times New Roman" w:hAnsi="Times New Roman" w:eastAsia="宋体"/>
          <w:i/>
        </w:rPr>
        <w:fldChar w:fldCharType="separate"/>
      </w:r>
      <w:r>
        <w:t>7.3 情景分析</w:t>
      </w:r>
      <w:r>
        <w:tab/>
      </w:r>
      <w:r>
        <w:fldChar w:fldCharType="begin"/>
      </w:r>
      <w:r>
        <w:instrText xml:space="preserve"> PAGEREF _Toc28032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2D497DC6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_Toc25310 </w:instrText>
      </w:r>
      <w:r>
        <w:rPr>
          <w:rFonts w:ascii="Times New Roman" w:hAnsi="Times New Roman" w:eastAsia="宋体"/>
          <w:i/>
        </w:rPr>
        <w:fldChar w:fldCharType="separate"/>
      </w:r>
      <w:r>
        <w:t>7.4 Monte Carlo 稳健性检验</w:t>
      </w:r>
      <w:r>
        <w:tab/>
      </w:r>
      <w:r>
        <w:fldChar w:fldCharType="begin"/>
      </w:r>
      <w:r>
        <w:instrText xml:space="preserve"> PAGEREF _Toc25310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012524D9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_Toc8216 </w:instrText>
      </w:r>
      <w:r>
        <w:rPr>
          <w:rFonts w:ascii="Times New Roman" w:hAnsi="Times New Roman" w:eastAsia="宋体"/>
          <w:i/>
        </w:rPr>
        <w:fldChar w:fldCharType="separate"/>
      </w:r>
      <w:r>
        <w:t>7.5 一致性核对与对照检验</w:t>
      </w:r>
      <w:r>
        <w:tab/>
      </w:r>
      <w:r>
        <w:fldChar w:fldCharType="begin"/>
      </w:r>
      <w:r>
        <w:instrText xml:space="preserve"> PAGEREF _Toc8216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135FA2C0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_Toc19355 </w:instrText>
      </w:r>
      <w:r>
        <w:rPr>
          <w:rFonts w:ascii="Times New Roman" w:hAnsi="Times New Roman" w:eastAsia="宋体"/>
          <w:i/>
        </w:rPr>
        <w:fldChar w:fldCharType="separate"/>
      </w:r>
      <w:r>
        <w:t>7.6 误差来源与局限</w:t>
      </w:r>
      <w:r>
        <w:tab/>
      </w:r>
      <w:r>
        <w:fldChar w:fldCharType="begin"/>
      </w:r>
      <w:r>
        <w:instrText xml:space="preserve"> PAGEREF _Toc19355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79423DE8">
      <w:pPr>
        <w:pStyle w:val="26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_Toc11760 </w:instrText>
      </w:r>
      <w:r>
        <w:rPr>
          <w:rFonts w:ascii="Times New Roman" w:hAnsi="Times New Roman" w:eastAsia="宋体"/>
          <w:i/>
        </w:rPr>
        <w:fldChar w:fldCharType="separate"/>
      </w:r>
      <w:r>
        <w:t>8 模型评价与推广</w:t>
      </w:r>
      <w:r>
        <w:tab/>
      </w:r>
      <w:r>
        <w:fldChar w:fldCharType="begin"/>
      </w:r>
      <w:r>
        <w:instrText xml:space="preserve"> PAGEREF _Toc11760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2AFC166E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_Toc27913 </w:instrText>
      </w:r>
      <w:r>
        <w:rPr>
          <w:rFonts w:ascii="Times New Roman" w:hAnsi="Times New Roman" w:eastAsia="宋体"/>
          <w:i/>
        </w:rPr>
        <w:fldChar w:fldCharType="separate"/>
      </w:r>
      <w:r>
        <w:t>8.1 优点</w:t>
      </w:r>
      <w:r>
        <w:tab/>
      </w:r>
      <w:r>
        <w:fldChar w:fldCharType="begin"/>
      </w:r>
      <w:r>
        <w:instrText xml:space="preserve"> PAGEREF _Toc27913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7AEEE378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_Toc32614 </w:instrText>
      </w:r>
      <w:r>
        <w:rPr>
          <w:rFonts w:ascii="Times New Roman" w:hAnsi="Times New Roman" w:eastAsia="宋体"/>
          <w:i/>
        </w:rPr>
        <w:fldChar w:fldCharType="separate"/>
      </w:r>
      <w:r>
        <w:t>8.2 缺点</w:t>
      </w:r>
      <w:r>
        <w:tab/>
      </w:r>
      <w:r>
        <w:fldChar w:fldCharType="begin"/>
      </w:r>
      <w:r>
        <w:instrText xml:space="preserve"> PAGEREF _Toc32614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30806825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_Toc4997 </w:instrText>
      </w:r>
      <w:r>
        <w:rPr>
          <w:rFonts w:ascii="Times New Roman" w:hAnsi="Times New Roman" w:eastAsia="宋体"/>
          <w:i/>
        </w:rPr>
        <w:fldChar w:fldCharType="separate"/>
      </w:r>
      <w:r>
        <w:t>8.3 推广</w:t>
      </w:r>
      <w:r>
        <w:tab/>
      </w:r>
      <w:r>
        <w:fldChar w:fldCharType="begin"/>
      </w:r>
      <w:r>
        <w:instrText xml:space="preserve"> PAGEREF _Toc4997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30EB7206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_Toc1782 </w:instrText>
      </w:r>
      <w:r>
        <w:rPr>
          <w:rFonts w:ascii="Times New Roman" w:hAnsi="Times New Roman" w:eastAsia="宋体"/>
          <w:i/>
        </w:rPr>
        <w:fldChar w:fldCharType="separate"/>
      </w:r>
      <w:r>
        <w:t>8.4 建议（面向学校的应用要点，详见附录 D）</w:t>
      </w:r>
      <w:r>
        <w:tab/>
      </w:r>
      <w:r>
        <w:fldChar w:fldCharType="begin"/>
      </w:r>
      <w:r>
        <w:instrText xml:space="preserve"> PAGEREF _Toc1782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122D419F">
      <w:pPr>
        <w:pStyle w:val="26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_Toc10470 </w:instrText>
      </w:r>
      <w:r>
        <w:rPr>
          <w:rFonts w:ascii="Times New Roman" w:hAnsi="Times New Roman" w:eastAsia="宋体"/>
          <w:i/>
        </w:rPr>
        <w:fldChar w:fldCharType="separate"/>
      </w:r>
      <w:r>
        <w:t>9 结论</w:t>
      </w:r>
      <w:r>
        <w:tab/>
      </w:r>
      <w:r>
        <w:fldChar w:fldCharType="begin"/>
      </w:r>
      <w:r>
        <w:instrText xml:space="preserve"> PAGEREF _Toc10470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38EE52A5">
      <w:pPr>
        <w:pStyle w:val="26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_Toc27455 </w:instrText>
      </w:r>
      <w:r>
        <w:rPr>
          <w:rFonts w:ascii="Times New Roman" w:hAnsi="Times New Roman" w:eastAsia="宋体"/>
          <w:i/>
        </w:rPr>
        <w:fldChar w:fldCharType="separate"/>
      </w:r>
      <w:r>
        <w:t>10 参考文献</w:t>
      </w:r>
      <w:r>
        <w:tab/>
      </w:r>
      <w:r>
        <w:fldChar w:fldCharType="begin"/>
      </w:r>
      <w:r>
        <w:instrText xml:space="preserve"> PAGEREF _Toc27455 \h </w:instrText>
      </w:r>
      <w:r>
        <w:fldChar w:fldCharType="separate"/>
      </w:r>
      <w:r>
        <w:t>24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20ECC36F">
      <w:pPr>
        <w:pStyle w:val="26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_Toc5355 </w:instrText>
      </w:r>
      <w:r>
        <w:rPr>
          <w:rFonts w:ascii="Times New Roman" w:hAnsi="Times New Roman" w:eastAsia="宋体"/>
          <w:i/>
        </w:rPr>
        <w:fldChar w:fldCharType="separate"/>
      </w:r>
      <w:r>
        <w:t>附录</w:t>
      </w:r>
      <w:r>
        <w:tab/>
      </w:r>
      <w:r>
        <w:fldChar w:fldCharType="begin"/>
      </w:r>
      <w:r>
        <w:instrText xml:space="preserve"> PAGEREF _Toc5355 \h </w:instrText>
      </w:r>
      <w:r>
        <w:fldChar w:fldCharType="separate"/>
      </w:r>
      <w:r>
        <w:t>25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61BD40D4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_Toc18995 </w:instrText>
      </w:r>
      <w:r>
        <w:rPr>
          <w:rFonts w:ascii="Times New Roman" w:hAnsi="Times New Roman" w:eastAsia="宋体"/>
          <w:i/>
        </w:rPr>
        <w:fldChar w:fldCharType="separate"/>
      </w:r>
      <w:r>
        <w:t>附录 A 代码与复现</w:t>
      </w:r>
      <w:r>
        <w:tab/>
      </w:r>
      <w:r>
        <w:fldChar w:fldCharType="begin"/>
      </w:r>
      <w:r>
        <w:instrText xml:space="preserve"> PAGEREF _Toc18995 \h </w:instrText>
      </w:r>
      <w:r>
        <w:fldChar w:fldCharType="separate"/>
      </w:r>
      <w:r>
        <w:t>25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37176EDC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_Toc17957 </w:instrText>
      </w:r>
      <w:r>
        <w:rPr>
          <w:rFonts w:ascii="Times New Roman" w:hAnsi="Times New Roman" w:eastAsia="宋体"/>
          <w:i/>
        </w:rPr>
        <w:fldChar w:fldCharType="separate"/>
      </w:r>
      <w:r>
        <w:t>附录 B 数据表（摘要）</w:t>
      </w:r>
      <w:r>
        <w:tab/>
      </w:r>
      <w:r>
        <w:fldChar w:fldCharType="begin"/>
      </w:r>
      <w:r>
        <w:instrText xml:space="preserve"> PAGEREF _Toc17957 \h </w:instrText>
      </w:r>
      <w:r>
        <w:fldChar w:fldCharType="separate"/>
      </w:r>
      <w:r>
        <w:t>25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6BF21707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_Toc9954 </w:instrText>
      </w:r>
      <w:r>
        <w:rPr>
          <w:rFonts w:ascii="Times New Roman" w:hAnsi="Times New Roman" w:eastAsia="宋体"/>
          <w:i/>
        </w:rPr>
        <w:fldChar w:fldCharType="separate"/>
      </w:r>
      <w:r>
        <w:t>附录 C 详细计算结果</w:t>
      </w:r>
      <w:r>
        <w:tab/>
      </w:r>
      <w:r>
        <w:fldChar w:fldCharType="begin"/>
      </w:r>
      <w:r>
        <w:instrText xml:space="preserve"> PAGEREF _Toc9954 \h </w:instrText>
      </w:r>
      <w:r>
        <w:fldChar w:fldCharType="separate"/>
      </w:r>
      <w:r>
        <w:t>25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1C3F4AFD">
      <w:pPr>
        <w:pStyle w:val="29"/>
        <w:tabs>
          <w:tab w:val="right" w:leader="dot" w:pos="9066"/>
        </w:tabs>
      </w:pPr>
      <w:r>
        <w:rPr>
          <w:rFonts w:ascii="Times New Roman" w:hAnsi="Times New Roman" w:eastAsia="宋体"/>
          <w:i/>
          <w:color w:val="808080"/>
        </w:rPr>
        <w:fldChar w:fldCharType="begin"/>
      </w:r>
      <w:r>
        <w:rPr>
          <w:rFonts w:ascii="Times New Roman" w:hAnsi="Times New Roman" w:eastAsia="宋体"/>
          <w:i/>
        </w:rPr>
        <w:instrText xml:space="preserve"> HYPERLINK \l _Toc20255 </w:instrText>
      </w:r>
      <w:r>
        <w:rPr>
          <w:rFonts w:ascii="Times New Roman" w:hAnsi="Times New Roman" w:eastAsia="宋体"/>
          <w:i/>
        </w:rPr>
        <w:fldChar w:fldCharType="separate"/>
      </w:r>
      <w:r>
        <w:t>附录 D 改造建议（要点）</w:t>
      </w:r>
      <w:r>
        <w:tab/>
      </w:r>
      <w:r>
        <w:fldChar w:fldCharType="begin"/>
      </w:r>
      <w:r>
        <w:instrText xml:space="preserve"> PAGEREF _Toc20255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5386DBFE">
      <w:pPr>
        <w:spacing w:after="200"/>
      </w:pPr>
      <w:r>
        <w:rPr>
          <w:rFonts w:ascii="Times New Roman" w:hAnsi="Times New Roman" w:eastAsia="宋体"/>
          <w:i/>
          <w:color w:val="808080"/>
        </w:rPr>
        <w:fldChar w:fldCharType="end"/>
      </w:r>
    </w:p>
    <w:p w14:paraId="42F8CF96">
      <w:pPr>
        <w:spacing w:after="80" w:line="312" w:lineRule="auto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全国青少年科学探究建模能力大赛 ｜ H4 主题四"产业与城市绿色转型" ｜ 福建赛区 ｜ 高中组 ｜ 3 人团队</w:t>
      </w:r>
    </w:p>
    <w:p w14:paraId="04819A49">
      <w:pPr>
        <w:spacing w:after="80" w:line="312" w:lineRule="auto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说明：全文图表沿用项目统一编号 T1–T12，与 `06-论文/figures/图注清单.md` 一致。</w:t>
      </w:r>
    </w:p>
    <w:p w14:paraId="36690EE4">
      <w:pPr>
        <w:pStyle w:val="3"/>
      </w:pPr>
      <w:bookmarkStart w:id="0" w:name="_Toc7173"/>
      <w:r>
        <w:t>摘要</w:t>
      </w:r>
      <w:bookmarkEnd w:id="0"/>
    </w:p>
    <w:p w14:paraId="687C7EF6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福建省沿海地区同时面临台风暴雨与夏季高温的双重风险。校园中的硬化场地与绿地既是暴雨径流的策源地，也是高温热暴露的主要空间；在有限预算下，绿色基础设施"放在哪、做成什么"才能同时服务于径流控制与热环境改善，是一个典型的多目标决策问题。本文以晋江市季延中学本部（数字化占地约 8.46 万 m²）为案例，将校园划分为 12 个候选改造地块，构建"绿-雨"双服务优化模型链：用当地暴雨强度公式生成设计暴雨（M1）；用 SCS-CN 模型计算现状与改造后产流（M2）；以文献系数建立降温响应模型（M3）；建立以预算与工程适用性为约束、以径流削减量 ΔQ 与降温收益 ΔT 最大为目标的双目标 0-1 规划模型（M4），用 ε-约束法结合 scipy.milp（HiGHS 求解器）精确求解，并以"面积比例"（连续规划）与"整块实施"（0-1 规划）双模式对照。主要结果：校园 3 年一遇 60 min 场次现状产流 </w:t>
      </w:r>
      <w:r>
        <w:rPr>
          <w:rFonts w:ascii="Times New Roman" w:hAnsi="Times New Roman" w:eastAsia="宋体"/>
          <w:b/>
          <w:i w:val="0"/>
          <w:sz w:val="24"/>
        </w:rPr>
        <w:t>Q₀ = 2 627.6 m³</w:t>
      </w:r>
      <w:r>
        <w:rPr>
          <w:rFonts w:ascii="Times New Roman" w:hAnsi="Times New Roman" w:eastAsia="宋体"/>
          <w:b w:val="0"/>
          <w:i w:val="0"/>
          <w:sz w:val="24"/>
        </w:rPr>
        <w:t xml:space="preserve">（等效径流系数 0.564）；在基准预算 100 万元下，Pareto 前沿的径流削减量介于 </w:t>
      </w:r>
      <w:r>
        <w:rPr>
          <w:rFonts w:ascii="Times New Roman" w:hAnsi="Times New Roman" w:eastAsia="宋体"/>
          <w:b/>
          <w:i w:val="0"/>
          <w:sz w:val="24"/>
        </w:rPr>
        <w:t>220.5–248.9 m³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（削减率 8.4%–9.5%）、降温收益介于 </w:t>
      </w:r>
      <w:r>
        <w:rPr>
          <w:rFonts w:ascii="Times New Roman" w:hAnsi="Times New Roman" w:eastAsia="宋体"/>
          <w:b/>
          <w:i w:val="0"/>
          <w:sz w:val="24"/>
        </w:rPr>
        <w:t>3.08–3.50 万 ℃·m²</w:t>
      </w:r>
      <w:r>
        <w:rPr>
          <w:rFonts w:ascii="Times New Roman" w:hAnsi="Times New Roman" w:eastAsia="宋体"/>
          <w:b w:val="0"/>
          <w:i w:val="0"/>
          <w:sz w:val="24"/>
        </w:rPr>
        <w:t xml:space="preserve">；对应"径流优先 / 均衡 / 降温优先"三档可执行方案；同等预算下面积比例模式比整块实施模式多削减约 </w:t>
      </w:r>
      <w:r>
        <w:rPr>
          <w:rFonts w:ascii="Times New Roman" w:hAnsi="Times New Roman" w:eastAsia="宋体"/>
          <w:b/>
          <w:i w:val="0"/>
          <w:sz w:val="24"/>
        </w:rPr>
        <w:t>11%</w:t>
      </w:r>
      <w:r>
        <w:rPr>
          <w:rFonts w:ascii="Times New Roman" w:hAnsi="Times New Roman" w:eastAsia="宋体"/>
          <w:b w:val="0"/>
          <w:i w:val="0"/>
          <w:sz w:val="24"/>
        </w:rPr>
        <w:t>。敏感性分析显示 ΔQ 对 CN 最敏感（CN −10% 时 −41.2%），比例模式下单价缩放与预算缩放等价（齐次性）；结构敏感性分析给出绿地区进入最优解的</w:t>
      </w:r>
      <w:r>
        <w:rPr>
          <w:rFonts w:ascii="Times New Roman" w:hAnsi="Times New Roman" w:eastAsia="宋体"/>
          <w:b/>
          <w:i w:val="0"/>
          <w:sz w:val="24"/>
        </w:rPr>
        <w:t>临界预算 ≈395 万元</w:t>
      </w:r>
      <w:r>
        <w:rPr>
          <w:rFonts w:ascii="Times New Roman" w:hAnsi="Times New Roman" w:eastAsia="宋体"/>
          <w:b w:val="0"/>
          <w:i w:val="0"/>
          <w:sz w:val="24"/>
        </w:rPr>
        <w:t>（随单价近似线性）；极端台风"杜苏芮"情景（日雨量 263.9 mm）下，雨水花园的单位径流效率反超透水铺装（5.2 对 4.4 m³/万元），</w:t>
      </w:r>
      <w:r>
        <w:rPr>
          <w:rFonts w:ascii="Times New Roman" w:hAnsi="Times New Roman" w:eastAsia="宋体"/>
          <w:b/>
          <w:i w:val="0"/>
          <w:sz w:val="24"/>
        </w:rPr>
        <w:t>双目标由"权衡"转为"共向"</w:t>
      </w:r>
      <w:r>
        <w:rPr>
          <w:rFonts w:ascii="Times New Roman" w:hAnsi="Times New Roman" w:eastAsia="宋体"/>
          <w:b w:val="0"/>
          <w:i w:val="0"/>
          <w:sz w:val="24"/>
        </w:rPr>
        <w:t>。Monte Carlo 稳健性检验（N=500）表明最优解的首选地块与投向结构高度稳定（P01 作为首选地块的出现频率 86.2%）。模型与方法参数化封装为软件工具，可推广到其他校园、社区与工业园区。</w:t>
      </w:r>
    </w:p>
    <w:p w14:paraId="32A4DB96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关键词</w:t>
      </w:r>
      <w:r>
        <w:rPr>
          <w:rFonts w:ascii="Times New Roman" w:hAnsi="Times New Roman" w:eastAsia="宋体"/>
          <w:b w:val="0"/>
          <w:i w:val="0"/>
          <w:sz w:val="24"/>
        </w:rPr>
        <w:t>：绿色基础设施；SCS-CN 模型；双目标 0-1 规划；ε-约束法；海绵城市；校园雨洪管理</w:t>
      </w:r>
    </w:p>
    <w:p w14:paraId="0E992612">
      <w:pPr>
        <w:pStyle w:val="3"/>
      </w:pPr>
      <w:bookmarkStart w:id="1" w:name="_Toc21116"/>
      <w:r>
        <w:t>1 问题提出</w:t>
      </w:r>
      <w:bookmarkEnd w:id="1"/>
    </w:p>
    <w:p w14:paraId="1E1EEB70">
      <w:pPr>
        <w:pStyle w:val="4"/>
      </w:pPr>
      <w:bookmarkStart w:id="2" w:name="_Toc28145"/>
      <w:r>
        <w:t>1.1 现实背景</w:t>
      </w:r>
      <w:bookmarkEnd w:id="2"/>
    </w:p>
    <w:p w14:paraId="05E5DCAE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福建沿海是台风登陆与暴雨频次最高的区域之一。2023 年 7 月 28 日，台风"杜苏芮"在晋江沿海登陆（登陆强度 15 级、50 m/s），晋江安海镇录得 263.9 mm 的极端日雨量，泉州全市平均 186.5 mm，南安日雨量 338.9 mm 破历史纪录（中国天气网，2023）[4]。与此同时，同期的夏季高温使校园地表面温度显著升高，硬化场地（操场、球场、道路）成为热暴露的主要空间。</w:t>
      </w:r>
    </w:p>
    <w:p w14:paraId="2488B636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在"海绵城市"与城市绿色转型的政策背景下，校园作为高密度硬化、高脆弱人群（青少年）集中、管理决策链短的典型场景，是绿色基础设施（Green Infrastructure, GI）改造的理想试验田：一方面，暴雨径流削减与热环境改善是学校后勤部门真实面对的诉求；另一方面，校园尺度小、边界清晰，恰好适合用一个"小而完整"的数学模型来回答真实的资源配置问题。</w:t>
      </w:r>
    </w:p>
    <w:p w14:paraId="39D14EB8">
      <w:pPr>
        <w:pStyle w:val="4"/>
      </w:pPr>
      <w:bookmarkStart w:id="3" w:name="_Toc24883"/>
      <w:r>
        <w:t>1.2 案例对象与研究区</w:t>
      </w:r>
      <w:bookmarkEnd w:id="3"/>
    </w:p>
    <w:p w14:paraId="4C49110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案例学校为</w:t>
      </w:r>
      <w:r>
        <w:rPr>
          <w:rFonts w:ascii="Times New Roman" w:hAnsi="Times New Roman" w:eastAsia="宋体"/>
          <w:b/>
          <w:i w:val="0"/>
          <w:sz w:val="24"/>
        </w:rPr>
        <w:t>晋江市季延中学本部</w:t>
      </w:r>
      <w:r>
        <w:rPr>
          <w:rFonts w:ascii="Times New Roman" w:hAnsi="Times New Roman" w:eastAsia="宋体"/>
          <w:b w:val="0"/>
          <w:i w:val="0"/>
          <w:sz w:val="24"/>
        </w:rPr>
        <w:t xml:space="preserve">（罗山街道山仔南区 150 号），校园内包含 400 m 标准田径场、球场带、教学楼群与宿舍区。基于公开卫星影像数字化，校园轮廓内合计约 </w:t>
      </w:r>
      <w:r>
        <w:rPr>
          <w:rFonts w:ascii="Times New Roman" w:hAnsi="Times New Roman" w:eastAsia="宋体"/>
          <w:b/>
          <w:i w:val="0"/>
          <w:sz w:val="24"/>
        </w:rPr>
        <w:t>84 599 m²</w:t>
      </w:r>
      <w:r>
        <w:rPr>
          <w:rFonts w:ascii="Times New Roman" w:hAnsi="Times New Roman" w:eastAsia="宋体"/>
          <w:b w:val="0"/>
          <w:i w:val="0"/>
          <w:sz w:val="24"/>
        </w:rPr>
        <w:t>（学校公开简介约 101 795.7 m²，含周边，数字化面积用于模型，精度说明见 §3 假设 A7）。</w:t>
      </w:r>
    </w:p>
    <w:p w14:paraId="55F292E1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按"下垫面类型 × 管理单元"原则，将校园划分为 </w:t>
      </w:r>
      <w:r>
        <w:rPr>
          <w:rFonts w:ascii="Times New Roman" w:hAnsi="Times New Roman" w:eastAsia="宋体"/>
          <w:b/>
          <w:i w:val="0"/>
          <w:sz w:val="24"/>
        </w:rPr>
        <w:t>12 个候选改造地块（P01–P12，合计 58 964 m²）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与"其余区域（REM，建筑与道路为主，25 635 m²）"，地块编号与影像底图见图 T1，面积与下垫面构成见图 T4。</w:t>
      </w:r>
    </w:p>
    <w:p w14:paraId="212EBDD5">
      <w:pPr>
        <w:spacing w:before="120" w:after="40"/>
        <w:jc w:val="center"/>
      </w:pPr>
      <w:r>
        <w:drawing>
          <wp:inline distT="0" distB="0" distL="114300" distR="114300">
            <wp:extent cx="4474210" cy="5224145"/>
            <wp:effectExtent l="0" t="0" r="254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4464" cy="522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688B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0"/>
        </w:rPr>
        <w:t>图 T1 研究区与地块编号</w:t>
      </w:r>
    </w:p>
    <w:p w14:paraId="5D010064">
      <w:pPr>
        <w:spacing w:before="120" w:after="40"/>
        <w:jc w:val="center"/>
      </w:pPr>
      <w:r>
        <w:drawing>
          <wp:inline distT="0" distB="0" distL="114300" distR="114300">
            <wp:extent cx="5399405" cy="2185670"/>
            <wp:effectExtent l="0" t="0" r="1079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178D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0"/>
        </w:rPr>
        <w:t>图 T4 下垫面构成</w:t>
      </w:r>
    </w:p>
    <w:p w14:paraId="019F7AD0">
      <w:pPr>
        <w:pStyle w:val="4"/>
      </w:pPr>
      <w:bookmarkStart w:id="4" w:name="_Toc28668"/>
      <w:r>
        <w:t>1.3 问题重述</w:t>
      </w:r>
      <w:bookmarkEnd w:id="4"/>
    </w:p>
    <w:p w14:paraId="44636A61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学校后勤部门面临三个具体问题：</w:t>
      </w:r>
    </w:p>
    <w:p w14:paraId="0E3F04D6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现状风险有多大？</w:t>
      </w:r>
      <w:r>
        <w:rPr>
          <w:rFonts w:ascii="Times New Roman" w:hAnsi="Times New Roman" w:eastAsia="宋体"/>
          <w:b w:val="0"/>
          <w:i w:val="0"/>
          <w:sz w:val="24"/>
        </w:rPr>
        <w:t xml:space="preserve"> —— 在不同重现期的设计暴雨下，校园现状产流（径流总量）与等效径流系数是多少？</w:t>
      </w:r>
    </w:p>
    <w:p w14:paraId="1466241D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钱花在哪最值？</w:t>
      </w:r>
      <w:r>
        <w:rPr>
          <w:rFonts w:ascii="Times New Roman" w:hAnsi="Times New Roman" w:eastAsia="宋体"/>
          <w:b w:val="0"/>
          <w:i w:val="0"/>
          <w:sz w:val="24"/>
        </w:rPr>
        <w:t xml:space="preserve"> —— 在候选地块中，把绿地改造为雨水花园、下沉式绿地，或把硬化区改造为透水铺装，哪些投放的单位投资效益最高？</w:t>
      </w:r>
    </w:p>
    <w:p w14:paraId="2A5D2444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不同预算下分别给什么方案？</w:t>
      </w:r>
      <w:r>
        <w:rPr>
          <w:rFonts w:ascii="Times New Roman" w:hAnsi="Times New Roman" w:eastAsia="宋体"/>
          <w:b w:val="0"/>
          <w:i w:val="0"/>
          <w:sz w:val="24"/>
        </w:rPr>
        <w:t xml:space="preserve"> —— 给定预算 B（50–400 万元区间），如何给出"径流削减优先 / 均衡 / 降温优先"三档可执行方案，并说明其代价与收益？</w:t>
      </w:r>
    </w:p>
    <w:p w14:paraId="6C198E45">
      <w:pPr>
        <w:pStyle w:val="4"/>
      </w:pPr>
      <w:bookmarkStart w:id="5" w:name="_Toc7582"/>
      <w:r>
        <w:t>1.4 任务分解</w:t>
      </w:r>
      <w:bookmarkEnd w:id="5"/>
    </w:p>
    <w:p w14:paraId="3A93DBA8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围绕上述三问，工作分解为六阶段：现实问题 → 问题数学化 → 模型链 M1–M3 → 配置优化 M4 → 检验 M5 → 决策输出（图 T2）。</w:t>
      </w:r>
    </w:p>
    <w:p w14:paraId="2BCD5797">
      <w:pPr>
        <w:spacing w:before="120" w:after="40"/>
        <w:jc w:val="center"/>
      </w:pPr>
      <w:r>
        <w:drawing>
          <wp:inline distT="0" distB="0" distL="114300" distR="114300">
            <wp:extent cx="5399405" cy="2734310"/>
            <wp:effectExtent l="0" t="0" r="1079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0668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0"/>
        </w:rPr>
        <w:t>图 T2 技术路线图</w:t>
      </w:r>
    </w:p>
    <w:p w14:paraId="766907FB">
      <w:pPr>
        <w:pStyle w:val="3"/>
      </w:pPr>
      <w:bookmarkStart w:id="6" w:name="_Toc2996"/>
      <w:r>
        <w:t>2 模型假设</w:t>
      </w:r>
      <w:bookmarkEnd w:id="6"/>
    </w:p>
    <w:p w14:paraId="15A5AAA4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模型假设及其合理性说明、违反假设的潜在影响如下（对应"假设合理"素养要求）：</w:t>
      </w:r>
    </w:p>
    <w:p w14:paraId="1F18C79B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A1 降雨空间均匀假设</w:t>
      </w:r>
      <w:r>
        <w:rPr>
          <w:rFonts w:ascii="Times New Roman" w:hAnsi="Times New Roman" w:eastAsia="宋体"/>
          <w:b w:val="0"/>
          <w:i w:val="0"/>
          <w:sz w:val="24"/>
        </w:rPr>
        <w:t>：校园尺度（约 500 m × 540 m）内，设计暴雨的降雨强度空间均匀。合理性：对流性降水的空间相关尺度一般为数公里，校园远小于该尺度；影响：产流量估计的偶然误差，已通过情景分析（§7.3）与 CN 敏感性（§7.1）覆盖。</w:t>
      </w:r>
    </w:p>
    <w:p w14:paraId="1B5B6D74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A2 SCS-CN 适用性假设</w:t>
      </w:r>
      <w:r>
        <w:rPr>
          <w:rFonts w:ascii="Times New Roman" w:hAnsi="Times New Roman" w:eastAsia="宋体"/>
          <w:b w:val="0"/>
          <w:i w:val="0"/>
          <w:sz w:val="24"/>
        </w:rPr>
        <w:t>：事件尺度降雨—径流关系可用 SCS-CN 曲线数法描述，且校园下垫面可归入水文土壤组 C。合理性：SCS-CN 是国内外城市雨洪评估的常用工程方法，所需的 CN 取值有标准表可查（TR-55）[2]；影响：CN 的取值不确定性以 ±10% 敏感性覆盖，并如实报告其非对称影响（§7.1）。</w:t>
      </w:r>
    </w:p>
    <w:p w14:paraId="51550CC2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A3 措施效果地块可加假设</w:t>
      </w:r>
      <w:r>
        <w:rPr>
          <w:rFonts w:ascii="Times New Roman" w:hAnsi="Times New Roman" w:eastAsia="宋体"/>
          <w:b w:val="0"/>
          <w:i w:val="0"/>
          <w:sz w:val="24"/>
        </w:rPr>
        <w:t>：各候选地块的改造效果相互独立、可直接按面积线性叠加。合理性：决策以"地块"为最小单元，地块间无上下游串流建模需求；影响：忽略汇流叠加与邻近效应，结果偏保守。</w:t>
      </w:r>
    </w:p>
    <w:p w14:paraId="7A56AA3E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A4 降温响应取稳态经验系数假设</w:t>
      </w:r>
      <w:r>
        <w:rPr>
          <w:rFonts w:ascii="Times New Roman" w:hAnsi="Times New Roman" w:eastAsia="宋体"/>
          <w:b w:val="0"/>
          <w:i w:val="0"/>
          <w:sz w:val="24"/>
        </w:rPr>
        <w:t>：降温收益采用文献报道的地表/近地温度降幅系数（不做现场实测，项目口径为"纯论文"）。合理性：系数来自国内同气候区（华东）文献[5][6]，量级与季节一致；影响：以 ±30% 敏感性覆盖（§7.1）。</w:t>
      </w:r>
    </w:p>
    <w:p w14:paraId="2C706C78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A5 造价静态假设</w:t>
      </w:r>
      <w:r>
        <w:rPr>
          <w:rFonts w:ascii="Times New Roman" w:hAnsi="Times New Roman" w:eastAsia="宋体"/>
          <w:b w:val="0"/>
          <w:i w:val="0"/>
          <w:sz w:val="24"/>
        </w:rPr>
        <w:t>：三类措施的单价取公开定额的保守中值，不考虑通胀、施工条件差异与地区差价。合理性：《海绵城市建设技术指南》附录 3 给出单价区间[1]，取区间中低值并做 ±20% 敏感性；影响：预算的"购买力"平移，已量化（§7.1）。</w:t>
      </w:r>
    </w:p>
    <w:p w14:paraId="0F49A827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A6 地下管网不建模假设</w:t>
      </w:r>
      <w:r>
        <w:rPr>
          <w:rFonts w:ascii="Times New Roman" w:hAnsi="Times New Roman" w:eastAsia="宋体"/>
          <w:b w:val="0"/>
          <w:i w:val="0"/>
          <w:sz w:val="24"/>
        </w:rPr>
        <w:t>：校园既有排水管网未纳入模型，模型只衡量可改造地表产生的径流削减量，不计算管道排水能力。合理性：管网资料非公开可得，且本次决策对象是地表 GI 配置；影响：模型的削减量不能直接换算为"积水消除量"，已在局限（§7.6）中声明。</w:t>
      </w:r>
    </w:p>
    <w:p w14:paraId="5310F713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A7 面积数字化精度假设</w:t>
      </w:r>
      <w:r>
        <w:rPr>
          <w:rFonts w:ascii="Times New Roman" w:hAnsi="Times New Roman" w:eastAsia="宋体"/>
          <w:b w:val="0"/>
          <w:i w:val="0"/>
          <w:sz w:val="24"/>
        </w:rPr>
        <w:t>：地块面积由公开卫星影像数字化获得，估计误差 ±5–10%（无实地测量）。合理性：决策排序主要取决于单位面积效益（与绝对面积近似无关）；影响：绝对削减量随之成比例变化，不影响方案结构与排序结论。</w:t>
      </w:r>
    </w:p>
    <w:p w14:paraId="5F3237F8">
      <w:pPr>
        <w:pStyle w:val="3"/>
      </w:pPr>
      <w:bookmarkStart w:id="7" w:name="_Toc3506"/>
      <w:r>
        <w:t>3 符号说明</w:t>
      </w:r>
      <w:bookmarkEnd w:id="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4DCE3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  <w:shd w:val="clear" w:color="auto" w:fill="EFEFEF"/>
          </w:tcPr>
          <w:p w14:paraId="75FAB247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符号</w:t>
            </w:r>
          </w:p>
        </w:tc>
        <w:tc>
          <w:tcPr>
            <w:tcW w:w="2266" w:type="dxa"/>
            <w:shd w:val="clear" w:color="auto" w:fill="EFEFEF"/>
          </w:tcPr>
          <w:p w14:paraId="62444CF0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w="2266" w:type="dxa"/>
            <w:shd w:val="clear" w:color="auto" w:fill="EFEFEF"/>
          </w:tcPr>
          <w:p w14:paraId="74CA27C4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单位</w:t>
            </w:r>
          </w:p>
        </w:tc>
        <w:tc>
          <w:tcPr>
            <w:tcW w:w="2266" w:type="dxa"/>
            <w:shd w:val="clear" w:color="auto" w:fill="EFEFEF"/>
          </w:tcPr>
          <w:p w14:paraId="4B47B94C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取值来源</w:t>
            </w:r>
          </w:p>
        </w:tc>
      </w:tr>
      <w:tr w14:paraId="00566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47F96B2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 ∈ J</w:t>
            </w:r>
          </w:p>
        </w:tc>
        <w:tc>
          <w:tcPr>
            <w:tcW w:w="2266" w:type="dxa"/>
          </w:tcPr>
          <w:p w14:paraId="2B15A21B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候选地块编号（P01–P12）</w:t>
            </w:r>
          </w:p>
        </w:tc>
        <w:tc>
          <w:tcPr>
            <w:tcW w:w="2266" w:type="dxa"/>
          </w:tcPr>
          <w:p w14:paraId="35932CCE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w="2266" w:type="dxa"/>
          </w:tcPr>
          <w:p w14:paraId="596C74D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影像数字化（T1）</w:t>
            </w:r>
          </w:p>
        </w:tc>
      </w:tr>
      <w:tr w14:paraId="19C7B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4C8D2BEB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 ∈ K</w:t>
            </w:r>
          </w:p>
        </w:tc>
        <w:tc>
          <w:tcPr>
            <w:tcW w:w="2266" w:type="dxa"/>
          </w:tcPr>
          <w:p w14:paraId="1EED9DB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措施类型：保持现状 / 雨水花园 / 下沉式绿地 / 透水铺装</w:t>
            </w:r>
          </w:p>
        </w:tc>
        <w:tc>
          <w:tcPr>
            <w:tcW w:w="2266" w:type="dxa"/>
          </w:tcPr>
          <w:p w14:paraId="1EBAF2E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w="2266" w:type="dxa"/>
          </w:tcPr>
          <w:p w14:paraId="0B9124C4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《指南》设施类型[1]</w:t>
            </w:r>
          </w:p>
        </w:tc>
      </w:tr>
      <w:tr w14:paraId="1113E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5C4824BC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x_jk</w:t>
            </w:r>
          </w:p>
        </w:tc>
        <w:tc>
          <w:tcPr>
            <w:tcW w:w="2266" w:type="dxa"/>
          </w:tcPr>
          <w:p w14:paraId="4C6FC9CD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决策变量：地块 j 实施措施 k 的面积比例（比例模式）或 0-1（整块模式）</w:t>
            </w:r>
          </w:p>
        </w:tc>
        <w:tc>
          <w:tcPr>
            <w:tcW w:w="2266" w:type="dxa"/>
          </w:tcPr>
          <w:p w14:paraId="14405D26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w="2266" w:type="dxa"/>
          </w:tcPr>
          <w:p w14:paraId="7F4A2D2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本文定义</w:t>
            </w:r>
          </w:p>
        </w:tc>
      </w:tr>
      <w:tr w14:paraId="2CB4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4615AAD8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A_j</w:t>
            </w:r>
          </w:p>
        </w:tc>
        <w:tc>
          <w:tcPr>
            <w:tcW w:w="2266" w:type="dxa"/>
          </w:tcPr>
          <w:p w14:paraId="4B9E4D9F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地块 j 面积</w:t>
            </w:r>
          </w:p>
        </w:tc>
        <w:tc>
          <w:tcPr>
            <w:tcW w:w="2266" w:type="dxa"/>
          </w:tcPr>
          <w:p w14:paraId="09CDC709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m²</w:t>
            </w:r>
          </w:p>
        </w:tc>
        <w:tc>
          <w:tcPr>
            <w:tcW w:w="2266" w:type="dxa"/>
          </w:tcPr>
          <w:p w14:paraId="6F8899DE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影像数字化</w:t>
            </w:r>
          </w:p>
        </w:tc>
      </w:tr>
      <w:tr w14:paraId="09195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5488325D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c_jk</w:t>
            </w:r>
          </w:p>
        </w:tc>
        <w:tc>
          <w:tcPr>
            <w:tcW w:w="2266" w:type="dxa"/>
          </w:tcPr>
          <w:p w14:paraId="5A6F9F08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措施 k 在地块 j 的全额造价</w:t>
            </w:r>
          </w:p>
        </w:tc>
        <w:tc>
          <w:tcPr>
            <w:tcW w:w="2266" w:type="dxa"/>
          </w:tcPr>
          <w:p w14:paraId="4C1BC495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</w:t>
            </w:r>
          </w:p>
        </w:tc>
        <w:tc>
          <w:tcPr>
            <w:tcW w:w="2266" w:type="dxa"/>
          </w:tcPr>
          <w:p w14:paraId="6D5B15BF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单价 × A_j（单价见 §5.1）</w:t>
            </w:r>
          </w:p>
        </w:tc>
      </w:tr>
      <w:tr w14:paraId="2899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58C373FA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Δq_jk</w:t>
            </w:r>
          </w:p>
        </w:tc>
        <w:tc>
          <w:tcPr>
            <w:tcW w:w="2266" w:type="dxa"/>
          </w:tcPr>
          <w:p w14:paraId="31F0E95E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措施 k 在地块 j 的径流削减量（主情景：3 年一遇 60 min）</w:t>
            </w:r>
          </w:p>
        </w:tc>
        <w:tc>
          <w:tcPr>
            <w:tcW w:w="2266" w:type="dxa"/>
          </w:tcPr>
          <w:p w14:paraId="5E6C0E5D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m³</w:t>
            </w:r>
          </w:p>
        </w:tc>
        <w:tc>
          <w:tcPr>
            <w:tcW w:w="2266" w:type="dxa"/>
          </w:tcPr>
          <w:p w14:paraId="073A0776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M2 计算</w:t>
            </w:r>
          </w:p>
        </w:tc>
      </w:tr>
      <w:tr w14:paraId="72616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2B6B2A5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Δt_jk</w:t>
            </w:r>
          </w:p>
        </w:tc>
        <w:tc>
          <w:tcPr>
            <w:tcW w:w="2266" w:type="dxa"/>
          </w:tcPr>
          <w:p w14:paraId="6D228DEA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措施 k 在地块 j 的降温收益（按面积累计）</w:t>
            </w:r>
          </w:p>
        </w:tc>
        <w:tc>
          <w:tcPr>
            <w:tcW w:w="2266" w:type="dxa"/>
          </w:tcPr>
          <w:p w14:paraId="2198D513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℃·m²</w:t>
            </w:r>
          </w:p>
        </w:tc>
        <w:tc>
          <w:tcPr>
            <w:tcW w:w="2266" w:type="dxa"/>
          </w:tcPr>
          <w:p w14:paraId="772CF205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M3 计算</w:t>
            </w:r>
          </w:p>
        </w:tc>
      </w:tr>
      <w:tr w14:paraId="59FA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6026809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2266" w:type="dxa"/>
          </w:tcPr>
          <w:p w14:paraId="7F6C059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改造预算</w:t>
            </w:r>
          </w:p>
        </w:tc>
        <w:tc>
          <w:tcPr>
            <w:tcW w:w="2266" w:type="dxa"/>
          </w:tcPr>
          <w:p w14:paraId="7F3C11A0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元（报告用万元）</w:t>
            </w:r>
          </w:p>
        </w:tc>
        <w:tc>
          <w:tcPr>
            <w:tcW w:w="2266" w:type="dxa"/>
          </w:tcPr>
          <w:p w14:paraId="1E0EF41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情景参数</w:t>
            </w:r>
          </w:p>
        </w:tc>
      </w:tr>
      <w:tr w14:paraId="19E76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655F10D9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</w:t>
            </w:r>
          </w:p>
        </w:tc>
        <w:tc>
          <w:tcPr>
            <w:tcW w:w="2266" w:type="dxa"/>
          </w:tcPr>
          <w:p w14:paraId="3231FD86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重现期</w:t>
            </w:r>
          </w:p>
        </w:tc>
        <w:tc>
          <w:tcPr>
            <w:tcW w:w="2266" w:type="dxa"/>
          </w:tcPr>
          <w:p w14:paraId="2F6EF7B3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年</w:t>
            </w:r>
          </w:p>
        </w:tc>
        <w:tc>
          <w:tcPr>
            <w:tcW w:w="2266" w:type="dxa"/>
          </w:tcPr>
          <w:p w14:paraId="0B3DFDA4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1, 3, 5, 10, 50</w:t>
            </w:r>
          </w:p>
        </w:tc>
      </w:tr>
      <w:tr w14:paraId="41C9A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66" w:type="dxa"/>
          </w:tcPr>
          <w:p w14:paraId="42FADE09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P_T</w:t>
            </w:r>
          </w:p>
        </w:tc>
        <w:tc>
          <w:tcPr>
            <w:tcW w:w="2266" w:type="dxa"/>
          </w:tcPr>
          <w:p w14:paraId="79ED79B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设计雨量（事件口径）</w:t>
            </w:r>
          </w:p>
        </w:tc>
        <w:tc>
          <w:tcPr>
            <w:tcW w:w="2266" w:type="dxa"/>
          </w:tcPr>
          <w:p w14:paraId="655604A3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mm</w:t>
            </w:r>
          </w:p>
        </w:tc>
        <w:tc>
          <w:tcPr>
            <w:tcW w:w="2266" w:type="dxa"/>
          </w:tcPr>
          <w:p w14:paraId="2E9DA83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M1 计算</w:t>
            </w:r>
          </w:p>
        </w:tc>
      </w:tr>
      <w:tr w14:paraId="2629B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6E582FFC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CN</w:t>
            </w:r>
          </w:p>
        </w:tc>
        <w:tc>
          <w:tcPr>
            <w:tcW w:w="2266" w:type="dxa"/>
          </w:tcPr>
          <w:p w14:paraId="6CFA0BC8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径流曲线数（curve number）</w:t>
            </w:r>
          </w:p>
        </w:tc>
        <w:tc>
          <w:tcPr>
            <w:tcW w:w="2266" w:type="dxa"/>
          </w:tcPr>
          <w:p w14:paraId="33006DB0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w="2266" w:type="dxa"/>
          </w:tcPr>
          <w:p w14:paraId="7247CE7B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TR-55（水文组 C）[2]</w:t>
            </w:r>
          </w:p>
        </w:tc>
      </w:tr>
      <w:tr w14:paraId="4ED9E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5C2F373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</w:t>
            </w:r>
          </w:p>
        </w:tc>
        <w:tc>
          <w:tcPr>
            <w:tcW w:w="2266" w:type="dxa"/>
          </w:tcPr>
          <w:p w14:paraId="6B57B9E0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潜在滞蓄量 S = 25400/CN − 254</w:t>
            </w:r>
          </w:p>
        </w:tc>
        <w:tc>
          <w:tcPr>
            <w:tcW w:w="2266" w:type="dxa"/>
          </w:tcPr>
          <w:p w14:paraId="4D31476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mm</w:t>
            </w:r>
          </w:p>
        </w:tc>
        <w:tc>
          <w:tcPr>
            <w:tcW w:w="2266" w:type="dxa"/>
          </w:tcPr>
          <w:p w14:paraId="6AD9BB00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SCS-CN</w:t>
            </w:r>
          </w:p>
        </w:tc>
      </w:tr>
      <w:tr w14:paraId="513FD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01F8CDD4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</w:t>
            </w:r>
          </w:p>
        </w:tc>
        <w:tc>
          <w:tcPr>
            <w:tcW w:w="2266" w:type="dxa"/>
          </w:tcPr>
          <w:p w14:paraId="4C187E04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产流深</w:t>
            </w:r>
          </w:p>
        </w:tc>
        <w:tc>
          <w:tcPr>
            <w:tcW w:w="2266" w:type="dxa"/>
          </w:tcPr>
          <w:p w14:paraId="593BFD7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mm</w:t>
            </w:r>
          </w:p>
        </w:tc>
        <w:tc>
          <w:tcPr>
            <w:tcW w:w="2266" w:type="dxa"/>
          </w:tcPr>
          <w:p w14:paraId="4548D41A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SCS-CN</w:t>
            </w:r>
          </w:p>
        </w:tc>
      </w:tr>
      <w:tr w14:paraId="7FB69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5EE72FD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Q₀</w:t>
            </w:r>
          </w:p>
        </w:tc>
        <w:tc>
          <w:tcPr>
            <w:tcW w:w="2266" w:type="dxa"/>
          </w:tcPr>
          <w:p w14:paraId="0EECE9BE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现状产流总量</w:t>
            </w:r>
          </w:p>
        </w:tc>
        <w:tc>
          <w:tcPr>
            <w:tcW w:w="2266" w:type="dxa"/>
          </w:tcPr>
          <w:p w14:paraId="759C427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m³</w:t>
            </w:r>
          </w:p>
        </w:tc>
        <w:tc>
          <w:tcPr>
            <w:tcW w:w="2266" w:type="dxa"/>
          </w:tcPr>
          <w:p w14:paraId="31EF5AC6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M2 计算</w:t>
            </w:r>
          </w:p>
        </w:tc>
      </w:tr>
      <w:tr w14:paraId="7935A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39EB3F7E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η</w:t>
            </w:r>
          </w:p>
        </w:tc>
        <w:tc>
          <w:tcPr>
            <w:tcW w:w="2266" w:type="dxa"/>
          </w:tcPr>
          <w:p w14:paraId="64AE7EE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径流削减率 η = ΔQ / Q₀</w:t>
            </w:r>
          </w:p>
        </w:tc>
        <w:tc>
          <w:tcPr>
            <w:tcW w:w="2266" w:type="dxa"/>
          </w:tcPr>
          <w:p w14:paraId="1E8D9E80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%</w:t>
            </w:r>
          </w:p>
        </w:tc>
        <w:tc>
          <w:tcPr>
            <w:tcW w:w="2266" w:type="dxa"/>
          </w:tcPr>
          <w:p w14:paraId="62EEAFA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本文定义</w:t>
            </w:r>
          </w:p>
        </w:tc>
      </w:tr>
      <w:tr w14:paraId="4802A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5E10EB29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ε</w:t>
            </w:r>
          </w:p>
        </w:tc>
        <w:tc>
          <w:tcPr>
            <w:tcW w:w="2266" w:type="dxa"/>
          </w:tcPr>
          <w:p w14:paraId="7A2BEC16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ε-约束法的降温收益下界</w:t>
            </w:r>
          </w:p>
        </w:tc>
        <w:tc>
          <w:tcPr>
            <w:tcW w:w="2266" w:type="dxa"/>
          </w:tcPr>
          <w:p w14:paraId="4DD8F446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℃·m²</w:t>
            </w:r>
          </w:p>
        </w:tc>
        <w:tc>
          <w:tcPr>
            <w:tcW w:w="2266" w:type="dxa"/>
          </w:tcPr>
          <w:p w14:paraId="58A97ED8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算法参数</w:t>
            </w:r>
          </w:p>
        </w:tc>
      </w:tr>
    </w:tbl>
    <w:p w14:paraId="7FF64FB1">
      <w:pPr>
        <w:spacing w:after="40"/>
      </w:pPr>
    </w:p>
    <w:p w14:paraId="16B29F24">
      <w:pPr>
        <w:pStyle w:val="3"/>
      </w:pPr>
      <w:bookmarkStart w:id="8" w:name="_Toc20326"/>
      <w:r>
        <w:t>4 问题分析</w:t>
      </w:r>
      <w:bookmarkEnd w:id="8"/>
    </w:p>
    <w:p w14:paraId="5CBCD6C9">
      <w:pPr>
        <w:pStyle w:val="4"/>
      </w:pPr>
      <w:bookmarkStart w:id="9" w:name="_Toc28142"/>
      <w:r>
        <w:t>4.1 现实情境的数学转化</w:t>
      </w:r>
      <w:bookmarkEnd w:id="9"/>
    </w:p>
    <w:p w14:paraId="3AF16ADC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三个现实问题（§1.3）分别对应三类数学对象：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F4D9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  <w:shd w:val="clear" w:color="auto" w:fill="EFEFEF"/>
          </w:tcPr>
          <w:p w14:paraId="32BEAE7A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现实问题</w:t>
            </w:r>
          </w:p>
        </w:tc>
        <w:tc>
          <w:tcPr>
            <w:tcW w:w="3022" w:type="dxa"/>
            <w:shd w:val="clear" w:color="auto" w:fill="EFEFEF"/>
          </w:tcPr>
          <w:p w14:paraId="677C9A52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数学对象</w:t>
            </w:r>
          </w:p>
        </w:tc>
        <w:tc>
          <w:tcPr>
            <w:tcW w:w="3022" w:type="dxa"/>
            <w:shd w:val="clear" w:color="auto" w:fill="EFEFEF"/>
          </w:tcPr>
          <w:p w14:paraId="2D5179A5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模型</w:t>
            </w:r>
          </w:p>
        </w:tc>
      </w:tr>
      <w:tr w14:paraId="481E3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17AB3F1B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① 现状风险多大</w:t>
            </w:r>
          </w:p>
        </w:tc>
        <w:tc>
          <w:tcPr>
            <w:tcW w:w="3022" w:type="dxa"/>
          </w:tcPr>
          <w:p w14:paraId="085405EB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给定重现期 P_T 下的现状产流 Q₀(P_T) 与等效径流系数</w:t>
            </w:r>
          </w:p>
        </w:tc>
        <w:tc>
          <w:tcPr>
            <w:tcW w:w="3022" w:type="dxa"/>
          </w:tcPr>
          <w:p w14:paraId="450FD3C5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M1 + M2</w:t>
            </w:r>
          </w:p>
        </w:tc>
      </w:tr>
      <w:tr w14:paraId="0385A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149E495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② 钱花哪最值</w:t>
            </w:r>
          </w:p>
        </w:tc>
        <w:tc>
          <w:tcPr>
            <w:tcW w:w="3022" w:type="dxa"/>
          </w:tcPr>
          <w:p w14:paraId="27F4F25F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单位投资效益（m³/万元、℃·m²/万元）的排序</w:t>
            </w:r>
          </w:p>
        </w:tc>
        <w:tc>
          <w:tcPr>
            <w:tcW w:w="3022" w:type="dxa"/>
          </w:tcPr>
          <w:p w14:paraId="030C5E46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M2 + M3（单地块系数）</w:t>
            </w:r>
          </w:p>
        </w:tc>
      </w:tr>
      <w:tr w14:paraId="1339C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6E043A9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③ 不同预算给什么方案</w:t>
            </w:r>
          </w:p>
        </w:tc>
        <w:tc>
          <w:tcPr>
            <w:tcW w:w="3022" w:type="dxa"/>
          </w:tcPr>
          <w:p w14:paraId="4D5B2D85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参数化（以 B 为参数）的双目标优化问题及其 Pareto 前沿</w:t>
            </w:r>
          </w:p>
        </w:tc>
        <w:tc>
          <w:tcPr>
            <w:tcW w:w="3022" w:type="dxa"/>
          </w:tcPr>
          <w:p w14:paraId="52EC524F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M4</w:t>
            </w:r>
          </w:p>
        </w:tc>
      </w:tr>
    </w:tbl>
    <w:p w14:paraId="172976F3">
      <w:pPr>
        <w:spacing w:after="40"/>
      </w:pPr>
    </w:p>
    <w:p w14:paraId="780ED84C">
      <w:pPr>
        <w:pStyle w:val="4"/>
      </w:pPr>
      <w:bookmarkStart w:id="10" w:name="_Toc30556"/>
      <w:r>
        <w:t>4.2 双服务的量化定义</w:t>
      </w:r>
      <w:bookmarkEnd w:id="10"/>
    </w:p>
    <w:p w14:paraId="11AD374F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径流控制服务</w:t>
      </w:r>
      <w:r>
        <w:rPr>
          <w:rFonts w:ascii="Times New Roman" w:hAnsi="Times New Roman" w:eastAsia="宋体"/>
          <w:b w:val="0"/>
          <w:i w:val="0"/>
          <w:sz w:val="24"/>
        </w:rPr>
        <w:t>：以主设计情景（3 年一遇、60 min 设计暴雨）下的</w:t>
      </w:r>
      <w:r>
        <w:rPr>
          <w:rFonts w:ascii="Times New Roman" w:hAnsi="Times New Roman" w:eastAsia="宋体"/>
          <w:b/>
          <w:i w:val="0"/>
          <w:sz w:val="24"/>
        </w:rPr>
        <w:t>径流削减量 ΔQ（m³）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度量；等价指标为产流削减率 η = ΔQ/Q₀。</w:t>
      </w:r>
    </w:p>
    <w:p w14:paraId="584E467A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热环境改善服务</w:t>
      </w:r>
      <w:r>
        <w:rPr>
          <w:rFonts w:ascii="Times New Roman" w:hAnsi="Times New Roman" w:eastAsia="宋体"/>
          <w:b w:val="0"/>
          <w:i w:val="0"/>
          <w:sz w:val="24"/>
        </w:rPr>
        <w:t>：以</w:t>
      </w:r>
      <w:r>
        <w:rPr>
          <w:rFonts w:ascii="Times New Roman" w:hAnsi="Times New Roman" w:eastAsia="宋体"/>
          <w:b/>
          <w:i w:val="0"/>
          <w:sz w:val="24"/>
        </w:rPr>
        <w:t>降温收益 ΔT（℃·m²）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度量，即各改造地块的降温强度（℃/m²，文献系数）按面积累计，反映"降温服务总量"。</w:t>
      </w:r>
    </w:p>
    <w:p w14:paraId="3E0028DA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>· 双目标彼此耦合于同一预算约束：在有限资金下，两类措施的投放存在竞争，构成真正的多目标权衡。</w:t>
      </w:r>
    </w:p>
    <w:p w14:paraId="446BF246">
      <w:pPr>
        <w:pStyle w:val="4"/>
      </w:pPr>
      <w:bookmarkStart w:id="11" w:name="_Toc15407"/>
      <w:r>
        <w:t>4.3 优化问题形式化</w:t>
      </w:r>
      <w:bookmarkEnd w:id="11"/>
    </w:p>
    <w:p w14:paraId="6661DC69">
      <w:pPr>
        <w:spacing w:before="120" w:after="120"/>
        <w:jc w:val="center"/>
      </w:pPr>
      <w:r>
        <w:drawing>
          <wp:inline distT="0" distB="0" distL="114300" distR="114300">
            <wp:extent cx="2319020" cy="1148715"/>
            <wp:effectExtent l="0" t="0" r="508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9528" cy="114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619A">
      <w:pPr>
        <w:spacing w:before="120" w:after="120"/>
        <w:jc w:val="center"/>
      </w:pPr>
      <w:r>
        <w:drawing>
          <wp:inline distT="0" distB="0" distL="114300" distR="114300">
            <wp:extent cx="3358515" cy="4692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8896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5C5A">
      <w:pPr>
        <w:spacing w:before="120" w:after="120"/>
        <w:jc w:val="center"/>
      </w:pPr>
      <w:r>
        <w:drawing>
          <wp:inline distT="0" distB="0" distL="114300" distR="114300">
            <wp:extent cx="5399405" cy="422275"/>
            <wp:effectExtent l="0" t="0" r="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0F0C">
      <w:pPr>
        <w:spacing w:before="120" w:after="120"/>
        <w:jc w:val="center"/>
      </w:pPr>
      <w:r>
        <w:drawing>
          <wp:inline distT="0" distB="0" distL="114300" distR="114300">
            <wp:extent cx="4998720" cy="956945"/>
            <wp:effectExtent l="0" t="0" r="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95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1D54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工程适用性约束</w:t>
      </w:r>
      <w:r>
        <w:rPr>
          <w:rFonts w:ascii="Times New Roman" w:hAnsi="Times New Roman" w:eastAsia="宋体"/>
          <w:b w:val="0"/>
          <w:i w:val="0"/>
          <w:sz w:val="24"/>
        </w:rPr>
        <w:t>依据《海绵城市建设技术指南》的设施适用条件[1]给出：硬化/看台带 → {保持现状, 透水铺装, 雨水花园}；球场/塑胶场地 → {保持现状, 透水铺装}；草地 → {保持现状, 下沉式绿地, 雨水花园}；林地 → {保持现状, 下沉式绿地}；性质待核地块 → {保持现状, 透水铺装}。</w:t>
      </w:r>
    </w:p>
    <w:p w14:paraId="12F53300">
      <w:pPr>
        <w:pStyle w:val="4"/>
      </w:pPr>
      <w:bookmarkStart w:id="12" w:name="_Toc22991"/>
      <w:r>
        <w:t>4.4 数据与参数的可获得性</w:t>
      </w:r>
      <w:bookmarkEnd w:id="12"/>
    </w:p>
    <w:p w14:paraId="57B0B89D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本项目为"纯论文"口径：</w:t>
      </w:r>
      <w:r>
        <w:rPr>
          <w:rFonts w:ascii="Times New Roman" w:hAnsi="Times New Roman" w:eastAsia="宋体"/>
          <w:b/>
          <w:i w:val="0"/>
          <w:sz w:val="24"/>
        </w:rPr>
        <w:t>全部参数与数据来自公开资料检索并逐条记录来源</w:t>
      </w:r>
      <w:r>
        <w:rPr>
          <w:rFonts w:ascii="Times New Roman" w:hAnsi="Times New Roman" w:eastAsia="宋体"/>
          <w:b w:val="0"/>
          <w:i w:val="0"/>
          <w:sz w:val="24"/>
        </w:rPr>
        <w:t>，不作实地测量。参数体系与来源如下：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9"/>
        <w:gridCol w:w="3713"/>
        <w:gridCol w:w="2810"/>
      </w:tblGrid>
      <w:tr w14:paraId="14472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  <w:shd w:val="clear" w:color="auto" w:fill="EFEFEF"/>
          </w:tcPr>
          <w:p w14:paraId="6EAF4C7F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参数</w:t>
            </w:r>
          </w:p>
        </w:tc>
        <w:tc>
          <w:tcPr>
            <w:tcW w:w="3022" w:type="dxa"/>
            <w:shd w:val="clear" w:color="auto" w:fill="EFEFEF"/>
          </w:tcPr>
          <w:p w14:paraId="5BE23343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取值</w:t>
            </w:r>
          </w:p>
        </w:tc>
        <w:tc>
          <w:tcPr>
            <w:tcW w:w="3022" w:type="dxa"/>
            <w:shd w:val="clear" w:color="auto" w:fill="EFEFEF"/>
          </w:tcPr>
          <w:p w14:paraId="586AE658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来源</w:t>
            </w:r>
          </w:p>
        </w:tc>
      </w:tr>
      <w:tr w14:paraId="1EB93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4854D1BD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暴雨强度公式</w:t>
            </w:r>
          </w:p>
        </w:tc>
        <w:tc>
          <w:tcPr>
            <w:tcW w:w="3022" w:type="dxa"/>
          </w:tcPr>
          <w:p w14:paraId="3775FA63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 = 1470.505(1+0.750·lgP)/(t+10.257)^0.604 [L/(s·ha)]</w:t>
            </w:r>
          </w:p>
        </w:tc>
        <w:tc>
          <w:tcPr>
            <w:tcW w:w="3022" w:type="dxa"/>
          </w:tcPr>
          <w:p w14:paraId="068D9225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泉州（含晋江）公式（公开资料整理）[3]</w:t>
            </w:r>
          </w:p>
        </w:tc>
      </w:tr>
      <w:tr w14:paraId="50CD5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6BB0B3D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极端事件雨量</w:t>
            </w:r>
          </w:p>
        </w:tc>
        <w:tc>
          <w:tcPr>
            <w:tcW w:w="3022" w:type="dxa"/>
          </w:tcPr>
          <w:p w14:paraId="6FF9C63A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安海镇 263.9 mm / 泉州平均 186.5 mm（2023 杜苏芮）</w:t>
            </w:r>
          </w:p>
        </w:tc>
        <w:tc>
          <w:tcPr>
            <w:tcW w:w="3022" w:type="dxa"/>
          </w:tcPr>
          <w:p w14:paraId="3AB4B5DB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中国天气网[4]</w:t>
            </w:r>
          </w:p>
        </w:tc>
      </w:tr>
      <w:tr w14:paraId="77AD8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17253868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CN（现状）</w:t>
            </w:r>
          </w:p>
        </w:tc>
        <w:tc>
          <w:tcPr>
            <w:tcW w:w="3022" w:type="dxa"/>
          </w:tcPr>
          <w:p w14:paraId="30FE756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草地 74、林地 70、不透水（硬化/球场）98、待核 86、建筑道路 95</w:t>
            </w:r>
          </w:p>
        </w:tc>
        <w:tc>
          <w:tcPr>
            <w:tcW w:w="3022" w:type="dxa"/>
          </w:tcPr>
          <w:p w14:paraId="1C52BFAC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TR-55 水文组 C[2]</w:t>
            </w:r>
          </w:p>
        </w:tc>
      </w:tr>
      <w:tr w14:paraId="35C69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2E7BE84F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CN（改造等效）</w:t>
            </w:r>
          </w:p>
        </w:tc>
        <w:tc>
          <w:tcPr>
            <w:tcW w:w="3022" w:type="dxa"/>
          </w:tcPr>
          <w:p w14:paraId="7B241125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雨水花园 66、下沉式绿地 68、透水铺装 80</w:t>
            </w:r>
          </w:p>
        </w:tc>
        <w:tc>
          <w:tcPr>
            <w:tcW w:w="3022" w:type="dxa"/>
          </w:tcPr>
          <w:p w14:paraId="0B562784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由《指南》径流系数区间折算[1]</w:t>
            </w:r>
          </w:p>
        </w:tc>
      </w:tr>
      <w:tr w14:paraId="56A6D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49534F3C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措施单价</w:t>
            </w:r>
          </w:p>
        </w:tc>
        <w:tc>
          <w:tcPr>
            <w:tcW w:w="3022" w:type="dxa"/>
          </w:tcPr>
          <w:p w14:paraId="7088EA5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透水铺装 130 元/m²（60–200）、下沉式绿地 45 元/m²（40–50）、雨水花园 200 元/m²（150–800，取简易低段）</w:t>
            </w:r>
          </w:p>
        </w:tc>
        <w:tc>
          <w:tcPr>
            <w:tcW w:w="3022" w:type="dxa"/>
          </w:tcPr>
          <w:p w14:paraId="3926255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《指南》附录 3[1]</w:t>
            </w:r>
          </w:p>
        </w:tc>
      </w:tr>
      <w:tr w14:paraId="510C6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29D87E5E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降温系数</w:t>
            </w:r>
          </w:p>
        </w:tc>
        <w:tc>
          <w:tcPr>
            <w:tcW w:w="3022" w:type="dxa"/>
          </w:tcPr>
          <w:p w14:paraId="61A07BF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雨水花园 7、下沉式绿地 6、透水铺装 4 ℃/m²（现状基准：草地 −6、林地 −9）</w:t>
            </w:r>
          </w:p>
        </w:tc>
        <w:tc>
          <w:tcPr>
            <w:tcW w:w="3022" w:type="dxa"/>
          </w:tcPr>
          <w:p w14:paraId="23EBE899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北大 2017[5]、中国园林 2022[6]</w:t>
            </w:r>
          </w:p>
        </w:tc>
      </w:tr>
    </w:tbl>
    <w:p w14:paraId="6AF44B08">
      <w:pPr>
        <w:spacing w:after="40"/>
      </w:pPr>
    </w:p>
    <w:p w14:paraId="38E633B5">
      <w:pPr>
        <w:pStyle w:val="3"/>
      </w:pPr>
      <w:bookmarkStart w:id="13" w:name="_Toc20054"/>
      <w:r>
        <w:t>5 模型建立</w:t>
      </w:r>
      <w:bookmarkEnd w:id="13"/>
    </w:p>
    <w:p w14:paraId="039A320B">
      <w:pPr>
        <w:pStyle w:val="4"/>
      </w:pPr>
      <w:bookmarkStart w:id="14" w:name="_Toc4992"/>
      <w:r>
        <w:t>5.1 M1 设计暴雨模型</w:t>
      </w:r>
      <w:bookmarkEnd w:id="14"/>
    </w:p>
    <w:p w14:paraId="36B627C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采用泉州（含晋江）暴雨强度公式（理论频率曲线形式）：</w:t>
      </w:r>
    </w:p>
    <w:p w14:paraId="21BE0B65">
      <w:pPr>
        <w:spacing w:before="120" w:after="120"/>
        <w:jc w:val="center"/>
      </w:pPr>
      <w:r>
        <w:drawing>
          <wp:inline distT="0" distB="0" distL="114300" distR="114300">
            <wp:extent cx="3383280" cy="362585"/>
            <wp:effectExtent l="0" t="0" r="0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041E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采用</w:t>
      </w:r>
      <w:r>
        <w:rPr>
          <w:rFonts w:ascii="Times New Roman" w:hAnsi="Times New Roman" w:eastAsia="宋体"/>
          <w:b/>
          <w:i w:val="0"/>
          <w:sz w:val="24"/>
        </w:rPr>
        <w:t>事件雨量口径</w:t>
      </w:r>
      <w:r>
        <w:rPr>
          <w:rFonts w:ascii="Times New Roman" w:hAnsi="Times New Roman" w:eastAsia="宋体"/>
          <w:b w:val="0"/>
          <w:i w:val="0"/>
          <w:sz w:val="24"/>
        </w:rPr>
        <w:t>将强度换算为历时 t 的累计雨量：</w:t>
      </w:r>
      <w:r>
        <w:rPr>
          <w:rFonts w:ascii="Times New Roman" w:hAnsi="Times New Roman" w:eastAsia="宋体"/>
          <w:b w:val="0"/>
          <w:i/>
          <w:sz w:val="24"/>
        </w:rPr>
        <w:t>P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mm</w:t>
      </w:r>
      <w:r>
        <w:rPr>
          <w:rFonts w:ascii="Times New Roman" w:hAnsi="Times New Roman" w:eastAsia="宋体"/>
          <w:b w:val="0"/>
          <w:i/>
          <w:sz w:val="24"/>
        </w:rPr>
        <w:t xml:space="preserve"> = q × 60t / 10000</w:t>
      </w:r>
      <w:r>
        <w:rPr>
          <w:rFonts w:ascii="Times New Roman" w:hAnsi="Times New Roman" w:eastAsia="宋体"/>
          <w:b w:val="0"/>
          <w:i w:val="0"/>
          <w:sz w:val="24"/>
        </w:rPr>
        <w:t xml:space="preserve">（1 ha = 10⁴ m²）。取重现期 T ∈ {1, 2, 3, 5, 10, 20, 50} 年、历时 {30, 60, 120, 180} min 生成设计暴雨表（图 T6a）。主设计情景取 </w:t>
      </w:r>
      <w:r>
        <w:rPr>
          <w:rFonts w:ascii="Times New Roman" w:hAnsi="Times New Roman" w:eastAsia="宋体"/>
          <w:b/>
          <w:i w:val="0"/>
          <w:sz w:val="24"/>
        </w:rPr>
        <w:t>3 年一遇、60 min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，对应事件雨量 </w:t>
      </w:r>
      <w:r>
        <w:rPr>
          <w:rFonts w:ascii="Times New Roman" w:hAnsi="Times New Roman" w:eastAsia="宋体"/>
          <w:b/>
          <w:i w:val="0"/>
          <w:sz w:val="24"/>
        </w:rPr>
        <w:t>55.1 mm</w:t>
      </w:r>
      <w:r>
        <w:rPr>
          <w:rFonts w:ascii="Times New Roman" w:hAnsi="Times New Roman" w:eastAsia="宋体"/>
          <w:b w:val="0"/>
          <w:i w:val="0"/>
          <w:sz w:val="24"/>
        </w:rPr>
        <w:t>；其余情景用于 §7.3 的情景分析。</w:t>
      </w:r>
    </w:p>
    <w:p w14:paraId="0311AC43">
      <w:pPr>
        <w:spacing w:after="80" w:line="312" w:lineRule="auto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说明：该公式的来源为公开资料整理转述，原始批文出处仍在核实（线索指向《晋江市中心城区排水（雨水）防涝综合规划》）；公式参数已在软件中参数化，如后续核实有出入可一键替换重算。此为诚实报告项，不影响方法结构。</w:t>
      </w:r>
    </w:p>
    <w:p w14:paraId="752B57C2">
      <w:pPr>
        <w:spacing w:before="120" w:after="40"/>
        <w:jc w:val="center"/>
      </w:pPr>
      <w:r>
        <w:drawing>
          <wp:inline distT="0" distB="0" distL="114300" distR="114300">
            <wp:extent cx="5399405" cy="1670050"/>
            <wp:effectExtent l="0" t="0" r="1079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7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8143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0"/>
        </w:rPr>
        <w:t>图 T6 设计暴雨与现状产流</w:t>
      </w:r>
    </w:p>
    <w:p w14:paraId="08E2D07E">
      <w:pPr>
        <w:pStyle w:val="4"/>
      </w:pPr>
      <w:bookmarkStart w:id="15" w:name="_Toc31479"/>
      <w:r>
        <w:t>5.2 M2 产流模型（SCS-CN）</w:t>
      </w:r>
      <w:bookmarkEnd w:id="15"/>
    </w:p>
    <w:p w14:paraId="70FEFD53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采用 SCS 曲线数法计算各下垫面的产流深：</w:t>
      </w:r>
    </w:p>
    <w:p w14:paraId="67D5288F">
      <w:pPr>
        <w:spacing w:before="120" w:after="120"/>
        <w:jc w:val="center"/>
      </w:pPr>
      <w:r>
        <w:drawing>
          <wp:inline distT="0" distB="0" distL="114300" distR="114300">
            <wp:extent cx="4069080" cy="996315"/>
            <wp:effectExtent l="0" t="0" r="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99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0BCC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地块 j 的现状产流体积 </w:t>
      </w:r>
      <w:r>
        <w:rPr>
          <w:rFonts w:ascii="Times New Roman" w:hAnsi="Times New Roman" w:eastAsia="宋体"/>
          <w:b w:val="0"/>
          <w:i/>
          <w:sz w:val="24"/>
        </w:rPr>
        <w:t>Q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0,j</w:t>
      </w:r>
      <w:r>
        <w:rPr>
          <w:rFonts w:ascii="Times New Roman" w:hAnsi="Times New Roman" w:eastAsia="宋体"/>
          <w:b w:val="0"/>
          <w:i/>
          <w:sz w:val="24"/>
        </w:rPr>
        <w:t xml:space="preserve"> = Q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mm</w:t>
      </w:r>
      <w:r>
        <w:rPr>
          <w:rFonts w:ascii="Times New Roman" w:hAnsi="Times New Roman" w:eastAsia="宋体"/>
          <w:b w:val="0"/>
          <w:i/>
          <w:sz w:val="24"/>
        </w:rPr>
        <w:t>(P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T</w:t>
      </w:r>
      <w:r>
        <w:rPr>
          <w:rFonts w:ascii="Times New Roman" w:hAnsi="Times New Roman" w:eastAsia="宋体"/>
          <w:b w:val="0"/>
          <w:i/>
          <w:sz w:val="24"/>
        </w:rPr>
        <w:t>, CN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j</w:t>
      </w:r>
      <w:r>
        <w:rPr>
          <w:rFonts w:ascii="Times New Roman" w:hAnsi="Times New Roman" w:eastAsia="宋体"/>
          <w:b w:val="0"/>
          <w:i/>
          <w:sz w:val="24"/>
        </w:rPr>
        <w:t>)· A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j</w:t>
      </w:r>
      <w:r>
        <w:rPr>
          <w:rFonts w:ascii="Times New Roman" w:hAnsi="Times New Roman" w:eastAsia="宋体"/>
          <w:b w:val="0"/>
          <w:i/>
          <w:sz w:val="24"/>
        </w:rPr>
        <w:t xml:space="preserve"> / 1000</w:t>
      </w:r>
      <w:r>
        <w:rPr>
          <w:rFonts w:ascii="Times New Roman" w:hAnsi="Times New Roman" w:eastAsia="宋体"/>
          <w:b w:val="0"/>
          <w:i w:val="0"/>
          <w:sz w:val="24"/>
        </w:rPr>
        <w:t xml:space="preserve">（m³），校园现状产流 </w:t>
      </w:r>
      <w:r>
        <w:rPr>
          <w:rFonts w:ascii="Times New Roman" w:hAnsi="Times New Roman" w:eastAsia="宋体"/>
          <w:b w:val="0"/>
          <w:i/>
          <w:sz w:val="24"/>
        </w:rPr>
        <w:t>Q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0</w:t>
      </w:r>
      <w:r>
        <w:rPr>
          <w:rFonts w:ascii="Times New Roman" w:hAnsi="Times New Roman" w:eastAsia="宋体"/>
          <w:b w:val="0"/>
          <w:i/>
          <w:sz w:val="24"/>
        </w:rPr>
        <w:t xml:space="preserve"> = Σ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j</w:t>
      </w:r>
      <w:r>
        <w:rPr>
          <w:rFonts w:ascii="Times New Roman" w:hAnsi="Times New Roman" w:eastAsia="宋体"/>
          <w:b w:val="0"/>
          <w:i/>
          <w:sz w:val="24"/>
        </w:rPr>
        <w:t xml:space="preserve"> Q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0,j</w:t>
      </w:r>
      <w:r>
        <w:rPr>
          <w:rFonts w:ascii="Times New Roman" w:hAnsi="Times New Roman" w:eastAsia="宋体"/>
          <w:b w:val="0"/>
          <w:i w:val="0"/>
          <w:sz w:val="24"/>
        </w:rPr>
        <w:t>（含 REM）。改造措施通过降低 CN 实现产流削减：</w:t>
      </w:r>
      <w:r>
        <w:rPr>
          <w:rFonts w:ascii="Times New Roman" w:hAnsi="Times New Roman" w:eastAsia="宋体"/>
          <w:b w:val="0"/>
          <w:i/>
          <w:sz w:val="24"/>
        </w:rPr>
        <w:t>Δ q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jk</w:t>
      </w:r>
      <w:r>
        <w:rPr>
          <w:rFonts w:ascii="Times New Roman" w:hAnsi="Times New Roman" w:eastAsia="宋体"/>
          <w:b w:val="0"/>
          <w:i/>
          <w:sz w:val="24"/>
        </w:rPr>
        <w:t xml:space="preserve"> = [Q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mm</w:t>
      </w:r>
      <w:r>
        <w:rPr>
          <w:rFonts w:ascii="Times New Roman" w:hAnsi="Times New Roman" w:eastAsia="宋体"/>
          <w:b w:val="0"/>
          <w:i/>
          <w:sz w:val="24"/>
        </w:rPr>
        <w:t>(P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T</w:t>
      </w:r>
      <w:r>
        <w:rPr>
          <w:rFonts w:ascii="Times New Roman" w:hAnsi="Times New Roman" w:eastAsia="宋体"/>
          <w:b w:val="0"/>
          <w:i/>
          <w:sz w:val="24"/>
        </w:rPr>
        <w:t>, CN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j</w:t>
      </w:r>
      <w:r>
        <w:rPr>
          <w:rFonts w:ascii="Times New Roman" w:hAnsi="Times New Roman" w:eastAsia="宋体"/>
          <w:b w:val="0"/>
          <w:i/>
          <w:sz w:val="24"/>
        </w:rPr>
        <w:t>) - Q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mm</w:t>
      </w:r>
      <w:r>
        <w:rPr>
          <w:rFonts w:ascii="Times New Roman" w:hAnsi="Times New Roman" w:eastAsia="宋体"/>
          <w:b w:val="0"/>
          <w:i/>
          <w:sz w:val="24"/>
        </w:rPr>
        <w:t>(P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T</w:t>
      </w:r>
      <w:r>
        <w:rPr>
          <w:rFonts w:ascii="Times New Roman" w:hAnsi="Times New Roman" w:eastAsia="宋体"/>
          <w:b w:val="0"/>
          <w:i/>
          <w:sz w:val="24"/>
        </w:rPr>
        <w:t>, CN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k</w:t>
      </w:r>
      <w:r>
        <w:rPr>
          <w:rFonts w:ascii="Times New Roman" w:hAnsi="Times New Roman" w:eastAsia="宋体"/>
          <w:b w:val="0"/>
          <w:i/>
          <w:sz w:val="24"/>
          <w:vertAlign w:val="superscript"/>
        </w:rPr>
        <w:t>new</w:t>
      </w:r>
      <w:r>
        <w:rPr>
          <w:rFonts w:ascii="Times New Roman" w:hAnsi="Times New Roman" w:eastAsia="宋体"/>
          <w:b w:val="0"/>
          <w:i/>
          <w:sz w:val="24"/>
        </w:rPr>
        <w:t>)] · A</w:t>
      </w:r>
      <w:r>
        <w:rPr>
          <w:rFonts w:ascii="Times New Roman" w:hAnsi="Times New Roman" w:eastAsia="宋体"/>
          <w:b w:val="0"/>
          <w:i/>
          <w:sz w:val="24"/>
          <w:vertAlign w:val="subscript"/>
        </w:rPr>
        <w:t>j</w:t>
      </w:r>
      <w:r>
        <w:rPr>
          <w:rFonts w:ascii="Times New Roman" w:hAnsi="Times New Roman" w:eastAsia="宋体"/>
          <w:b w:val="0"/>
          <w:i/>
          <w:sz w:val="24"/>
        </w:rPr>
        <w:t xml:space="preserve"> / 1000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 w14:paraId="3973DB2D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CN 取值依据 TR-55 水文土壤组 C（福建红壤偏 C 组）[2]；措施等效 CN 由《指南》径流系数区间在 3 年一遇雨量下折算[1]。SCS-CN 的一个重要特性是</w:t>
      </w:r>
      <w:r>
        <w:rPr>
          <w:rFonts w:ascii="Times New Roman" w:hAnsi="Times New Roman" w:eastAsia="宋体"/>
          <w:b/>
          <w:i w:val="0"/>
          <w:sz w:val="24"/>
        </w:rPr>
        <w:t>初损阈值效应</w:t>
      </w:r>
      <w:r>
        <w:rPr>
          <w:rFonts w:ascii="Times New Roman" w:hAnsi="Times New Roman" w:eastAsia="宋体"/>
          <w:b w:val="0"/>
          <w:i w:val="0"/>
          <w:sz w:val="24"/>
        </w:rPr>
        <w:t>：低 CN 面（如雨水花园 CN 66）在高雨量下仍有较大滞蓄空间，该特性在 §7.3 极端情景分析中产生了关键结论。</w:t>
      </w:r>
    </w:p>
    <w:p w14:paraId="3C9F3BF8">
      <w:pPr>
        <w:pStyle w:val="4"/>
      </w:pPr>
      <w:bookmarkStart w:id="16" w:name="_Toc543"/>
      <w:r>
        <w:t>5.3 M3 降温响应模型</w:t>
      </w:r>
      <w:bookmarkEnd w:id="16"/>
    </w:p>
    <w:p w14:paraId="6AFB40CF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降温收益按"稳态经验系数 × 面积"累计：</w:t>
      </w:r>
    </w:p>
    <w:p w14:paraId="48EE504C">
      <w:pPr>
        <w:spacing w:before="120" w:after="120"/>
        <w:jc w:val="center"/>
      </w:pPr>
      <w:r>
        <w:drawing>
          <wp:inline distT="0" distB="0" distL="114300" distR="114300">
            <wp:extent cx="3995420" cy="337820"/>
            <wp:effectExtent l="0" t="0" r="508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5928" cy="33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7065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 δ_k 为措施降温系数（雨水花园 7、下沉式绿地 6、透水铺装 4 ℃/m²），δ_j^base 为现状下垫面基准温度指数（硬化/球场 0、草地 −6、林地 −9 ℃/m²，用于扣除"现状已较凉爽"的部分，体现"升级收益"）。系数取自国内同气候区文献：[5] 报告沥青与草地地表的显著温差，[6] 报告遮阴地表温度可低 3.3–18.8 ℃、植草砖比沥青低 2.6 ℃。全部系数按 ±30% 做敏感性（§7.1）。</w:t>
      </w:r>
    </w:p>
    <w:p w14:paraId="631A453B">
      <w:pPr>
        <w:pStyle w:val="4"/>
      </w:pPr>
      <w:bookmarkStart w:id="17" w:name="_Toc19627"/>
      <w:r>
        <w:t>5.4 M4 配置优化模型（核心）</w:t>
      </w:r>
      <w:bookmarkEnd w:id="17"/>
    </w:p>
    <w:p w14:paraId="558CFDEE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决策变量</w:t>
      </w:r>
      <w:r>
        <w:rPr>
          <w:rFonts w:ascii="Times New Roman" w:hAnsi="Times New Roman" w:eastAsia="宋体"/>
          <w:b w:val="0"/>
          <w:i w:val="0"/>
          <w:sz w:val="24"/>
        </w:rPr>
        <w:t>：x_jk（比例模式 ∈[0,1]；整块模式 ∈{0,1}）。</w:t>
      </w:r>
    </w:p>
    <w:p w14:paraId="4C838FCC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目标</w:t>
      </w:r>
      <w:r>
        <w:rPr>
          <w:rFonts w:ascii="Times New Roman" w:hAnsi="Times New Roman" w:eastAsia="宋体"/>
          <w:b w:val="0"/>
          <w:i w:val="0"/>
          <w:sz w:val="24"/>
        </w:rPr>
        <w:t>：max ΔQ 与 max ΔT（§4.3）。</w:t>
      </w:r>
    </w:p>
    <w:p w14:paraId="2744C60C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约束</w:t>
      </w:r>
      <w:r>
        <w:rPr>
          <w:rFonts w:ascii="Times New Roman" w:hAnsi="Times New Roman" w:eastAsia="宋体"/>
          <w:b w:val="0"/>
          <w:i w:val="0"/>
          <w:sz w:val="24"/>
        </w:rPr>
        <w:t>：预算、每地块至多一项、工程适用性（§4.3）。</w:t>
      </w:r>
    </w:p>
    <w:p w14:paraId="3435470A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双模式设计</w:t>
      </w:r>
      <w:r>
        <w:rPr>
          <w:rFonts w:ascii="Times New Roman" w:hAnsi="Times New Roman" w:eastAsia="宋体"/>
          <w:b w:val="0"/>
          <w:i w:val="0"/>
          <w:sz w:val="24"/>
        </w:rPr>
        <w:t>（方法学创新点）：真实工程既可能"整块实施"（0-1 规划），也可能"按面积比例分期实施"（连续规划），本文对两种模式分别求解并对照，用来量化"整块实施的粗粝度损失"。</w:t>
      </w:r>
    </w:p>
    <w:p w14:paraId="32692F40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求解方法</w:t>
      </w:r>
      <w:r>
        <w:rPr>
          <w:rFonts w:ascii="Times New Roman" w:hAnsi="Times New Roman" w:eastAsia="宋体"/>
          <w:b w:val="0"/>
          <w:i w:val="0"/>
          <w:sz w:val="24"/>
        </w:rPr>
        <w:t>：ε-约束法将双目标问题转化为一系列单目标 0-1 规划：对 ε 从 0 到 ΔT_max 等距扫描，求解 max ΔQ s.t. ΔT(x) ≥ ε（连续模式即线性规划 LP，整块模式即混合整数规划 MILP），去重后得到 Pareto 前沿。使用 scipy.milp（底层 HiGHS 求解器）</w:t>
      </w:r>
      <w:r>
        <w:rPr>
          <w:rFonts w:ascii="Times New Roman" w:hAnsi="Times New Roman" w:eastAsia="宋体"/>
          <w:b/>
          <w:i w:val="0"/>
          <w:sz w:val="24"/>
        </w:rPr>
        <w:t>精确求解</w:t>
      </w:r>
      <w:r>
        <w:rPr>
          <w:rFonts w:ascii="Times New Roman" w:hAnsi="Times New Roman" w:eastAsia="宋体"/>
          <w:b w:val="0"/>
          <w:i w:val="0"/>
          <w:sz w:val="24"/>
        </w:rPr>
        <w:t>（非启发式），保证前沿的正确性。求解流程与优化模型见图 T3。</w:t>
      </w:r>
    </w:p>
    <w:p w14:paraId="69B1D804">
      <w:pPr>
        <w:spacing w:before="120" w:after="40"/>
        <w:jc w:val="center"/>
      </w:pPr>
      <w:r>
        <w:drawing>
          <wp:inline distT="0" distB="0" distL="114300" distR="114300">
            <wp:extent cx="5399405" cy="2976245"/>
            <wp:effectExtent l="0" t="0" r="10795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4C75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0"/>
        </w:rPr>
        <w:t>图 T3 求解流程与伪代码</w:t>
      </w:r>
    </w:p>
    <w:p w14:paraId="39194423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解的唯一性处理</w:t>
      </w:r>
      <w:r>
        <w:rPr>
          <w:rFonts w:ascii="Times New Roman" w:hAnsi="Times New Roman" w:eastAsia="宋体"/>
          <w:b w:val="0"/>
          <w:i w:val="0"/>
          <w:sz w:val="24"/>
        </w:rPr>
        <w:t>：由于同类地块（如同为 CN 98→80 的透水铺装）的单位效益严格相等，问题存在"等价最优解族"（简并）。为使报告口径唯一、可复现，在目标函数中叠加一个极小量级的字典序权重（λ = 1e-4，按地块编号优先），该处理不改变目标值（仅影响 10⁻⁴ m³ 量级以下的取舍），整块模式下不产生任何影响。</w:t>
      </w:r>
    </w:p>
    <w:p w14:paraId="030CAE11">
      <w:pPr>
        <w:pStyle w:val="4"/>
      </w:pPr>
      <w:bookmarkStart w:id="18" w:name="_Toc17130"/>
      <w:r>
        <w:t>5.5 指标体系</w:t>
      </w:r>
      <w:bookmarkEnd w:id="18"/>
    </w:p>
    <w:p w14:paraId="26BC84AC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削减率</w:t>
      </w:r>
      <w:r>
        <w:rPr>
          <w:rFonts w:ascii="Times New Roman" w:hAnsi="Times New Roman" w:eastAsia="宋体"/>
          <w:b w:val="0"/>
          <w:i w:val="0"/>
          <w:sz w:val="24"/>
        </w:rPr>
        <w:t xml:space="preserve"> η = ΔQ/Q₀（%）；2. </w:t>
      </w:r>
      <w:r>
        <w:rPr>
          <w:rFonts w:ascii="Times New Roman" w:hAnsi="Times New Roman" w:eastAsia="宋体"/>
          <w:b/>
          <w:i w:val="0"/>
          <w:sz w:val="24"/>
        </w:rPr>
        <w:t>单位投资效益</w:t>
      </w:r>
      <w:r>
        <w:rPr>
          <w:rFonts w:ascii="Times New Roman" w:hAnsi="Times New Roman" w:eastAsia="宋体"/>
          <w:b w:val="0"/>
          <w:i w:val="0"/>
          <w:sz w:val="24"/>
        </w:rPr>
        <w:t xml:space="preserve"> ΔQ/造价（m³/万元）与 ΔT/造价（℃·m²/万元）；3. </w:t>
      </w:r>
      <w:r>
        <w:rPr>
          <w:rFonts w:ascii="Times New Roman" w:hAnsi="Times New Roman" w:eastAsia="宋体"/>
          <w:b/>
          <w:i w:val="0"/>
          <w:sz w:val="24"/>
        </w:rPr>
        <w:t>双目标权衡结构</w:t>
      </w:r>
      <w:r>
        <w:rPr>
          <w:rFonts w:ascii="Times New Roman" w:hAnsi="Times New Roman" w:eastAsia="宋体"/>
          <w:b w:val="0"/>
          <w:i w:val="0"/>
          <w:sz w:val="24"/>
        </w:rPr>
        <w:t xml:space="preserve">：Pareto 前沿的形状与端点；4. </w:t>
      </w:r>
      <w:r>
        <w:rPr>
          <w:rFonts w:ascii="Times New Roman" w:hAnsi="Times New Roman" w:eastAsia="宋体"/>
          <w:b/>
          <w:i w:val="0"/>
          <w:sz w:val="24"/>
        </w:rPr>
        <w:t>结构稳健性</w:t>
      </w:r>
      <w:r>
        <w:rPr>
          <w:rFonts w:ascii="Times New Roman" w:hAnsi="Times New Roman" w:eastAsia="宋体"/>
          <w:b w:val="0"/>
          <w:i w:val="0"/>
          <w:sz w:val="24"/>
        </w:rPr>
        <w:t>：临界预算、Monte Carlo 中的方案结构频率。</w:t>
      </w:r>
    </w:p>
    <w:p w14:paraId="0F5A4606">
      <w:pPr>
        <w:pStyle w:val="3"/>
      </w:pPr>
      <w:bookmarkStart w:id="19" w:name="_Toc15544"/>
      <w:r>
        <w:t>6 模型求解与结果</w:t>
      </w:r>
      <w:bookmarkEnd w:id="19"/>
    </w:p>
    <w:p w14:paraId="0E6DE00E">
      <w:pPr>
        <w:pStyle w:val="4"/>
      </w:pPr>
      <w:bookmarkStart w:id="20" w:name="_Toc24351"/>
      <w:r>
        <w:t>6.1 参数标定与单地块系数</w:t>
      </w:r>
      <w:bookmarkEnd w:id="20"/>
    </w:p>
    <w:p w14:paraId="7F15062D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以主设计情景（3 年一遇 60 min，P = 55.1 mm）计算 12 个地块 × 4 类措施的系数表（造价、ΔQ₃、ΔT），在</w:t>
      </w:r>
      <w:r>
        <w:rPr>
          <w:rFonts w:ascii="Times New Roman" w:hAnsi="Times New Roman" w:eastAsia="宋体"/>
          <w:b/>
          <w:i w:val="0"/>
          <w:sz w:val="24"/>
        </w:rPr>
        <w:t>工程可行集内</w:t>
      </w:r>
      <w:r>
        <w:rPr>
          <w:rFonts w:ascii="Times New Roman" w:hAnsi="Times New Roman" w:eastAsia="宋体"/>
          <w:b w:val="0"/>
          <w:i w:val="0"/>
          <w:sz w:val="24"/>
        </w:rPr>
        <w:t>计算单位投资效益（表 1，完整表见附录 B）。</w:t>
      </w:r>
    </w:p>
    <w:p w14:paraId="49F69666">
      <w:pPr>
        <w:jc w:val="center"/>
      </w:pPr>
      <w:r>
        <w:rPr>
          <w:rFonts w:ascii="Times New Roman" w:hAnsi="Times New Roman" w:eastAsia="宋体"/>
          <w:b w:val="0"/>
          <w:i/>
          <w:color w:val="808080"/>
          <w:sz w:val="21"/>
        </w:rPr>
        <w:t>表 1 可行措施内的单位投资径流效益（m³/万元，3 年一遇 60 min）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1798"/>
        <w:gridCol w:w="1799"/>
        <w:gridCol w:w="1802"/>
        <w:gridCol w:w="1799"/>
      </w:tblGrid>
      <w:tr w14:paraId="32D28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  <w:shd w:val="clear" w:color="auto" w:fill="EFEFEF"/>
          </w:tcPr>
          <w:p w14:paraId="4C4747F5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地块</w:t>
            </w:r>
          </w:p>
        </w:tc>
        <w:tc>
          <w:tcPr>
            <w:tcW w:w="1813" w:type="dxa"/>
            <w:shd w:val="clear" w:color="auto" w:fill="EFEFEF"/>
          </w:tcPr>
          <w:p w14:paraId="30253D5A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现状类型</w:t>
            </w:r>
          </w:p>
        </w:tc>
        <w:tc>
          <w:tcPr>
            <w:tcW w:w="1813" w:type="dxa"/>
            <w:shd w:val="clear" w:color="auto" w:fill="EFEFEF"/>
          </w:tcPr>
          <w:p w14:paraId="749A3AF2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最优可行措施</w:t>
            </w:r>
          </w:p>
        </w:tc>
        <w:tc>
          <w:tcPr>
            <w:tcW w:w="1813" w:type="dxa"/>
            <w:shd w:val="clear" w:color="auto" w:fill="EFEFEF"/>
          </w:tcPr>
          <w:p w14:paraId="44B119F9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单位效益</w:t>
            </w:r>
          </w:p>
        </w:tc>
        <w:tc>
          <w:tcPr>
            <w:tcW w:w="1813" w:type="dxa"/>
            <w:shd w:val="clear" w:color="auto" w:fill="EFEFEF"/>
          </w:tcPr>
          <w:p w14:paraId="5D765B18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优先等级</w:t>
            </w:r>
          </w:p>
        </w:tc>
      </w:tr>
      <w:tr w14:paraId="11DA2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52786A7B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P01 田径场西侧看台带</w:t>
            </w:r>
          </w:p>
        </w:tc>
        <w:tc>
          <w:tcPr>
            <w:tcW w:w="1813" w:type="dxa"/>
          </w:tcPr>
          <w:p w14:paraId="5DD5B4E5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硬化</w:t>
            </w:r>
          </w:p>
        </w:tc>
        <w:tc>
          <w:tcPr>
            <w:tcW w:w="1813" w:type="dxa"/>
          </w:tcPr>
          <w:p w14:paraId="522719C5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透水铺装</w:t>
            </w:r>
          </w:p>
        </w:tc>
        <w:tc>
          <w:tcPr>
            <w:tcW w:w="1813" w:type="dxa"/>
          </w:tcPr>
          <w:p w14:paraId="7B6F3B43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2.49</w:t>
            </w:r>
          </w:p>
        </w:tc>
        <w:tc>
          <w:tcPr>
            <w:tcW w:w="1813" w:type="dxa"/>
          </w:tcPr>
          <w:p w14:paraId="66B064AB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</w:tr>
      <w:tr w14:paraId="41564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75ADC8FE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P04 球场区</w:t>
            </w:r>
          </w:p>
        </w:tc>
        <w:tc>
          <w:tcPr>
            <w:tcW w:w="1813" w:type="dxa"/>
          </w:tcPr>
          <w:p w14:paraId="02571649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球场</w:t>
            </w:r>
          </w:p>
        </w:tc>
        <w:tc>
          <w:tcPr>
            <w:tcW w:w="1813" w:type="dxa"/>
          </w:tcPr>
          <w:p w14:paraId="4065B8FF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透水铺装</w:t>
            </w:r>
          </w:p>
        </w:tc>
        <w:tc>
          <w:tcPr>
            <w:tcW w:w="1813" w:type="dxa"/>
          </w:tcPr>
          <w:p w14:paraId="0530FE4F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2.49</w:t>
            </w:r>
          </w:p>
        </w:tc>
        <w:tc>
          <w:tcPr>
            <w:tcW w:w="1813" w:type="dxa"/>
          </w:tcPr>
          <w:p w14:paraId="54E26CCC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</w:tr>
      <w:tr w14:paraId="382BE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2B96CE96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P09 小型运动场及周边</w:t>
            </w:r>
          </w:p>
        </w:tc>
        <w:tc>
          <w:tcPr>
            <w:tcW w:w="1813" w:type="dxa"/>
          </w:tcPr>
          <w:p w14:paraId="75D1045C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球场</w:t>
            </w:r>
          </w:p>
        </w:tc>
        <w:tc>
          <w:tcPr>
            <w:tcW w:w="1813" w:type="dxa"/>
          </w:tcPr>
          <w:p w14:paraId="1CEBFB53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透水铺装</w:t>
            </w:r>
          </w:p>
        </w:tc>
        <w:tc>
          <w:tcPr>
            <w:tcW w:w="1813" w:type="dxa"/>
          </w:tcPr>
          <w:p w14:paraId="1CA0E87F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2.49</w:t>
            </w:r>
          </w:p>
        </w:tc>
        <w:tc>
          <w:tcPr>
            <w:tcW w:w="1813" w:type="dxa"/>
          </w:tcPr>
          <w:p w14:paraId="49A6FF45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</w:tr>
      <w:tr w14:paraId="3DBC2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47EBB33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P10 宿舍区周边</w:t>
            </w:r>
          </w:p>
        </w:tc>
        <w:tc>
          <w:tcPr>
            <w:tcW w:w="1813" w:type="dxa"/>
          </w:tcPr>
          <w:p w14:paraId="63E0DB5A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硬化</w:t>
            </w:r>
          </w:p>
        </w:tc>
        <w:tc>
          <w:tcPr>
            <w:tcW w:w="1813" w:type="dxa"/>
          </w:tcPr>
          <w:p w14:paraId="79E11D4B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透水铺装</w:t>
            </w:r>
          </w:p>
        </w:tc>
        <w:tc>
          <w:tcPr>
            <w:tcW w:w="1813" w:type="dxa"/>
          </w:tcPr>
          <w:p w14:paraId="762C5873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2.49</w:t>
            </w:r>
          </w:p>
        </w:tc>
        <w:tc>
          <w:tcPr>
            <w:tcW w:w="1813" w:type="dxa"/>
          </w:tcPr>
          <w:p w14:paraId="45375766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</w:tr>
      <w:tr w14:paraId="28DD1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4C08FBEF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P02/P03/P05/P06/P11 绿地区</w:t>
            </w:r>
          </w:p>
        </w:tc>
        <w:tc>
          <w:tcPr>
            <w:tcW w:w="1813" w:type="dxa"/>
          </w:tcPr>
          <w:p w14:paraId="7F3F39DD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草地</w:t>
            </w:r>
          </w:p>
        </w:tc>
        <w:tc>
          <w:tcPr>
            <w:tcW w:w="1813" w:type="dxa"/>
          </w:tcPr>
          <w:p w14:paraId="594D2CF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下沉式绿地</w:t>
            </w:r>
          </w:p>
        </w:tc>
        <w:tc>
          <w:tcPr>
            <w:tcW w:w="1813" w:type="dxa"/>
          </w:tcPr>
          <w:p w14:paraId="684EA34F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≈1.00</w:t>
            </w:r>
          </w:p>
        </w:tc>
        <w:tc>
          <w:tcPr>
            <w:tcW w:w="1813" w:type="dxa"/>
          </w:tcPr>
          <w:p w14:paraId="2700670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</w:tr>
      <w:tr w14:paraId="29EE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0D086660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P12 东南角空地</w:t>
            </w:r>
          </w:p>
        </w:tc>
        <w:tc>
          <w:tcPr>
            <w:tcW w:w="1813" w:type="dxa"/>
          </w:tcPr>
          <w:p w14:paraId="14E5566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待核</w:t>
            </w:r>
          </w:p>
        </w:tc>
        <w:tc>
          <w:tcPr>
            <w:tcW w:w="1813" w:type="dxa"/>
          </w:tcPr>
          <w:p w14:paraId="7D40017D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透水铺装</w:t>
            </w:r>
          </w:p>
        </w:tc>
        <w:tc>
          <w:tcPr>
            <w:tcW w:w="1813" w:type="dxa"/>
          </w:tcPr>
          <w:p w14:paraId="6B9BE039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0.61</w:t>
            </w:r>
          </w:p>
        </w:tc>
        <w:tc>
          <w:tcPr>
            <w:tcW w:w="1813" w:type="dxa"/>
          </w:tcPr>
          <w:p w14:paraId="0A6F4D1A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</w:tr>
      <w:tr w14:paraId="1E2D3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0518BEB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P07/P08 林地区</w:t>
            </w:r>
          </w:p>
        </w:tc>
        <w:tc>
          <w:tcPr>
            <w:tcW w:w="1813" w:type="dxa"/>
          </w:tcPr>
          <w:p w14:paraId="1AB593D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林地</w:t>
            </w:r>
          </w:p>
        </w:tc>
        <w:tc>
          <w:tcPr>
            <w:tcW w:w="1813" w:type="dxa"/>
          </w:tcPr>
          <w:p w14:paraId="0714471D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下沉式绿地</w:t>
            </w:r>
          </w:p>
        </w:tc>
        <w:tc>
          <w:tcPr>
            <w:tcW w:w="1813" w:type="dxa"/>
          </w:tcPr>
          <w:p w14:paraId="73C55B3A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0.30</w:t>
            </w:r>
          </w:p>
        </w:tc>
        <w:tc>
          <w:tcPr>
            <w:tcW w:w="1813" w:type="dxa"/>
          </w:tcPr>
          <w:p w14:paraId="5829BB09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</w:t>
            </w:r>
          </w:p>
        </w:tc>
      </w:tr>
    </w:tbl>
    <w:p w14:paraId="5B8D6D76">
      <w:pPr>
        <w:spacing w:after="40"/>
      </w:pPr>
    </w:p>
    <w:p w14:paraId="3C88228B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（注：硬化区若实施下沉式绿地的表观效益更高（9.53），但该组合工程不可行，不参与优化；论文口径只在可行集内比较，详见 §7.5。）</w:t>
      </w:r>
    </w:p>
    <w:p w14:paraId="3BB6F973">
      <w:pPr>
        <w:pStyle w:val="4"/>
      </w:pPr>
      <w:bookmarkStart w:id="21" w:name="_Toc6184"/>
      <w:r>
        <w:t>6.2 现状评估（回答第 ① 问）</w:t>
      </w:r>
      <w:bookmarkEnd w:id="21"/>
    </w:p>
    <w:p w14:paraId="74C2E897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3 年一遇 60 min 场次下，校园现状产流 </w:t>
      </w:r>
      <w:r>
        <w:rPr>
          <w:rFonts w:ascii="Times New Roman" w:hAnsi="Times New Roman" w:eastAsia="宋体"/>
          <w:b/>
          <w:i w:val="0"/>
          <w:sz w:val="24"/>
        </w:rPr>
        <w:t>Q₀ = 2 627.6 m³</w:t>
      </w:r>
      <w:r>
        <w:rPr>
          <w:rFonts w:ascii="Times New Roman" w:hAnsi="Times New Roman" w:eastAsia="宋体"/>
          <w:b w:val="0"/>
          <w:i w:val="0"/>
          <w:sz w:val="24"/>
        </w:rPr>
        <w:t>，等效径流系数 0.564；其余情景见表 2（图 T6b、T6c）。</w:t>
      </w:r>
    </w:p>
    <w:p w14:paraId="486226F1">
      <w:pPr>
        <w:jc w:val="center"/>
      </w:pPr>
      <w:r>
        <w:rPr>
          <w:rFonts w:ascii="Times New Roman" w:hAnsi="Times New Roman" w:eastAsia="宋体"/>
          <w:b w:val="0"/>
          <w:i/>
          <w:color w:val="808080"/>
          <w:sz w:val="21"/>
        </w:rPr>
        <w:t>表 2 现状产流评估（60/120 min）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 w14:paraId="38899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  <w:shd w:val="clear" w:color="auto" w:fill="EFEFEF"/>
          </w:tcPr>
          <w:p w14:paraId="07E16563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重现期</w:t>
            </w:r>
          </w:p>
        </w:tc>
        <w:tc>
          <w:tcPr>
            <w:tcW w:w="1295" w:type="dxa"/>
            <w:shd w:val="clear" w:color="auto" w:fill="EFEFEF"/>
          </w:tcPr>
          <w:p w14:paraId="2AA8CFA1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雨量 (60 min)</w:t>
            </w:r>
          </w:p>
        </w:tc>
        <w:tc>
          <w:tcPr>
            <w:tcW w:w="1295" w:type="dxa"/>
            <w:shd w:val="clear" w:color="auto" w:fill="EFEFEF"/>
          </w:tcPr>
          <w:p w14:paraId="371393D0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Q₀ (60 min)</w:t>
            </w:r>
          </w:p>
        </w:tc>
        <w:tc>
          <w:tcPr>
            <w:tcW w:w="1295" w:type="dxa"/>
            <w:shd w:val="clear" w:color="auto" w:fill="EFEFEF"/>
          </w:tcPr>
          <w:p w14:paraId="6A2B32FB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径流系数</w:t>
            </w:r>
          </w:p>
        </w:tc>
        <w:tc>
          <w:tcPr>
            <w:tcW w:w="1295" w:type="dxa"/>
            <w:shd w:val="clear" w:color="auto" w:fill="EFEFEF"/>
          </w:tcPr>
          <w:p w14:paraId="24DAC3AA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雨量 (120 min)</w:t>
            </w:r>
          </w:p>
        </w:tc>
        <w:tc>
          <w:tcPr>
            <w:tcW w:w="1295" w:type="dxa"/>
            <w:shd w:val="clear" w:color="auto" w:fill="EFEFEF"/>
          </w:tcPr>
          <w:p w14:paraId="4EB626F0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Q₀ (120 min)</w:t>
            </w:r>
          </w:p>
        </w:tc>
        <w:tc>
          <w:tcPr>
            <w:tcW w:w="1295" w:type="dxa"/>
            <w:shd w:val="clear" w:color="auto" w:fill="EFEFEF"/>
          </w:tcPr>
          <w:p w14:paraId="0D54E837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径流系数</w:t>
            </w:r>
          </w:p>
        </w:tc>
      </w:tr>
      <w:tr w14:paraId="6F39B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</w:tcPr>
          <w:p w14:paraId="26A42B6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 年</w:t>
            </w:r>
          </w:p>
        </w:tc>
        <w:tc>
          <w:tcPr>
            <w:tcW w:w="1295" w:type="dxa"/>
          </w:tcPr>
          <w:p w14:paraId="1076D7A4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40.6 mm</w:t>
            </w:r>
          </w:p>
        </w:tc>
        <w:tc>
          <w:tcPr>
            <w:tcW w:w="1295" w:type="dxa"/>
          </w:tcPr>
          <w:p w14:paraId="736C42EC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1 716.6 m³</w:t>
            </w:r>
          </w:p>
        </w:tc>
        <w:tc>
          <w:tcPr>
            <w:tcW w:w="1295" w:type="dxa"/>
          </w:tcPr>
          <w:p w14:paraId="7CA20C2E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0.500</w:t>
            </w:r>
          </w:p>
        </w:tc>
        <w:tc>
          <w:tcPr>
            <w:tcW w:w="1295" w:type="dxa"/>
          </w:tcPr>
          <w:p w14:paraId="5950F6CF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55.9 mm</w:t>
            </w:r>
          </w:p>
        </w:tc>
        <w:tc>
          <w:tcPr>
            <w:tcW w:w="1295" w:type="dxa"/>
          </w:tcPr>
          <w:p w14:paraId="4B3007B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2 680.1 m³</w:t>
            </w:r>
          </w:p>
        </w:tc>
        <w:tc>
          <w:tcPr>
            <w:tcW w:w="1295" w:type="dxa"/>
          </w:tcPr>
          <w:p w14:paraId="6177C1E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0.567</w:t>
            </w:r>
          </w:p>
        </w:tc>
      </w:tr>
      <w:tr w14:paraId="53BD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</w:tcPr>
          <w:p w14:paraId="73A5CC4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 年</w:t>
            </w:r>
          </w:p>
        </w:tc>
        <w:tc>
          <w:tcPr>
            <w:tcW w:w="1295" w:type="dxa"/>
          </w:tcPr>
          <w:p w14:paraId="2961F34E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55.1 mm</w:t>
            </w:r>
          </w:p>
        </w:tc>
        <w:tc>
          <w:tcPr>
            <w:tcW w:w="1295" w:type="dxa"/>
          </w:tcPr>
          <w:p w14:paraId="5FBE15F4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2 627.6 m³</w:t>
            </w:r>
          </w:p>
        </w:tc>
        <w:tc>
          <w:tcPr>
            <w:tcW w:w="1295" w:type="dxa"/>
          </w:tcPr>
          <w:p w14:paraId="4534BB9D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0.564</w:t>
            </w:r>
          </w:p>
        </w:tc>
        <w:tc>
          <w:tcPr>
            <w:tcW w:w="1295" w:type="dxa"/>
          </w:tcPr>
          <w:p w14:paraId="2A403EC3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75.9 mm</w:t>
            </w:r>
          </w:p>
        </w:tc>
        <w:tc>
          <w:tcPr>
            <w:tcW w:w="1295" w:type="dxa"/>
          </w:tcPr>
          <w:p w14:paraId="26B7461A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4 045.8 m³</w:t>
            </w:r>
          </w:p>
        </w:tc>
        <w:tc>
          <w:tcPr>
            <w:tcW w:w="1295" w:type="dxa"/>
          </w:tcPr>
          <w:p w14:paraId="0143BE79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0.630</w:t>
            </w:r>
          </w:p>
        </w:tc>
      </w:tr>
      <w:tr w14:paraId="121B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</w:tcPr>
          <w:p w14:paraId="18AF8976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年</w:t>
            </w:r>
          </w:p>
        </w:tc>
        <w:tc>
          <w:tcPr>
            <w:tcW w:w="1295" w:type="dxa"/>
          </w:tcPr>
          <w:p w14:paraId="02014A9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61.9 mm</w:t>
            </w:r>
          </w:p>
        </w:tc>
        <w:tc>
          <w:tcPr>
            <w:tcW w:w="1295" w:type="dxa"/>
          </w:tcPr>
          <w:p w14:paraId="3B43434E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3 079.3 m³</w:t>
            </w:r>
          </w:p>
        </w:tc>
        <w:tc>
          <w:tcPr>
            <w:tcW w:w="1295" w:type="dxa"/>
          </w:tcPr>
          <w:p w14:paraId="668DDFFC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0.588</w:t>
            </w:r>
          </w:p>
        </w:tc>
        <w:tc>
          <w:tcPr>
            <w:tcW w:w="1295" w:type="dxa"/>
          </w:tcPr>
          <w:p w14:paraId="52F1EE0A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85.2 mm</w:t>
            </w:r>
          </w:p>
        </w:tc>
        <w:tc>
          <w:tcPr>
            <w:tcW w:w="1295" w:type="dxa"/>
          </w:tcPr>
          <w:p w14:paraId="43A34BD4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4 709.4 m³</w:t>
            </w:r>
          </w:p>
        </w:tc>
        <w:tc>
          <w:tcPr>
            <w:tcW w:w="1295" w:type="dxa"/>
          </w:tcPr>
          <w:p w14:paraId="2BBE2083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0.653</w:t>
            </w:r>
          </w:p>
        </w:tc>
      </w:tr>
      <w:tr w14:paraId="6F725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</w:tcPr>
          <w:p w14:paraId="3E023264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 年</w:t>
            </w:r>
          </w:p>
        </w:tc>
        <w:tc>
          <w:tcPr>
            <w:tcW w:w="1295" w:type="dxa"/>
          </w:tcPr>
          <w:p w14:paraId="2ED35506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71.0 mm</w:t>
            </w:r>
          </w:p>
        </w:tc>
        <w:tc>
          <w:tcPr>
            <w:tcW w:w="1295" w:type="dxa"/>
          </w:tcPr>
          <w:p w14:paraId="01B2FA8A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3 702.6 m³</w:t>
            </w:r>
          </w:p>
        </w:tc>
        <w:tc>
          <w:tcPr>
            <w:tcW w:w="1295" w:type="dxa"/>
          </w:tcPr>
          <w:p w14:paraId="7893B11F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0.616</w:t>
            </w:r>
          </w:p>
        </w:tc>
        <w:tc>
          <w:tcPr>
            <w:tcW w:w="1295" w:type="dxa"/>
          </w:tcPr>
          <w:p w14:paraId="0D59CC5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97.8 mm</w:t>
            </w:r>
          </w:p>
        </w:tc>
        <w:tc>
          <w:tcPr>
            <w:tcW w:w="1295" w:type="dxa"/>
          </w:tcPr>
          <w:p w14:paraId="420EF9DC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5 630.1 m³</w:t>
            </w:r>
          </w:p>
        </w:tc>
        <w:tc>
          <w:tcPr>
            <w:tcW w:w="1295" w:type="dxa"/>
          </w:tcPr>
          <w:p w14:paraId="29F06F0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0.680</w:t>
            </w:r>
          </w:p>
        </w:tc>
      </w:tr>
    </w:tbl>
    <w:p w14:paraId="1DD80FF9">
      <w:pPr>
        <w:spacing w:after="40"/>
      </w:pPr>
    </w:p>
    <w:p w14:paraId="23CA3A96">
      <w:pPr>
        <w:pStyle w:val="4"/>
      </w:pPr>
      <w:bookmarkStart w:id="22" w:name="_Toc23872"/>
      <w:r>
        <w:t>6.3 Pareto 前沿与三档方案（回答第 ③ 问）</w:t>
      </w:r>
      <w:bookmarkEnd w:id="22"/>
    </w:p>
    <w:p w14:paraId="58ED528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在基准预算 </w:t>
      </w:r>
      <w:r>
        <w:rPr>
          <w:rFonts w:ascii="Times New Roman" w:hAnsi="Times New Roman" w:eastAsia="宋体"/>
          <w:b/>
          <w:i w:val="0"/>
          <w:sz w:val="24"/>
        </w:rPr>
        <w:t>B = 100 万元</w:t>
      </w:r>
      <w:r>
        <w:rPr>
          <w:rFonts w:ascii="Times New Roman" w:hAnsi="Times New Roman" w:eastAsia="宋体"/>
          <w:b w:val="0"/>
          <w:i w:val="0"/>
          <w:sz w:val="24"/>
        </w:rPr>
        <w:t>下，比例模式求得的 Pareto 前沿包含 6 个非支配点：</w:t>
      </w:r>
      <w:r>
        <w:rPr>
          <w:rFonts w:ascii="Times New Roman" w:hAnsi="Times New Roman" w:eastAsia="宋体"/>
          <w:b/>
          <w:i w:val="0"/>
          <w:sz w:val="24"/>
        </w:rPr>
        <w:t>ΔQ₃ ∈ [220.5, 248.9] m³，ΔT ∈ [3.08, 3.50] 万 ℃·m²</w:t>
      </w:r>
      <w:r>
        <w:rPr>
          <w:rFonts w:ascii="Times New Roman" w:hAnsi="Times New Roman" w:eastAsia="宋体"/>
          <w:b w:val="0"/>
          <w:i w:val="0"/>
          <w:sz w:val="24"/>
        </w:rPr>
        <w:t>（图 T7b）。三个代表性方案（三档）为：</w:t>
      </w:r>
    </w:p>
    <w:p w14:paraId="224ECDFB">
      <w:pPr>
        <w:jc w:val="center"/>
      </w:pPr>
      <w:r>
        <w:rPr>
          <w:rFonts w:ascii="Times New Roman" w:hAnsi="Times New Roman" w:eastAsia="宋体"/>
          <w:b w:val="0"/>
          <w:i/>
          <w:color w:val="808080"/>
          <w:sz w:val="21"/>
        </w:rPr>
        <w:t>表 3 三档方案（B = 100 万元，比例模式）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5A033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  <w:shd w:val="clear" w:color="auto" w:fill="EFEFEF"/>
          </w:tcPr>
          <w:p w14:paraId="239175FF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方案</w:t>
            </w:r>
          </w:p>
        </w:tc>
        <w:tc>
          <w:tcPr>
            <w:tcW w:w="1813" w:type="dxa"/>
            <w:shd w:val="clear" w:color="auto" w:fill="EFEFEF"/>
          </w:tcPr>
          <w:p w14:paraId="5708D634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造价</w:t>
            </w:r>
          </w:p>
        </w:tc>
        <w:tc>
          <w:tcPr>
            <w:tcW w:w="1813" w:type="dxa"/>
            <w:shd w:val="clear" w:color="auto" w:fill="EFEFEF"/>
          </w:tcPr>
          <w:p w14:paraId="630235A4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ΔQ₃</w:t>
            </w:r>
          </w:p>
        </w:tc>
        <w:tc>
          <w:tcPr>
            <w:tcW w:w="1813" w:type="dxa"/>
            <w:shd w:val="clear" w:color="auto" w:fill="EFEFEF"/>
          </w:tcPr>
          <w:p w14:paraId="7ADE0387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ΔT</w:t>
            </w:r>
          </w:p>
        </w:tc>
        <w:tc>
          <w:tcPr>
            <w:tcW w:w="1813" w:type="dxa"/>
            <w:shd w:val="clear" w:color="auto" w:fill="EFEFEF"/>
          </w:tcPr>
          <w:p w14:paraId="0D85E511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主要投向</w:t>
            </w:r>
          </w:p>
        </w:tc>
      </w:tr>
      <w:tr w14:paraId="403D6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634A158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径流优先型</w:t>
            </w:r>
          </w:p>
        </w:tc>
        <w:tc>
          <w:tcPr>
            <w:tcW w:w="1813" w:type="dxa"/>
          </w:tcPr>
          <w:p w14:paraId="373C2339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 万元</w:t>
            </w:r>
          </w:p>
        </w:tc>
        <w:tc>
          <w:tcPr>
            <w:tcW w:w="1813" w:type="dxa"/>
          </w:tcPr>
          <w:p w14:paraId="2F8F1B2B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248.9 m³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（η = 9.5%）</w:t>
            </w:r>
          </w:p>
        </w:tc>
        <w:tc>
          <w:tcPr>
            <w:tcW w:w="1813" w:type="dxa"/>
          </w:tcPr>
          <w:p w14:paraId="0C8A321D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30 769 ℃·m²</w:t>
            </w:r>
          </w:p>
        </w:tc>
        <w:tc>
          <w:tcPr>
            <w:tcW w:w="1813" w:type="dxa"/>
          </w:tcPr>
          <w:p w14:paraId="545F5B0E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P01 透水铺装（整块）+ P09 透水铺装（整块）+ P04 部分</w:t>
            </w:r>
          </w:p>
        </w:tc>
      </w:tr>
      <w:tr w14:paraId="0E075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575196D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均衡型</w:t>
            </w:r>
          </w:p>
        </w:tc>
        <w:tc>
          <w:tcPr>
            <w:tcW w:w="1813" w:type="dxa"/>
          </w:tcPr>
          <w:p w14:paraId="233E8E4B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 万元</w:t>
            </w:r>
          </w:p>
        </w:tc>
        <w:tc>
          <w:tcPr>
            <w:tcW w:w="1813" w:type="dxa"/>
          </w:tcPr>
          <w:p w14:paraId="4EC7D59F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226.4 m³（η = 8.6%）</w:t>
            </w:r>
          </w:p>
        </w:tc>
        <w:tc>
          <w:tcPr>
            <w:tcW w:w="1813" w:type="dxa"/>
          </w:tcPr>
          <w:p w14:paraId="0FB5BF4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34 125 ℃·m²</w:t>
            </w:r>
          </w:p>
        </w:tc>
        <w:tc>
          <w:tcPr>
            <w:tcW w:w="1813" w:type="dxa"/>
          </w:tcPr>
          <w:p w14:paraId="4983A52A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P01 雨水花园（整块）+ P09 部分 + P10 雨水花园（局部）</w:t>
            </w:r>
          </w:p>
        </w:tc>
      </w:tr>
      <w:tr w14:paraId="0FE5A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0083ED4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降温优先型</w:t>
            </w:r>
          </w:p>
        </w:tc>
        <w:tc>
          <w:tcPr>
            <w:tcW w:w="1813" w:type="dxa"/>
          </w:tcPr>
          <w:p w14:paraId="60E281A9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 万元</w:t>
            </w:r>
          </w:p>
        </w:tc>
        <w:tc>
          <w:tcPr>
            <w:tcW w:w="1813" w:type="dxa"/>
          </w:tcPr>
          <w:p w14:paraId="765E69F3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220.5 m³（η = 8.4%）</w:t>
            </w:r>
          </w:p>
        </w:tc>
        <w:tc>
          <w:tcPr>
            <w:tcW w:w="1813" w:type="dxa"/>
          </w:tcPr>
          <w:p w14:paraId="39361C5B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35 000 ℃·m²</w:t>
            </w:r>
          </w:p>
        </w:tc>
        <w:tc>
          <w:tcPr>
            <w:tcW w:w="1813" w:type="dxa"/>
          </w:tcPr>
          <w:p w14:paraId="4DDDB319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P01 雨水花园（整块）+ P10 雨水花园（局部）</w:t>
            </w:r>
          </w:p>
        </w:tc>
      </w:tr>
    </w:tbl>
    <w:p w14:paraId="35F1DF8C">
      <w:pPr>
        <w:spacing w:after="40"/>
      </w:pPr>
    </w:p>
    <w:p w14:paraId="6FFC7957">
      <w:pPr>
        <w:spacing w:before="120" w:after="40"/>
        <w:jc w:val="center"/>
      </w:pPr>
      <w:r>
        <w:drawing>
          <wp:inline distT="0" distB="0" distL="114300" distR="114300">
            <wp:extent cx="5399405" cy="2277745"/>
            <wp:effectExtent l="0" t="0" r="1079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6B19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0"/>
        </w:rPr>
        <w:t>图 T7 Pareto 前沿与三档方案</w:t>
      </w:r>
    </w:p>
    <w:p w14:paraId="2F69CDFD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不同预算下（50/100/200/400 万元），前沿整体近似等比外移（图 T7a）：预算翻倍，削减量与降温收益近似翻倍，说明在校园的"可行域"内，模型对预算近似线性响应，不存在饱和拐点（直至 400 万元）。</w:t>
      </w:r>
    </w:p>
    <w:p w14:paraId="225DDE9F">
      <w:pPr>
        <w:pStyle w:val="4"/>
      </w:pPr>
      <w:bookmarkStart w:id="23" w:name="_Toc2706"/>
      <w:r>
        <w:t>6.4 优先改造地图（回答第 ② 问）</w:t>
      </w:r>
      <w:bookmarkEnd w:id="23"/>
    </w:p>
    <w:p w14:paraId="24492C67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按"可行措施内最高单位投资效益"分级：</w:t>
      </w:r>
      <w:r>
        <w:rPr>
          <w:rFonts w:ascii="Times New Roman" w:hAnsi="Times New Roman" w:eastAsia="宋体"/>
          <w:b/>
          <w:i w:val="0"/>
          <w:sz w:val="24"/>
        </w:rPr>
        <w:t>A 级优先区</w:t>
      </w:r>
      <w:r>
        <w:rPr>
          <w:rFonts w:ascii="Times New Roman" w:hAnsi="Times New Roman" w:eastAsia="宋体"/>
          <w:b w:val="0"/>
          <w:i w:val="0"/>
          <w:sz w:val="24"/>
        </w:rPr>
        <w:t>（P01、P04、P09、P10，硬化/球场区，2.49 m³/万元）、</w:t>
      </w:r>
      <w:r>
        <w:rPr>
          <w:rFonts w:ascii="Times New Roman" w:hAnsi="Times New Roman" w:eastAsia="宋体"/>
          <w:b/>
          <w:i w:val="0"/>
          <w:sz w:val="24"/>
        </w:rPr>
        <w:t>B 级后备区</w:t>
      </w:r>
      <w:r>
        <w:rPr>
          <w:rFonts w:ascii="Times New Roman" w:hAnsi="Times New Roman" w:eastAsia="宋体"/>
          <w:b w:val="0"/>
          <w:i w:val="0"/>
          <w:sz w:val="24"/>
        </w:rPr>
        <w:t>（P02/P03/P05/P06/P11/P12，≈0.61–1.00）、</w:t>
      </w:r>
      <w:r>
        <w:rPr>
          <w:rFonts w:ascii="Times New Roman" w:hAnsi="Times New Roman" w:eastAsia="宋体"/>
          <w:b/>
          <w:i w:val="0"/>
          <w:sz w:val="24"/>
        </w:rPr>
        <w:t>C 级远期区</w:t>
      </w:r>
      <w:r>
        <w:rPr>
          <w:rFonts w:ascii="Times New Roman" w:hAnsi="Times New Roman" w:eastAsia="宋体"/>
          <w:b w:val="0"/>
          <w:i w:val="0"/>
          <w:sz w:val="24"/>
        </w:rPr>
        <w:t>（P07/P08 林地，0.30），见图 T9。三档方案的投向与"优先改造地图"高度一致：预算的绝大部分应投向 A 级区。</w:t>
      </w:r>
    </w:p>
    <w:p w14:paraId="1FEDC8BF">
      <w:pPr>
        <w:spacing w:before="120" w:after="40"/>
        <w:jc w:val="center"/>
      </w:pPr>
      <w:r>
        <w:drawing>
          <wp:inline distT="0" distB="0" distL="114300" distR="114300">
            <wp:extent cx="5399405" cy="2820670"/>
            <wp:effectExtent l="0" t="0" r="10795" b="177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ECD4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0"/>
        </w:rPr>
        <w:t>图 T9 优先改造地图</w:t>
      </w:r>
    </w:p>
    <w:p w14:paraId="14C59CAB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各方案的削减效果与现状的对比见图 T8：三档方案在 3 年一遇场次下分别削减现状产流的 9.5%、8.6%、8.4%。</w:t>
      </w:r>
    </w:p>
    <w:p w14:paraId="79374792">
      <w:pPr>
        <w:spacing w:before="120" w:after="40"/>
        <w:jc w:val="center"/>
      </w:pPr>
      <w:r>
        <w:drawing>
          <wp:inline distT="0" distB="0" distL="114300" distR="114300">
            <wp:extent cx="5399405" cy="2200275"/>
            <wp:effectExtent l="0" t="0" r="1079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0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4B61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0"/>
        </w:rPr>
        <w:t>图 T8 现状与方案对比</w:t>
      </w:r>
    </w:p>
    <w:p w14:paraId="37561E6B">
      <w:pPr>
        <w:pStyle w:val="4"/>
      </w:pPr>
      <w:bookmarkStart w:id="24" w:name="_Toc25913"/>
      <w:r>
        <w:t>6.5 双模式对照（方法学结果）</w:t>
      </w:r>
      <w:bookmarkEnd w:id="24"/>
    </w:p>
    <w:p w14:paraId="69A6934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整块实施模式（0-1）在 B = 100 万元下的削减上限为 </w:t>
      </w:r>
      <w:r>
        <w:rPr>
          <w:rFonts w:ascii="Times New Roman" w:hAnsi="Times New Roman" w:eastAsia="宋体"/>
          <w:b/>
          <w:i w:val="0"/>
          <w:sz w:val="24"/>
        </w:rPr>
        <w:t>222 m³</w:t>
      </w:r>
      <w:r>
        <w:rPr>
          <w:rFonts w:ascii="Times New Roman" w:hAnsi="Times New Roman" w:eastAsia="宋体"/>
          <w:b w:val="0"/>
          <w:i w:val="0"/>
          <w:sz w:val="24"/>
        </w:rPr>
        <w:t xml:space="preserve">（Pareto 前沿仅 2 点，ΔT 区间 2.59–3.13 万 ℃·m²），比比例模式低 </w:t>
      </w:r>
      <w:r>
        <w:rPr>
          <w:rFonts w:ascii="Times New Roman" w:hAnsi="Times New Roman" w:eastAsia="宋体"/>
          <w:b/>
          <w:i w:val="0"/>
          <w:sz w:val="24"/>
        </w:rPr>
        <w:t>≈11%</w:t>
      </w:r>
      <w:r>
        <w:rPr>
          <w:rFonts w:ascii="Times New Roman" w:hAnsi="Times New Roman" w:eastAsia="宋体"/>
          <w:b w:val="0"/>
          <w:i w:val="0"/>
          <w:sz w:val="24"/>
        </w:rPr>
        <w:t>（图 T7a、附录 C）。这一差异量化了"整块实施"的粗粝度损失，提示真实工程中"分块分期 + 局部实施"具有确定性的效率收益。</w:t>
      </w:r>
    </w:p>
    <w:p w14:paraId="101D4647">
      <w:pPr>
        <w:pStyle w:val="3"/>
      </w:pPr>
      <w:bookmarkStart w:id="25" w:name="_Toc25627"/>
      <w:r>
        <w:t>7 结果分析与检验</w:t>
      </w:r>
      <w:bookmarkEnd w:id="25"/>
    </w:p>
    <w:p w14:paraId="49B31D80">
      <w:pPr>
        <w:pStyle w:val="4"/>
      </w:pPr>
      <w:bookmarkStart w:id="26" w:name="_Toc22244"/>
      <w:r>
        <w:t>7.1 敏感性分析</w:t>
      </w:r>
      <w:bookmarkEnd w:id="26"/>
    </w:p>
    <w:p w14:paraId="169D7223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对四类参数做单因素扰动（B = 100 万元，比例模式），结果见图 T10a：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0D4FA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  <w:shd w:val="clear" w:color="auto" w:fill="EFEFEF"/>
          </w:tcPr>
          <w:p w14:paraId="630FA3C9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扰动</w:t>
            </w:r>
          </w:p>
        </w:tc>
        <w:tc>
          <w:tcPr>
            <w:tcW w:w="2266" w:type="dxa"/>
            <w:shd w:val="clear" w:color="auto" w:fill="EFEFEF"/>
          </w:tcPr>
          <w:p w14:paraId="79B808C2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ΔQ₃ᵐᵃˣ 变化</w:t>
            </w:r>
          </w:p>
        </w:tc>
        <w:tc>
          <w:tcPr>
            <w:tcW w:w="2266" w:type="dxa"/>
            <w:shd w:val="clear" w:color="auto" w:fill="EFEFEF"/>
          </w:tcPr>
          <w:p w14:paraId="18BA4BF8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ΔTᵐᵃˣ 变化</w:t>
            </w:r>
          </w:p>
        </w:tc>
        <w:tc>
          <w:tcPr>
            <w:tcW w:w="2266" w:type="dxa"/>
            <w:shd w:val="clear" w:color="auto" w:fill="EFEFEF"/>
          </w:tcPr>
          <w:p w14:paraId="52EF64AA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说明</w:t>
            </w:r>
          </w:p>
        </w:tc>
      </w:tr>
      <w:tr w14:paraId="4EACF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034EFD6D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CN −10%</w:t>
            </w:r>
          </w:p>
        </w:tc>
        <w:tc>
          <w:tcPr>
            <w:tcW w:w="2266" w:type="dxa"/>
          </w:tcPr>
          <w:p w14:paraId="428AD515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−41.2%</w:t>
            </w:r>
          </w:p>
        </w:tc>
        <w:tc>
          <w:tcPr>
            <w:tcW w:w="2266" w:type="dxa"/>
          </w:tcPr>
          <w:p w14:paraId="54EE6BAB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w="2266" w:type="dxa"/>
          </w:tcPr>
          <w:p w14:paraId="042A136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见下（非对称）</w:t>
            </w:r>
          </w:p>
        </w:tc>
      </w:tr>
      <w:tr w14:paraId="2716A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66" w:type="dxa"/>
          </w:tcPr>
          <w:p w14:paraId="48DD7DD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CN +10%</w:t>
            </w:r>
          </w:p>
        </w:tc>
        <w:tc>
          <w:tcPr>
            <w:tcW w:w="2266" w:type="dxa"/>
          </w:tcPr>
          <w:p w14:paraId="6A2F0A1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−9.0%</w:t>
            </w:r>
          </w:p>
        </w:tc>
        <w:tc>
          <w:tcPr>
            <w:tcW w:w="2266" w:type="dxa"/>
          </w:tcPr>
          <w:p w14:paraId="2F856E5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w="2266" w:type="dxa"/>
          </w:tcPr>
          <w:p w14:paraId="2E53C11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硬化 CN 98 触顶 100 + 初损阈值效应</w:t>
            </w:r>
          </w:p>
        </w:tc>
      </w:tr>
      <w:tr w14:paraId="653C7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7A78643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单价 ±20%</w:t>
            </w:r>
          </w:p>
        </w:tc>
        <w:tc>
          <w:tcPr>
            <w:tcW w:w="2266" w:type="dxa"/>
          </w:tcPr>
          <w:p w14:paraId="0FD38784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+25.0% / −16.7%</w:t>
            </w:r>
          </w:p>
        </w:tc>
        <w:tc>
          <w:tcPr>
            <w:tcW w:w="2266" w:type="dxa"/>
          </w:tcPr>
          <w:p w14:paraId="09EA2DC4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同比例</w:t>
            </w:r>
          </w:p>
        </w:tc>
        <w:tc>
          <w:tcPr>
            <w:tcW w:w="2266" w:type="dxa"/>
          </w:tcPr>
          <w:p w14:paraId="6BD5F033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比例模式下与预算缩放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等价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（齐次性）</w:t>
            </w:r>
          </w:p>
        </w:tc>
      </w:tr>
      <w:tr w14:paraId="50930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31A5DCB6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降温系数 ±30%</w:t>
            </w:r>
          </w:p>
        </w:tc>
        <w:tc>
          <w:tcPr>
            <w:tcW w:w="2266" w:type="dxa"/>
          </w:tcPr>
          <w:p w14:paraId="55B64B05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w="2266" w:type="dxa"/>
          </w:tcPr>
          <w:p w14:paraId="70FC60A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±30.0%</w:t>
            </w:r>
          </w:p>
        </w:tc>
        <w:tc>
          <w:tcPr>
            <w:tcW w:w="2266" w:type="dxa"/>
          </w:tcPr>
          <w:p w14:paraId="19BC7E45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两目标在参数层面近似解耦</w:t>
            </w:r>
          </w:p>
        </w:tc>
      </w:tr>
      <w:tr w14:paraId="2C817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376B701B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预算 50 / 200 / 400 万</w:t>
            </w:r>
          </w:p>
        </w:tc>
        <w:tc>
          <w:tcPr>
            <w:tcW w:w="2266" w:type="dxa"/>
          </w:tcPr>
          <w:p w14:paraId="6FFB112D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−50% / +100% / +269%</w:t>
            </w:r>
          </w:p>
        </w:tc>
        <w:tc>
          <w:tcPr>
            <w:tcW w:w="2266" w:type="dxa"/>
          </w:tcPr>
          <w:p w14:paraId="386E5895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−50% / +100% / +281%</w:t>
            </w:r>
          </w:p>
        </w:tc>
        <w:tc>
          <w:tcPr>
            <w:tcW w:w="2266" w:type="dxa"/>
          </w:tcPr>
          <w:p w14:paraId="26234021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预算弹性</w:t>
            </w:r>
          </w:p>
        </w:tc>
      </w:tr>
    </w:tbl>
    <w:p w14:paraId="409049B1">
      <w:pPr>
        <w:spacing w:after="40"/>
      </w:pPr>
    </w:p>
    <w:p w14:paraId="76280BB3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两个重要发现：① ΔQ 对 CN 的敏感性</w:t>
      </w:r>
      <w:r>
        <w:rPr>
          <w:rFonts w:ascii="Times New Roman" w:hAnsi="Times New Roman" w:eastAsia="宋体"/>
          <w:b/>
          <w:i w:val="0"/>
          <w:sz w:val="24"/>
        </w:rPr>
        <w:t>非对称</w:t>
      </w:r>
      <w:r>
        <w:rPr>
          <w:rFonts w:ascii="Times New Roman" w:hAnsi="Times New Roman" w:eastAsia="宋体"/>
          <w:b w:val="0"/>
          <w:i w:val="0"/>
          <w:sz w:val="24"/>
        </w:rPr>
        <w:t>（−10% 影响远大于 +10%），原因是硬化区现状 CN 98 已逼近上限 100（+10% 被截断），且 SCS-CN 的初损阈值效应使低雨量端的变化更显著；两个方向都表现为"削减量下降"，属</w:t>
      </w:r>
      <w:r>
        <w:rPr>
          <w:rFonts w:ascii="Times New Roman" w:hAnsi="Times New Roman" w:eastAsia="宋体"/>
          <w:b/>
          <w:i w:val="0"/>
          <w:sz w:val="24"/>
        </w:rPr>
        <w:t>保守特性</w:t>
      </w:r>
      <w:r>
        <w:rPr>
          <w:rFonts w:ascii="Times New Roman" w:hAnsi="Times New Roman" w:eastAsia="宋体"/>
          <w:b w:val="0"/>
          <w:i w:val="0"/>
          <w:sz w:val="24"/>
        </w:rPr>
        <w:t>。② 比例模式下"单价缩放 ⇔ 预算缩放"的齐次性意味着：只要措施可行集不变，价格波动与预算调整对配置结构的影响等价——这为工程采购谈判提供了直接依据。</w:t>
      </w:r>
    </w:p>
    <w:p w14:paraId="47CA5ED3">
      <w:pPr>
        <w:pStyle w:val="4"/>
      </w:pPr>
      <w:bookmarkStart w:id="27" w:name="_Toc7281"/>
      <w:r>
        <w:t>7.2 结构敏感性：临界预算</w:t>
      </w:r>
      <w:bookmarkEnd w:id="27"/>
    </w:p>
    <w:p w14:paraId="60C32A04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定义"绿地区（草地/林地）首次进入 ΔQ 最优解（面积占比 &gt;0.1%）"的最小预算为</w:t>
      </w:r>
      <w:r>
        <w:rPr>
          <w:rFonts w:ascii="Times New Roman" w:hAnsi="Times New Roman" w:eastAsia="宋体"/>
          <w:b/>
          <w:i w:val="0"/>
          <w:sz w:val="24"/>
        </w:rPr>
        <w:t>临界预算</w:t>
      </w:r>
      <w:r>
        <w:rPr>
          <w:rFonts w:ascii="Times New Roman" w:hAnsi="Times New Roman" w:eastAsia="宋体"/>
          <w:b w:val="0"/>
          <w:i w:val="0"/>
          <w:sz w:val="24"/>
        </w:rPr>
        <w:t xml:space="preserve">，扫描结果（步长 5 万元）：基准情形 </w:t>
      </w:r>
      <w:r>
        <w:rPr>
          <w:rFonts w:ascii="Times New Roman" w:hAnsi="Times New Roman" w:eastAsia="宋体"/>
          <w:b/>
          <w:i w:val="0"/>
          <w:sz w:val="24"/>
        </w:rPr>
        <w:t>≈395 万元</w:t>
      </w:r>
      <w:r>
        <w:rPr>
          <w:rFonts w:ascii="Times New Roman" w:hAnsi="Times New Roman" w:eastAsia="宋体"/>
          <w:b w:val="0"/>
          <w:i w:val="0"/>
          <w:sz w:val="24"/>
        </w:rPr>
        <w:t>；单价 −20% 时降至 320 万元，单价 +20% 时升至 475 万元（与单价近似线性）；对 CN 与降温系数</w:t>
      </w:r>
      <w:r>
        <w:rPr>
          <w:rFonts w:ascii="Times New Roman" w:hAnsi="Times New Roman" w:eastAsia="宋体"/>
          <w:b/>
          <w:i w:val="0"/>
          <w:sz w:val="24"/>
        </w:rPr>
        <w:t>不敏感</w:t>
      </w:r>
      <w:r>
        <w:rPr>
          <w:rFonts w:ascii="Times New Roman" w:hAnsi="Times New Roman" w:eastAsia="宋体"/>
          <w:b w:val="0"/>
          <w:i w:val="0"/>
          <w:sz w:val="24"/>
        </w:rPr>
        <w:t>（图 T10b）。这一结构性结论说明：在 100 万元量级的预算下，绿地区（下沉式绿地等）进入"径流最优解"是不经济的，优先改造必须聚焦硬化区。</w:t>
      </w:r>
    </w:p>
    <w:p w14:paraId="09B8D506">
      <w:pPr>
        <w:spacing w:before="120" w:after="40"/>
        <w:jc w:val="center"/>
      </w:pPr>
      <w:r>
        <w:drawing>
          <wp:inline distT="0" distB="0" distL="114300" distR="114300">
            <wp:extent cx="5399405" cy="2621915"/>
            <wp:effectExtent l="0" t="0" r="1079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2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AA90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0"/>
        </w:rPr>
        <w:t>图 T10 敏感性热图</w:t>
      </w:r>
    </w:p>
    <w:p w14:paraId="31A31F1C">
      <w:pPr>
        <w:pStyle w:val="4"/>
      </w:pPr>
      <w:bookmarkStart w:id="28" w:name="_Toc28032"/>
      <w:r>
        <w:t>7.3 情景分析</w:t>
      </w:r>
      <w:bookmarkEnd w:id="28"/>
    </w:p>
    <w:p w14:paraId="4DEFC60B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 8 个降雨情景（1/3/5/10/50 年一遇 60 min、3 年一遇 120 min、杜苏芮极端两档）分别做"固定方案评估"与"重新优化"（图 T11）：</w:t>
      </w:r>
    </w:p>
    <w:p w14:paraId="4AFB3A74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设计暴雨范围内（1–50 年）</w:t>
      </w:r>
      <w:r>
        <w:rPr>
          <w:rFonts w:ascii="Times New Roman" w:hAnsi="Times New Roman" w:eastAsia="宋体"/>
          <w:b w:val="0"/>
          <w:i w:val="0"/>
          <w:sz w:val="24"/>
        </w:rPr>
        <w:t>：最优配置结构保持不变（透水铺装优先），基准方案在各情景下维持 6.2%–11.9% 的削减率，随雨量增大削减率单调下降。</w:t>
      </w:r>
    </w:p>
    <w:p w14:paraId="0BB6F6CD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极端情景（杜苏芮）</w:t>
      </w:r>
      <w:r>
        <w:rPr>
          <w:rFonts w:ascii="Times New Roman" w:hAnsi="Times New Roman" w:eastAsia="宋体"/>
          <w:b w:val="0"/>
          <w:i w:val="0"/>
          <w:sz w:val="24"/>
        </w:rPr>
        <w:t>：安海镇 263.9 mm 情景下现状产流高达 18 781 m³，基准方案削减率降至 2.4%（440.5 m³），而</w:t>
      </w:r>
      <w:r>
        <w:rPr>
          <w:rFonts w:ascii="Times New Roman" w:hAnsi="Times New Roman" w:eastAsia="宋体"/>
          <w:b/>
          <w:i w:val="0"/>
          <w:sz w:val="24"/>
        </w:rPr>
        <w:t>重优化上限为 522.2 m³（2.8%）</w:t>
      </w:r>
      <w:r>
        <w:rPr>
          <w:rFonts w:ascii="Times New Roman" w:hAnsi="Times New Roman" w:eastAsia="宋体"/>
          <w:b w:val="0"/>
          <w:i w:val="0"/>
          <w:sz w:val="24"/>
        </w:rPr>
        <w:t>；更值得注意的是，此时"降温优先型"的径流削减反超"径流优先型"（522.2 对 440.5 m³）——</w:t>
      </w:r>
      <w:r>
        <w:rPr>
          <w:rFonts w:ascii="Times New Roman" w:hAnsi="Times New Roman" w:eastAsia="宋体"/>
          <w:b/>
          <w:i w:val="0"/>
          <w:sz w:val="24"/>
        </w:rPr>
        <w:t>因为大雨量下雨水花园（CN 66）的单位削减效率（5.2 m³/万元）反超透水铺装（4.4 m³/万元）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Times New Roman" w:hAnsi="Times New Roman" w:eastAsia="宋体"/>
          <w:b/>
          <w:i w:val="0"/>
          <w:sz w:val="24"/>
        </w:rPr>
        <w:t>双目标从"权衡"转为"共向"</w:t>
      </w:r>
      <w:r>
        <w:rPr>
          <w:rFonts w:ascii="Times New Roman" w:hAnsi="Times New Roman" w:eastAsia="宋体"/>
          <w:b w:val="0"/>
          <w:i w:val="0"/>
          <w:sz w:val="24"/>
        </w:rPr>
        <w:t>，这是本模型发现的最有价值的结构性结论：如果学校以防台防汛为首要目标，应优先建设雨水花园类滞蓄设施，而非单纯透水化。</w:t>
      </w:r>
    </w:p>
    <w:p w14:paraId="53634F9B">
      <w:pPr>
        <w:spacing w:before="120" w:after="40"/>
        <w:jc w:val="center"/>
      </w:pPr>
      <w:r>
        <w:drawing>
          <wp:inline distT="0" distB="0" distL="114300" distR="114300">
            <wp:extent cx="5399405" cy="2164080"/>
            <wp:effectExtent l="0" t="0" r="1079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7952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0"/>
        </w:rPr>
        <w:t>图 T11 情景对比</w:t>
      </w:r>
    </w:p>
    <w:p w14:paraId="4FB1C55E">
      <w:pPr>
        <w:pStyle w:val="4"/>
      </w:pPr>
      <w:bookmarkStart w:id="29" w:name="_Toc25310"/>
      <w:r>
        <w:t>7.4 Monte Carlo 稳健性检验</w:t>
      </w:r>
      <w:bookmarkEnd w:id="29"/>
    </w:p>
    <w:p w14:paraId="6CBC127B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 CN（±10%）、单价（±20%）、降温系数（±30%）三参数联合均匀抽样（N = 500，固定随机种子），每次重新求解 Pareto 前沿与三档方案（图 T12）：</w:t>
      </w:r>
    </w:p>
    <w:p w14:paraId="16F0BD04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>· ΔQ₃ᵐᵃˣ 中位数 225.9 m³（5–95% 分位 147.0–306.8，变异系数 0.214）；ΔTᵐᵃˣ 中位数 34 896 ℃·m²（5–95% 分位 23 697–48 208）；</w:t>
      </w:r>
    </w:p>
    <w:p w14:paraId="00F907BE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方案结构高度稳健</w:t>
      </w:r>
      <w:r>
        <w:rPr>
          <w:rFonts w:ascii="Times New Roman" w:hAnsi="Times New Roman" w:eastAsia="宋体"/>
          <w:b w:val="0"/>
          <w:i w:val="0"/>
          <w:sz w:val="24"/>
        </w:rPr>
        <w:t>：P01 作为首选地块的出现频率 86.2%（其余 13.8% 的样本中首选 P01 雨水花园）；ΔQ 最优解中硬化区（P01/P04/P09）透水铺装占比 85–86%；</w:t>
      </w:r>
      <w:r>
        <w:rPr>
          <w:rFonts w:ascii="Times New Roman" w:hAnsi="Times New Roman" w:eastAsia="宋体"/>
          <w:b/>
          <w:i w:val="0"/>
          <w:sz w:val="24"/>
        </w:rPr>
        <w:t>绿地区进入最优解 0/500</w:t>
      </w:r>
      <w:r>
        <w:rPr>
          <w:rFonts w:ascii="Times New Roman" w:hAnsi="Times New Roman" w:eastAsia="宋体"/>
          <w:b w:val="0"/>
          <w:i w:val="0"/>
          <w:sz w:val="24"/>
        </w:rPr>
        <w:t>——与临界预算 395 万元的结论自洽；</w:t>
      </w:r>
    </w:p>
    <w:p w14:paraId="643C2A13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>· 在参数不利组合下，ΔQ₃ᵐᵃˣ ≥ 基准值 90% 的样本占 51.4%，≥ 基准值本身的样本占 31.2%（ΔT 对应 49.6%）；最大值的四分位区间为 191.1–260.5 m³——提示"100 万元方案的削减量"存在约 ±20% 的量级不确定性，决策时应按中位偏保守预期。</w:t>
      </w:r>
    </w:p>
    <w:p w14:paraId="2DB97E02">
      <w:pPr>
        <w:spacing w:before="120" w:after="40"/>
        <w:jc w:val="center"/>
      </w:pPr>
      <w:r>
        <w:drawing>
          <wp:inline distT="0" distB="0" distL="114300" distR="114300">
            <wp:extent cx="5399405" cy="1867535"/>
            <wp:effectExtent l="0" t="0" r="10795" b="184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6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5E48"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0"/>
        </w:rPr>
        <w:t>图 T12 MC 稳健性</w:t>
      </w:r>
    </w:p>
    <w:p w14:paraId="1EF4D860">
      <w:pPr>
        <w:pStyle w:val="4"/>
      </w:pPr>
      <w:bookmarkStart w:id="30" w:name="_Toc8216"/>
      <w:r>
        <w:t>7.5 一致性核对与对照检验</w:t>
      </w:r>
      <w:bookmarkEnd w:id="30"/>
    </w:p>
    <w:p w14:paraId="6EFB4EBD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参数区间一致性</w:t>
      </w:r>
      <w:r>
        <w:rPr>
          <w:rFonts w:ascii="Times New Roman" w:hAnsi="Times New Roman" w:eastAsia="宋体"/>
          <w:b w:val="0"/>
          <w:i w:val="0"/>
          <w:sz w:val="24"/>
        </w:rPr>
        <w:t>：CN（70–98）、措施 CN（66–80）、单价、降温系数均取自公开文献区间，模型取值位于区间内；敏感性扫描覆盖全区间，主要结论（硬化优先、三档结构）在区间内不变。</w:t>
      </w:r>
    </w:p>
    <w:p w14:paraId="32FE3F6A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效率口径核对</w:t>
      </w:r>
      <w:r>
        <w:rPr>
          <w:rFonts w:ascii="Times New Roman" w:hAnsi="Times New Roman" w:eastAsia="宋体"/>
          <w:b w:val="0"/>
          <w:i w:val="0"/>
          <w:sz w:val="24"/>
        </w:rPr>
        <w:t>：单位效益只在"工程可行=Y"的组合内比较（硬化区下沉式绿地的 9.53 m³/万元为不可行假设值，仅作参照）。</w:t>
      </w:r>
    </w:p>
    <w:p w14:paraId="34CC7FC5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量级合理性核对（解析复算）</w:t>
      </w:r>
      <w:r>
        <w:rPr>
          <w:rFonts w:ascii="Times New Roman" w:hAnsi="Times New Roman" w:eastAsia="宋体"/>
          <w:b w:val="0"/>
          <w:i w:val="0"/>
          <w:sz w:val="24"/>
        </w:rPr>
        <w:t>：100 万元预算可完成透水铺装约 100 万 ÷ 130 元/m² ≈ 7 700 m²（约合校园面积的 9%）；按单地块系数独立复算，其对应削减量 ≈ 32.4 mm（CN 98→80 的产流深差） × 7 700 m² ≈ 249 m³，与模型输出的 248.9 m³ 一致——线性叠加口径自洽性得到验证。</w:t>
      </w:r>
    </w:p>
    <w:p w14:paraId="73CC3AEB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双模式互验</w:t>
      </w:r>
      <w:r>
        <w:rPr>
          <w:rFonts w:ascii="Times New Roman" w:hAnsi="Times New Roman" w:eastAsia="宋体"/>
          <w:b w:val="0"/>
          <w:i w:val="0"/>
          <w:sz w:val="24"/>
        </w:rPr>
        <w:t>：连续（LP）与 0-1（MILP）两种独立模型的 Pareto 端点相差 11%，方向与量级一致，互为验证。</w:t>
      </w:r>
    </w:p>
    <w:p w14:paraId="03B2AE05">
      <w:pPr>
        <w:pStyle w:val="4"/>
      </w:pPr>
      <w:bookmarkStart w:id="31" w:name="_Toc19355"/>
      <w:r>
        <w:t>7.6 误差来源与局限</w:t>
      </w:r>
      <w:bookmarkEnd w:id="31"/>
    </w:p>
    <w:p w14:paraId="5A5F105C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管网未建模</w:t>
      </w:r>
      <w:r>
        <w:rPr>
          <w:rFonts w:ascii="Times New Roman" w:hAnsi="Times New Roman" w:eastAsia="宋体"/>
          <w:b w:val="0"/>
          <w:i w:val="0"/>
          <w:sz w:val="24"/>
        </w:rPr>
        <w:t>（A6）：削减量≠积水消除量，实际排水能力还取决于管网与地形。</w:t>
      </w:r>
    </w:p>
    <w:p w14:paraId="4F9B6C0C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成本静态</w:t>
      </w:r>
      <w:r>
        <w:rPr>
          <w:rFonts w:ascii="Times New Roman" w:hAnsi="Times New Roman" w:eastAsia="宋体"/>
          <w:b w:val="0"/>
          <w:i w:val="0"/>
          <w:sz w:val="24"/>
        </w:rPr>
        <w:t>（A5）：未计施工条件与后期维护成本（雨水花园维护成本相对较高）。</w:t>
      </w:r>
    </w:p>
    <w:p w14:paraId="37D60651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降温系数为文献经验值</w:t>
      </w:r>
      <w:r>
        <w:rPr>
          <w:rFonts w:ascii="Times New Roman" w:hAnsi="Times New Roman" w:eastAsia="宋体"/>
          <w:b w:val="0"/>
          <w:i w:val="0"/>
          <w:sz w:val="24"/>
        </w:rPr>
        <w:t>（A4）：未做现场实测，只反映"量级与排序"，不代表特定地块的实测温差。</w:t>
      </w:r>
    </w:p>
    <w:p w14:paraId="32356CE0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面积数字化误差 ±5–10%</w:t>
      </w:r>
      <w:r>
        <w:rPr>
          <w:rFonts w:ascii="Times New Roman" w:hAnsi="Times New Roman" w:eastAsia="宋体"/>
          <w:b w:val="0"/>
          <w:i w:val="0"/>
          <w:sz w:val="24"/>
        </w:rPr>
        <w:t>（A7）：影响绝对量，不影响排序与结构结论。</w:t>
      </w:r>
    </w:p>
    <w:p w14:paraId="6FD02D48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 xml:space="preserve">· </w:t>
      </w:r>
      <w:r>
        <w:rPr>
          <w:rFonts w:ascii="Times New Roman" w:hAnsi="Times New Roman" w:eastAsia="宋体"/>
          <w:b/>
          <w:i w:val="0"/>
          <w:sz w:val="24"/>
        </w:rPr>
        <w:t>事件口径</w:t>
      </w:r>
      <w:r>
        <w:rPr>
          <w:rFonts w:ascii="Times New Roman" w:hAnsi="Times New Roman" w:eastAsia="宋体"/>
          <w:b w:val="0"/>
          <w:i w:val="0"/>
          <w:sz w:val="24"/>
        </w:rPr>
        <w:t>：设计暴雨未采用雨型（时程分配），削减量对雨型敏感的部分未展开。</w:t>
      </w:r>
    </w:p>
    <w:p w14:paraId="4DA2EF75">
      <w:pPr>
        <w:pStyle w:val="3"/>
      </w:pPr>
      <w:bookmarkStart w:id="32" w:name="_Toc11760"/>
      <w:r>
        <w:t>8 模型评价与推广</w:t>
      </w:r>
      <w:bookmarkEnd w:id="32"/>
    </w:p>
    <w:p w14:paraId="262D0047">
      <w:pPr>
        <w:pStyle w:val="4"/>
      </w:pPr>
      <w:bookmarkStart w:id="33" w:name="_Toc27913"/>
      <w:r>
        <w:t>8.1 优点</w:t>
      </w:r>
      <w:bookmarkEnd w:id="33"/>
    </w:p>
    <w:p w14:paraId="21FF8871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完整的问题链条</w:t>
      </w:r>
      <w:r>
        <w:rPr>
          <w:rFonts w:ascii="Times New Roman" w:hAnsi="Times New Roman" w:eastAsia="宋体"/>
          <w:b w:val="0"/>
          <w:i w:val="0"/>
          <w:sz w:val="24"/>
        </w:rPr>
        <w:t>：从本地暴雨公式、SCS-CN 产流、文献降温响应到双目标精确优化、敏感性/情景/稳健性三重检验，全链条可复现（代码包 + 数据表）。</w:t>
      </w:r>
    </w:p>
    <w:p w14:paraId="06BA8CC8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精确求解与结构洞察</w:t>
      </w:r>
      <w:r>
        <w:rPr>
          <w:rFonts w:ascii="Times New Roman" w:hAnsi="Times New Roman" w:eastAsia="宋体"/>
          <w:b w:val="0"/>
          <w:i w:val="0"/>
          <w:sz w:val="24"/>
        </w:rPr>
        <w:t>：用 MILP 精确解而非启发式搜索；产出的是"结构（投向、排序、临界预算）"而不只是"一个数字"。</w:t>
      </w:r>
    </w:p>
    <w:p w14:paraId="617C720C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双模式对照与简并处理</w:t>
      </w:r>
      <w:r>
        <w:rPr>
          <w:rFonts w:ascii="Times New Roman" w:hAnsi="Times New Roman" w:eastAsia="宋体"/>
          <w:b w:val="0"/>
          <w:i w:val="0"/>
          <w:sz w:val="24"/>
        </w:rPr>
        <w:t>：量化整块实施的效率损失（11%），并以字典序权重解决等价解族的口径问题。</w:t>
      </w:r>
    </w:p>
    <w:p w14:paraId="1D88ADA3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诚实处理不确定性</w:t>
      </w:r>
      <w:r>
        <w:rPr>
          <w:rFonts w:ascii="Times New Roman" w:hAnsi="Times New Roman" w:eastAsia="宋体"/>
          <w:b w:val="0"/>
          <w:i w:val="0"/>
          <w:sz w:val="24"/>
        </w:rPr>
        <w:t>：敏感性覆盖全部关键参数区间，极端情景与 Monte Carlo 揭示"双目标共向"等非平凡结论。</w:t>
      </w:r>
    </w:p>
    <w:p w14:paraId="7F81644B">
      <w:pPr>
        <w:pStyle w:val="4"/>
      </w:pPr>
      <w:bookmarkStart w:id="34" w:name="_Toc32614"/>
      <w:r>
        <w:t>8.2 缺点</w:t>
      </w:r>
      <w:bookmarkEnd w:id="34"/>
    </w:p>
    <w:p w14:paraId="07DE5C84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>· 未含管网与地形（汇流路径），措施间相互作用被线性近似；</w:t>
      </w:r>
    </w:p>
    <w:p w14:paraId="654886B4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>· 造价与降温系数为静态经验值；</w:t>
      </w:r>
    </w:p>
    <w:p w14:paraId="09769E5A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>· 情景未做雨型（如芝加哥雨型）细化。</w:t>
      </w:r>
    </w:p>
    <w:p w14:paraId="155B0C13">
      <w:pPr>
        <w:pStyle w:val="4"/>
      </w:pPr>
      <w:bookmarkStart w:id="35" w:name="_Toc4997"/>
      <w:r>
        <w:t>8.3 推广</w:t>
      </w:r>
      <w:bookmarkEnd w:id="35"/>
    </w:p>
    <w:p w14:paraId="316A0080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模型完全参数化：</w:t>
      </w:r>
      <w:r>
        <w:rPr>
          <w:rFonts w:ascii="Times New Roman" w:hAnsi="Times New Roman" w:eastAsia="宋体"/>
          <w:b/>
          <w:i w:val="0"/>
          <w:sz w:val="24"/>
        </w:rPr>
        <w:t>替换地块划分、CN、单价与暴雨公式即可迁移</w:t>
      </w:r>
      <w:r>
        <w:rPr>
          <w:rFonts w:ascii="Times New Roman" w:hAnsi="Times New Roman" w:eastAsia="宋体"/>
          <w:b w:val="0"/>
          <w:i w:val="0"/>
          <w:sz w:val="24"/>
        </w:rPr>
        <w:t>到其他校园、社区、工业园区或城市片区。软件工具（"校园绿-雨配置优化器"）支持一键重算，适合作为海绵城市前期决策的快速评估工具；本文方法对沿海城市"台风+高温"双风险场景具有普适性。</w:t>
      </w:r>
    </w:p>
    <w:p w14:paraId="1733CA41">
      <w:pPr>
        <w:pStyle w:val="4"/>
      </w:pPr>
      <w:bookmarkStart w:id="36" w:name="_Toc1782"/>
      <w:r>
        <w:t>8.4 建议（面向学校的应用要点，详见附录 D）</w:t>
      </w:r>
      <w:bookmarkEnd w:id="36"/>
    </w:p>
    <w:p w14:paraId="4E196656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优先改造 A 级区</w:t>
      </w:r>
      <w:r>
        <w:rPr>
          <w:rFonts w:ascii="Times New Roman" w:hAnsi="Times New Roman" w:eastAsia="宋体"/>
          <w:b w:val="0"/>
          <w:i w:val="0"/>
          <w:sz w:val="24"/>
        </w:rPr>
        <w:t>：P01 看台带、P04 球场周边、P09 运动场、P10 宿舍周边（透水铺装，单位效益最高）。</w:t>
      </w:r>
    </w:p>
    <w:p w14:paraId="1CFA0AF9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按预算选档</w:t>
      </w:r>
      <w:r>
        <w:rPr>
          <w:rFonts w:ascii="Times New Roman" w:hAnsi="Times New Roman" w:eastAsia="宋体"/>
          <w:b w:val="0"/>
          <w:i w:val="0"/>
          <w:sz w:val="24"/>
        </w:rPr>
        <w:t>：≤100 万元 → 径流优先型（P01+P09 整块透水）；追求显示度与舒适度 → 降温优先型（P01 雨水花园）。</w:t>
      </w:r>
    </w:p>
    <w:p w14:paraId="2A56AB06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防台视角</w:t>
      </w:r>
      <w:r>
        <w:rPr>
          <w:rFonts w:ascii="Times New Roman" w:hAnsi="Times New Roman" w:eastAsia="宋体"/>
          <w:b w:val="0"/>
          <w:i w:val="0"/>
          <w:sz w:val="24"/>
        </w:rPr>
        <w:t>：若以防台防汛为首要目标，建议将部分透水铺装替换为雨水花园（极端雨量下效率反超），并保留溢流通道。</w:t>
      </w:r>
    </w:p>
    <w:p w14:paraId="4207430D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分期实施</w:t>
      </w:r>
      <w:r>
        <w:rPr>
          <w:rFonts w:ascii="Times New Roman" w:hAnsi="Times New Roman" w:eastAsia="宋体"/>
          <w:b w:val="0"/>
          <w:i w:val="0"/>
          <w:sz w:val="24"/>
        </w:rPr>
        <w:t>：不建议"整块一次做完"，按面积比例分期可提升效率约 11%。</w:t>
      </w:r>
    </w:p>
    <w:p w14:paraId="42F11165">
      <w:pPr>
        <w:pStyle w:val="3"/>
      </w:pPr>
      <w:bookmarkStart w:id="37" w:name="_Toc10470"/>
      <w:r>
        <w:t>9 结论</w:t>
      </w:r>
      <w:bookmarkEnd w:id="37"/>
    </w:p>
    <w:p w14:paraId="43C7132E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本文针对福建沿海校园"台风暴雨 + 高温"双风险下绿色基础设施的配置问题，建立了"设计暴雨—产流—降温—双目标优化—三重检验"的完整模型链，并以晋江市季延中学为案例得到了可执行的量化结论：现状产流 Q₀ = 2 627.6 m³（3 年一遇 60 min）；基准预算 100 万元对应的最优前沿为 ΔQ ∈ [220.5, 248.9] m³、ΔT ∈ [3.08, 3.50] 万 ℃·m²；优先改造区为硬化/球场区（P01/P04/P09/P10）；绿地区进入最优解的临界预算 ≈395 万元；极端台风情景下"雨水花园"的径流效率反超透水铺装，双目标由权衡转为共向；Monte Carlo 检验证实方案结构稳健（首选地块频率 86.2%）。模型与方法可直接复用与推广。</w:t>
      </w:r>
    </w:p>
    <w:p w14:paraId="23DEFDE0">
      <w:pPr>
        <w:pStyle w:val="3"/>
      </w:pPr>
      <w:bookmarkStart w:id="38" w:name="_Toc27455"/>
      <w:r>
        <w:t>10 参考文献</w:t>
      </w:r>
      <w:bookmarkEnd w:id="38"/>
    </w:p>
    <w:p w14:paraId="1D515E5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[1] 住房和城乡建设部. 海绵城市建设技术指南——低影响开发雨水系统构建（试行）[S]. 北京, 2014.（附录 3 单价表、表 4-3 径流系数、设施适用条件）https://img6.ccement.com/2015/07/20/a9ebe6eb.pdf</w:t>
      </w:r>
    </w:p>
    <w:p w14:paraId="71FDE70A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[2] USDA Soil Conservation Service. SCS National Engineering Handbook, Section 4: Hydrology [S]. 1972；CN 表转引自 USACE HEC 文档（TR-55 CN Tables）. https://www.hec.usace.army.mil/confluence/hmsdocs/hmstrm/cn-tables</w:t>
      </w:r>
    </w:p>
    <w:p w14:paraId="58792854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[3] 泉州（含晋江）暴雨强度公式（公开资料整理转述；线索指向《晋江市中心城区排水（雨水）防涝综合规划》（2021 年批复），</w:t>
      </w:r>
      <w:r>
        <w:rPr>
          <w:rFonts w:ascii="Times New Roman" w:hAnsi="Times New Roman" w:eastAsia="宋体"/>
          <w:b/>
          <w:i w:val="0"/>
          <w:sz w:val="24"/>
        </w:rPr>
        <w:t>原始出处待核实</w:t>
      </w:r>
      <w:r>
        <w:rPr>
          <w:rFonts w:ascii="Times New Roman" w:hAnsi="Times New Roman" w:eastAsia="宋体"/>
          <w:b w:val="0"/>
          <w:i w:val="0"/>
          <w:sz w:val="24"/>
        </w:rPr>
        <w:t>，公式已参数化）.</w:t>
      </w:r>
    </w:p>
    <w:p w14:paraId="610C6B5E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[4] 中国天气网. 局地超 500 毫米！台风"杜苏芮"致福建多地降雨量破纪录 [EB/OL]. 2023-07-30. http://news.weather.com.cn/2023/07/3640232.shtml</w:t>
      </w:r>
    </w:p>
    <w:p w14:paraId="3367447D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[5] 北京大学学报（自然科学版）. 6 种城市下垫面热环境效应对比研究 [J]. 2017, 53(5): 881-889. https://xbna.pku.edu.cn/article/2017/0479-8023/0479-8023-53-5-881.shtml</w:t>
      </w:r>
    </w:p>
    <w:p w14:paraId="09E406A3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[6] 中国园林. 缓解城市热岛效应的硬质景观设计方法研究综述 [J]. 2022, 38(8): 71-78. http://lalavision.com/cn/article/pdf/preview/10.14085/j.fjyl.2022.08.0071.08.pdf</w:t>
      </w:r>
    </w:p>
    <w:p w14:paraId="4130AC08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[7] Microsoft Bing Maps. 卫星影像（工作底图，影像时间未知；定位与数字化过程见项目《底图说明》）.</w:t>
      </w:r>
    </w:p>
    <w:p w14:paraId="45E2A34A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[8] SciPy Developers. SciPy 1.18（scipy.optimize.milp，HiGHS 求解器）[CP/OL]. https://scipy.org</w:t>
      </w:r>
    </w:p>
    <w:p w14:paraId="33E1CC47">
      <w:pPr>
        <w:pStyle w:val="3"/>
      </w:pPr>
      <w:bookmarkStart w:id="39" w:name="_Toc5355"/>
      <w:r>
        <w:t>附录</w:t>
      </w:r>
      <w:bookmarkEnd w:id="39"/>
    </w:p>
    <w:p w14:paraId="6C68E08A">
      <w:pPr>
        <w:pStyle w:val="4"/>
      </w:pPr>
      <w:bookmarkStart w:id="40" w:name="_Toc18995"/>
      <w:r>
        <w:t>附录 A 代码与复现</w:t>
      </w:r>
      <w:bookmarkEnd w:id="40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C3F9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  <w:shd w:val="clear" w:color="auto" w:fill="EFEFEF"/>
          </w:tcPr>
          <w:p w14:paraId="2A8E588B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模块</w:t>
            </w:r>
          </w:p>
        </w:tc>
        <w:tc>
          <w:tcPr>
            <w:tcW w:w="3022" w:type="dxa"/>
            <w:shd w:val="clear" w:color="auto" w:fill="EFEFEF"/>
          </w:tcPr>
          <w:p w14:paraId="288EB0A3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文件</w:t>
            </w:r>
          </w:p>
        </w:tc>
        <w:tc>
          <w:tcPr>
            <w:tcW w:w="3022" w:type="dxa"/>
            <w:shd w:val="clear" w:color="auto" w:fill="EFEFEF"/>
          </w:tcPr>
          <w:p w14:paraId="1A909926">
            <w:pPr>
              <w:spacing w:after="4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功能</w:t>
            </w:r>
          </w:p>
        </w:tc>
      </w:tr>
      <w:tr w14:paraId="70762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6FA91B7A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M1</w:t>
            </w:r>
          </w:p>
        </w:tc>
        <w:tc>
          <w:tcPr>
            <w:tcW w:w="3022" w:type="dxa"/>
          </w:tcPr>
          <w:p w14:paraId="2D6D21B0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`05-模型/m1_design_storm.py`</w:t>
            </w:r>
          </w:p>
        </w:tc>
        <w:tc>
          <w:tcPr>
            <w:tcW w:w="3022" w:type="dxa"/>
          </w:tcPr>
          <w:p w14:paraId="643EE7F0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设计暴雨表（P_T）</w:t>
            </w:r>
          </w:p>
        </w:tc>
      </w:tr>
      <w:tr w14:paraId="54239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22" w:type="dxa"/>
          </w:tcPr>
          <w:p w14:paraId="06B761B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M2</w:t>
            </w:r>
          </w:p>
        </w:tc>
        <w:tc>
          <w:tcPr>
            <w:tcW w:w="3022" w:type="dxa"/>
          </w:tcPr>
          <w:p w14:paraId="5B63E777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`m2_scs_cn.py` / `m2_run_baseline.py`</w:t>
            </w:r>
          </w:p>
        </w:tc>
        <w:tc>
          <w:tcPr>
            <w:tcW w:w="3022" w:type="dxa"/>
          </w:tcPr>
          <w:p w14:paraId="415090AB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SCS-CN 产流与现状评估</w:t>
            </w:r>
          </w:p>
        </w:tc>
      </w:tr>
      <w:tr w14:paraId="590B8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6CD76569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M3+M4 系数</w:t>
            </w:r>
          </w:p>
        </w:tc>
        <w:tc>
          <w:tcPr>
            <w:tcW w:w="3022" w:type="dxa"/>
          </w:tcPr>
          <w:p w14:paraId="11327F40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`m5_common.py`（单一数据源）/ `m4_build_options.py`</w:t>
            </w:r>
          </w:p>
        </w:tc>
        <w:tc>
          <w:tcPr>
            <w:tcW w:w="3022" w:type="dxa"/>
          </w:tcPr>
          <w:p w14:paraId="4327768E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参数化措施系数与报表</w:t>
            </w:r>
          </w:p>
        </w:tc>
      </w:tr>
      <w:tr w14:paraId="315DC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26B61B9A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M4</w:t>
            </w:r>
          </w:p>
        </w:tc>
        <w:tc>
          <w:tcPr>
            <w:tcW w:w="3022" w:type="dxa"/>
          </w:tcPr>
          <w:p w14:paraId="016BBF46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`m4_optimize.py`</w:t>
            </w:r>
          </w:p>
        </w:tc>
        <w:tc>
          <w:tcPr>
            <w:tcW w:w="3022" w:type="dxa"/>
          </w:tcPr>
          <w:p w14:paraId="4E4BE89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ε-约束 + scipy.milp 双目标求解（双模式）</w:t>
            </w:r>
          </w:p>
        </w:tc>
      </w:tr>
      <w:tr w14:paraId="0581A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0D2DD854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M5</w:t>
            </w:r>
          </w:p>
        </w:tc>
        <w:tc>
          <w:tcPr>
            <w:tcW w:w="3022" w:type="dxa"/>
          </w:tcPr>
          <w:p w14:paraId="1240006A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`m5_sensitivity.py` / `m5_scenario.py` / `m5_montecarlo.py`</w:t>
            </w:r>
          </w:p>
        </w:tc>
        <w:tc>
          <w:tcPr>
            <w:tcW w:w="3022" w:type="dxa"/>
          </w:tcPr>
          <w:p w14:paraId="1AD71D52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敏感性/情景/稳健性</w:t>
            </w:r>
          </w:p>
        </w:tc>
      </w:tr>
      <w:tr w14:paraId="731C7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6B4A20C3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图件</w:t>
            </w:r>
          </w:p>
        </w:tc>
        <w:tc>
          <w:tcPr>
            <w:tcW w:w="3022" w:type="dxa"/>
          </w:tcPr>
          <w:p w14:paraId="5BD8E71B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`06-论文/make_figures.py`</w:t>
            </w:r>
          </w:p>
        </w:tc>
        <w:tc>
          <w:tcPr>
            <w:tcW w:w="3022" w:type="dxa"/>
          </w:tcPr>
          <w:p w14:paraId="6C5DD774">
            <w:pPr>
              <w:spacing w:after="4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全部图件（矢量 PDF + 300 dpi PNG）</w:t>
            </w:r>
          </w:p>
        </w:tc>
      </w:tr>
    </w:tbl>
    <w:p w14:paraId="19573F0E">
      <w:pPr>
        <w:spacing w:after="40"/>
      </w:pPr>
    </w:p>
    <w:p w14:paraId="3CC50073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复现：`C:\Python314\python.exe`（Python 3.14，numpy/scipy/matplotlib）；按 m1 → m2 → m4 → m5 顺序执行即可全量重算。</w:t>
      </w:r>
    </w:p>
    <w:p w14:paraId="1869D8D6">
      <w:pPr>
        <w:pStyle w:val="4"/>
      </w:pPr>
      <w:bookmarkStart w:id="41" w:name="_Toc17957"/>
      <w:r>
        <w:t>附录 B 数据表（摘要）</w:t>
      </w:r>
      <w:bookmarkEnd w:id="41"/>
    </w:p>
    <w:p w14:paraId="0DC37FE7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>· 设计暴雨表（P_T）：`输出/P_T_表.csv`（含 T5 情景值）；地块参数表：`输入/地块参数表.csv`。</w:t>
      </w:r>
    </w:p>
    <w:p w14:paraId="11E87D19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>· 措施选项表（12 地块 × 4 措施，含"工程可行"列与单位效益）：`输出/措施选项表.csv`。</w:t>
      </w:r>
    </w:p>
    <w:p w14:paraId="14DA9892">
      <w:pPr>
        <w:pStyle w:val="4"/>
      </w:pPr>
      <w:bookmarkStart w:id="42" w:name="_Toc9954"/>
      <w:r>
        <w:t>附录 C 详细计算结果</w:t>
      </w:r>
      <w:bookmarkEnd w:id="42"/>
    </w:p>
    <w:p w14:paraId="0FBA539B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>· Pareto 前沿（比例/整块 × 四档预算 8 张表）：`输出/pareto_frac_B*.csv`、`pareto_binary_B*.csv`；三档方案：`输出/三档方案_B100.csv`。</w:t>
      </w:r>
    </w:p>
    <w:p w14:paraId="69D4C8BE">
      <w:pPr>
        <w:spacing w:after="80" w:line="336" w:lineRule="auto"/>
        <w:ind w:left="360" w:hanging="200"/>
      </w:pPr>
      <w:r>
        <w:rPr>
          <w:rFonts w:ascii="Times New Roman" w:hAnsi="Times New Roman" w:eastAsia="宋体"/>
          <w:b w:val="0"/>
          <w:i w:val="0"/>
          <w:sz w:val="24"/>
        </w:rPr>
        <w:t>· 敏感性：`m5_sens_indicators.csv`、`m5_sens_green_budget.csv`；情景：`m5_scen_table.csv`；Monte Carlo：`m5_mc_samples.csv`（500 行）、`m5_mc_summary.csv`、`m5_mc_parcels.csv`。</w:t>
      </w:r>
    </w:p>
    <w:p w14:paraId="0C56B2DD">
      <w:pPr>
        <w:pStyle w:val="4"/>
      </w:pPr>
      <w:bookmarkStart w:id="43" w:name="_Toc20255"/>
      <w:r>
        <w:t>附录 D 改造建议（要点）</w:t>
      </w:r>
      <w:bookmarkEnd w:id="43"/>
    </w:p>
    <w:p w14:paraId="1C5DC5C8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>1. 一期（≤100 万元，径流优先）：P01 看台带 + P09 运动场整块透水铺装，P04 球场区局部透水；预期削减 3 年一遇场次产流约 249 m³（9.5%）。</w:t>
      </w:r>
    </w:p>
    <w:p w14:paraId="1A7F8D1C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>2. 二期（至 200–400 万元）：P10 宿舍区透水化，随后按临界预算结论（≈395 万元）启动绿地区下沉式绿地改造。</w:t>
      </w:r>
    </w:p>
    <w:p w14:paraId="2C7BB6C1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>3. 舒适度导向调整：若以活动区热舒适为优先，可将 P01 由透水铺装改为雨水花园（同一预算下 ΔT 由 30 769 提升至 35 000 ℃·m²，+14%），代价是径流削减量减少约 28 m³。</w:t>
      </w:r>
    </w:p>
    <w:p w14:paraId="5E4FD835">
      <w:pPr>
        <w:spacing w:after="80" w:line="336" w:lineRule="auto"/>
        <w:ind w:left="360" w:hanging="360"/>
      </w:pPr>
      <w:r>
        <w:rPr>
          <w:rFonts w:ascii="Times New Roman" w:hAnsi="Times New Roman" w:eastAsia="宋体"/>
          <w:b w:val="0"/>
          <w:i w:val="0"/>
          <w:sz w:val="24"/>
        </w:rPr>
        <w:t>4. 防台加固：极端台风预警期前，确保雨水花园溢流与校园排水通道畅通；新建滞蓄设施应布设在低洼汇水处（待补充高程数据后细化）。</w:t>
      </w:r>
    </w:p>
    <w:p w14:paraId="4217D4C8">
      <w:pPr>
        <w:jc w:val="center"/>
      </w:pPr>
      <w:r>
        <w:rPr>
          <w:rFonts w:ascii="Times New Roman" w:hAnsi="Times New Roman" w:eastAsia="宋体"/>
          <w:b w:val="0"/>
          <w:i/>
          <w:color w:val="808080"/>
          <w:sz w:val="21"/>
        </w:rPr>
        <w:t>（初稿 v1 完；待补：论文格式规范排版、图表统一编号核对、泉州公式出处核实后回填 [3]。）</w:t>
      </w:r>
    </w:p>
    <w:sectPr>
      <w:footerReference r:id="rId5" w:type="default"/>
      <w:pgSz w:w="12240" w:h="15840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A839F">
    <w:pPr>
      <w:pStyle w:val="24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</w:r>
    <w:r>
      <w:rPr>
        <w:rFonts w:ascii="Times New Roman" w:hAnsi="Times New Roman" w:eastAsia="宋体"/>
        <w:b w:val="0"/>
        <w:i w:val="0"/>
        <w:sz w:val="21"/>
      </w:rPr>
      <w:instrText xml:space="preserve">PAGE</w:instrText>
    </w:r>
    <w:r>
      <w:rPr>
        <w:rFonts w:ascii="Times New Roman" w:hAnsi="Times New Roman" w:eastAsia="宋体"/>
        <w:b w:val="0"/>
        <w:i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F9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60" w:line="312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120" w:line="312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20" w:line="312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5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120" w:line="312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4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1471</Words>
  <Characters>1738</Characters>
  <Lines>0</Lines>
  <Paragraphs>0</Paragraphs>
  <TotalTime>11</TotalTime>
  <ScaleCrop>false</ScaleCrop>
  <LinksUpToDate>false</LinksUpToDate>
  <CharactersWithSpaces>1883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WPS_1771661552</cp:lastModifiedBy>
  <dcterms:modified xsi:type="dcterms:W3CDTF">2026-09-25T14:06:10Z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eyJoZGlkIjoiMjJiYjYwNDQwNDY5MDk3YjUyZjVhN2Q4ZGFlNmU5ODIiLCJ1c2VySWQiOiIxODAyODY1NTk1In0=</vt:lpwstr>
  </property>
  <property fmtid="{D5CDD505-2E9C-101B-9397-08002B2CF9AE}" pid="3" name="KSOProductBuildVer">
    <vt:lpwstr>2052-12.1.0.28043</vt:lpwstr>
  </property>
  <property fmtid="{D5CDD505-2E9C-101B-9397-08002B2CF9AE}" pid="4" name="ICV">
    <vt:lpwstr>BCD6AD230B334B28A454321A465E87AF_12</vt:lpwstr>
  </property>
</Properties>
</file>