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C561F" w14:textId="792C5567" w:rsidR="00FD3BE7" w:rsidRPr="00EB3D35" w:rsidRDefault="00EB3D35" w:rsidP="008E2042">
      <w:pPr>
        <w:ind w:left="360"/>
        <w:jc w:val="center"/>
        <w:rPr>
          <w:rFonts w:asciiTheme="minorBidi" w:hAnsiTheme="minorBidi"/>
          <w:highlight w:val="yellow"/>
        </w:rPr>
      </w:pPr>
      <w:r w:rsidRPr="00EB3D35">
        <w:rPr>
          <w:rFonts w:asciiTheme="minorBidi" w:hAnsiTheme="minorBidi"/>
          <w:b/>
          <w:bCs/>
        </w:rPr>
        <w:t>Template</w:t>
      </w:r>
      <w:r w:rsidR="00FD3BE7">
        <w:rPr>
          <w:rFonts w:asciiTheme="minorBidi" w:hAnsiTheme="minorBidi"/>
          <w:b/>
          <w:bCs/>
        </w:rPr>
        <w:t xml:space="preserve">    </w:t>
      </w:r>
    </w:p>
    <w:p w14:paraId="566557F8" w14:textId="2B00BC47" w:rsidR="00EB3D35" w:rsidRPr="00EB3D35" w:rsidRDefault="00EB3D35" w:rsidP="00EB3D35">
      <w:pPr>
        <w:rPr>
          <w:rFonts w:asciiTheme="minorBidi" w:hAnsiTheme="minorBidi"/>
          <w:b/>
          <w:bCs/>
        </w:rPr>
      </w:pPr>
    </w:p>
    <w:p w14:paraId="08ECA8AD" w14:textId="279A909D" w:rsidR="00EB3D35" w:rsidRPr="008E2042" w:rsidRDefault="00EB3D35" w:rsidP="00EB3D35">
      <w:pPr>
        <w:rPr>
          <w:rFonts w:asciiTheme="minorBidi" w:hAnsiTheme="minorBidi"/>
          <w:lang w:val="fr-FR"/>
        </w:rPr>
      </w:pPr>
      <w:r w:rsidRPr="00EB3D35">
        <w:rPr>
          <w:rFonts w:asciiTheme="minorBidi" w:hAnsiTheme="minorBidi"/>
          <w:b/>
          <w:bCs/>
        </w:rPr>
        <w:t>Deliverable D3.2: Policy and Governance Evaluation Report (Due 01 March 2026)</w:t>
      </w:r>
      <w:r w:rsidRPr="00EB3D35">
        <w:rPr>
          <w:rFonts w:asciiTheme="minorBidi" w:hAnsiTheme="minorBidi"/>
        </w:rPr>
        <w:br/>
      </w:r>
      <w:r w:rsidRPr="00EB3D35">
        <w:rPr>
          <w:rFonts w:asciiTheme="minorBidi" w:hAnsiTheme="minorBidi"/>
          <w:b/>
          <w:bCs/>
        </w:rPr>
        <w:t>Partner / Living Lab:</w:t>
      </w:r>
      <w:r w:rsidR="008E2042">
        <w:rPr>
          <w:rFonts w:asciiTheme="minorBidi" w:hAnsiTheme="minorBidi"/>
          <w:b/>
          <w:bCs/>
          <w:lang w:val="fr-FR"/>
        </w:rPr>
        <w:t xml:space="preserve"> FST-UTM</w:t>
      </w:r>
      <w:r w:rsidRPr="00EB3D35">
        <w:rPr>
          <w:rFonts w:asciiTheme="minorBidi" w:hAnsiTheme="minorBidi"/>
        </w:rPr>
        <w:br/>
      </w:r>
      <w:r w:rsidRPr="00EB3D35">
        <w:rPr>
          <w:rFonts w:asciiTheme="minorBidi" w:hAnsiTheme="minorBidi"/>
          <w:b/>
          <w:bCs/>
        </w:rPr>
        <w:t>Country:</w:t>
      </w:r>
      <w:r w:rsidR="008E2042">
        <w:rPr>
          <w:rFonts w:asciiTheme="minorBidi" w:hAnsiTheme="minorBidi"/>
          <w:b/>
          <w:bCs/>
          <w:lang w:val="fr-FR"/>
        </w:rPr>
        <w:t xml:space="preserve"> Tunisia</w:t>
      </w:r>
      <w:r w:rsidRPr="00EB3D35">
        <w:rPr>
          <w:rFonts w:asciiTheme="minorBidi" w:hAnsiTheme="minorBidi"/>
        </w:rPr>
        <w:br/>
      </w:r>
      <w:r w:rsidRPr="00EB3D35">
        <w:rPr>
          <w:rFonts w:asciiTheme="minorBidi" w:hAnsiTheme="minorBidi"/>
          <w:b/>
          <w:bCs/>
        </w:rPr>
        <w:t>Contact person(s):</w:t>
      </w:r>
      <w:r w:rsidR="008E2042">
        <w:rPr>
          <w:rFonts w:asciiTheme="minorBidi" w:hAnsiTheme="minorBidi"/>
          <w:b/>
          <w:bCs/>
          <w:lang w:val="fr-FR"/>
        </w:rPr>
        <w:t xml:space="preserve"> Pr Salwa SAIDI</w:t>
      </w:r>
      <w:r w:rsidRPr="00EB3D35">
        <w:rPr>
          <w:rFonts w:asciiTheme="minorBidi" w:hAnsiTheme="minorBidi"/>
        </w:rPr>
        <w:br/>
      </w:r>
      <w:r w:rsidRPr="00EB3D35">
        <w:rPr>
          <w:rFonts w:asciiTheme="minorBidi" w:hAnsiTheme="minorBidi"/>
          <w:b/>
          <w:bCs/>
        </w:rPr>
        <w:t>Email:</w:t>
      </w:r>
      <w:r w:rsidR="008E2042">
        <w:rPr>
          <w:rFonts w:asciiTheme="minorBidi" w:hAnsiTheme="minorBidi"/>
          <w:b/>
          <w:bCs/>
          <w:lang w:val="fr-FR"/>
        </w:rPr>
        <w:t xml:space="preserve"> salwa.saidi@fst.utm.tn</w:t>
      </w:r>
    </w:p>
    <w:p w14:paraId="7A0FB7AE" w14:textId="361A05CF" w:rsidR="00EB3D35" w:rsidRPr="00EB3D35" w:rsidRDefault="00EB3D35" w:rsidP="00EB3D35">
      <w:pPr>
        <w:rPr>
          <w:rFonts w:asciiTheme="minorBidi" w:hAnsiTheme="minorBidi"/>
        </w:rPr>
      </w:pPr>
    </w:p>
    <w:p w14:paraId="48068F50" w14:textId="77777777" w:rsidR="00EB3D35" w:rsidRPr="00EB3D35" w:rsidRDefault="00EB3D35" w:rsidP="00EB3D35">
      <w:pPr>
        <w:rPr>
          <w:rFonts w:asciiTheme="minorBidi" w:hAnsiTheme="minorBidi"/>
          <w:b/>
          <w:bCs/>
        </w:rPr>
      </w:pPr>
      <w:r w:rsidRPr="00EB3D35">
        <w:rPr>
          <w:rFonts w:asciiTheme="minorBidi" w:hAnsiTheme="minorBidi"/>
          <w:b/>
          <w:bCs/>
        </w:rPr>
        <w:t>1. General Description of the Living Lab</w:t>
      </w:r>
    </w:p>
    <w:p w14:paraId="5EEE153C" w14:textId="2561D96A" w:rsidR="00264756" w:rsidRPr="00264756" w:rsidRDefault="00264756" w:rsidP="00264756">
      <w:pPr>
        <w:rPr>
          <w:rFonts w:asciiTheme="minorBidi" w:hAnsiTheme="minorBidi"/>
          <w:b/>
          <w:bCs/>
        </w:rPr>
      </w:pPr>
      <w:r>
        <w:rPr>
          <w:rFonts w:asciiTheme="minorBidi" w:hAnsiTheme="minorBidi"/>
          <w:b/>
          <w:bCs/>
        </w:rPr>
        <w:t xml:space="preserve">Mannouba </w:t>
      </w:r>
      <w:r w:rsidRPr="00264756">
        <w:rPr>
          <w:rFonts w:asciiTheme="minorBidi" w:hAnsiTheme="minorBidi"/>
          <w:b/>
          <w:bCs/>
        </w:rPr>
        <w:t xml:space="preserve"> – Northern Tunisia</w:t>
      </w:r>
    </w:p>
    <w:p w14:paraId="6EB17C28" w14:textId="77777777" w:rsidR="00264756" w:rsidRDefault="00264756" w:rsidP="00264756">
      <w:pPr>
        <w:pStyle w:val="NormalWeb"/>
      </w:pPr>
      <w:r>
        <w:rPr>
          <w:rStyle w:val="lev"/>
          <w:rFonts w:eastAsiaTheme="majorEastAsia"/>
        </w:rPr>
        <w:t>Location:</w:t>
      </w:r>
      <w:r>
        <w:t xml:space="preserve"> Northern Tunisia, Mannouba region</w:t>
      </w:r>
      <w:r>
        <w:br/>
      </w:r>
      <w:r>
        <w:rPr>
          <w:rStyle w:val="lev"/>
          <w:rFonts w:eastAsiaTheme="majorEastAsia"/>
        </w:rPr>
        <w:t>Climate:</w:t>
      </w:r>
      <w:r>
        <w:t xml:space="preserve"> Mediterranean, semi-arid</w:t>
      </w:r>
      <w:r>
        <w:br/>
      </w:r>
      <w:r>
        <w:rPr>
          <w:rStyle w:val="lev"/>
          <w:rFonts w:eastAsiaTheme="majorEastAsia"/>
        </w:rPr>
        <w:t>Area:</w:t>
      </w:r>
      <w:r>
        <w:t xml:space="preserve"> ~2,500–3,000 ha of irrigated land</w:t>
      </w:r>
      <w:r>
        <w:br/>
      </w:r>
      <w:r>
        <w:rPr>
          <w:rStyle w:val="lev"/>
          <w:rFonts w:eastAsiaTheme="majorEastAsia"/>
        </w:rPr>
        <w:t>Farmers involved:</w:t>
      </w:r>
      <w:r>
        <w:t xml:space="preserve"> ~150–200</w:t>
      </w:r>
      <w:r>
        <w:br/>
      </w:r>
      <w:r>
        <w:rPr>
          <w:rStyle w:val="lev"/>
          <w:rFonts w:eastAsiaTheme="majorEastAsia"/>
        </w:rPr>
        <w:t>Main irrigation systems:</w:t>
      </w:r>
      <w:r>
        <w:t xml:space="preserve"> Surface (gravity), sprinkler, and localized drip irrigation</w:t>
      </w:r>
      <w:r>
        <w:br/>
      </w:r>
      <w:r>
        <w:rPr>
          <w:rStyle w:val="lev"/>
          <w:rFonts w:eastAsiaTheme="majorEastAsia"/>
        </w:rPr>
        <w:t>Water sources:</w:t>
      </w:r>
      <w:r>
        <w:t xml:space="preserve"> Groundwater wells and irrigation canals</w:t>
      </w:r>
      <w:r>
        <w:br/>
      </w:r>
      <w:r>
        <w:rPr>
          <w:rStyle w:val="lev"/>
          <w:rFonts w:eastAsiaTheme="majorEastAsia"/>
        </w:rPr>
        <w:t>Cropping systems:</w:t>
      </w:r>
      <w:r>
        <w:t xml:space="preserve"> Cereals, vegetables, olives</w:t>
      </w:r>
    </w:p>
    <w:p w14:paraId="29F4F0CF" w14:textId="77777777" w:rsidR="00264756" w:rsidRPr="00264756" w:rsidRDefault="00264756" w:rsidP="00264756">
      <w:pPr>
        <w:rPr>
          <w:rFonts w:asciiTheme="minorBidi" w:hAnsiTheme="minorBidi"/>
          <w:b/>
          <w:bCs/>
        </w:rPr>
      </w:pPr>
      <w:r w:rsidRPr="00264756">
        <w:rPr>
          <w:rFonts w:asciiTheme="minorBidi" w:hAnsiTheme="minorBidi"/>
          <w:b/>
          <w:bCs/>
        </w:rPr>
        <w:t>Problem Statement</w:t>
      </w:r>
    </w:p>
    <w:p w14:paraId="34C70CCB" w14:textId="77777777" w:rsidR="00264756" w:rsidRDefault="00264756" w:rsidP="00264756">
      <w:pPr>
        <w:pStyle w:val="NormalWeb"/>
      </w:pPr>
      <w:r>
        <w:t xml:space="preserve">The Mannouba region is increasingly affected by </w:t>
      </w:r>
      <w:r>
        <w:rPr>
          <w:rStyle w:val="lev"/>
          <w:rFonts w:eastAsiaTheme="majorEastAsia"/>
        </w:rPr>
        <w:t>water scarcity</w:t>
      </w:r>
      <w:r>
        <w:t xml:space="preserve">, </w:t>
      </w:r>
      <w:r>
        <w:rPr>
          <w:rStyle w:val="lev"/>
          <w:rFonts w:eastAsiaTheme="majorEastAsia"/>
        </w:rPr>
        <w:t>groundwater over-extraction</w:t>
      </w:r>
      <w:r>
        <w:t xml:space="preserve">, and </w:t>
      </w:r>
      <w:r>
        <w:rPr>
          <w:rStyle w:val="lev"/>
          <w:rFonts w:eastAsiaTheme="majorEastAsia"/>
        </w:rPr>
        <w:t>rising salinity</w:t>
      </w:r>
      <w:r>
        <w:t>, compounded by recurrent droughts and climate variability. Inefficient irrigation practices and limited participatory governance mechanisms further reduce water-use efficiency and agricultural resilience.</w:t>
      </w:r>
    </w:p>
    <w:p w14:paraId="5342882F" w14:textId="77777777" w:rsidR="00264756" w:rsidRPr="00264756" w:rsidRDefault="00264756" w:rsidP="00264756">
      <w:pPr>
        <w:rPr>
          <w:rFonts w:asciiTheme="minorBidi" w:hAnsiTheme="minorBidi"/>
          <w:b/>
          <w:bCs/>
        </w:rPr>
      </w:pPr>
      <w:r w:rsidRPr="00264756">
        <w:rPr>
          <w:rFonts w:asciiTheme="minorBidi" w:hAnsiTheme="minorBidi"/>
          <w:b/>
          <w:bCs/>
        </w:rPr>
        <w:t>SAVE Water Integrated Approach</w:t>
      </w:r>
    </w:p>
    <w:p w14:paraId="3A6F5502" w14:textId="77777777" w:rsidR="00264756" w:rsidRDefault="00264756" w:rsidP="00264756">
      <w:pPr>
        <w:pStyle w:val="NormalWeb"/>
      </w:pPr>
      <w:r>
        <w:t>The Mannouba Living Lab implements an integrated Nature-Based Solutions (NBS) strategy combined with real-time monitoring and participatory governance to strengthen climate resilience.</w:t>
      </w:r>
    </w:p>
    <w:p w14:paraId="5C1CF0B6" w14:textId="77777777" w:rsidR="00264756" w:rsidRDefault="00264756" w:rsidP="00264756">
      <w:pPr>
        <w:pStyle w:val="NormalWeb"/>
      </w:pPr>
      <w:r>
        <w:rPr>
          <w:rStyle w:val="lev"/>
          <w:rFonts w:eastAsiaTheme="majorEastAsia"/>
        </w:rPr>
        <w:t>Nature-Based Solutions include:</w:t>
      </w:r>
    </w:p>
    <w:p w14:paraId="5D4B5ECA" w14:textId="77777777" w:rsidR="00264756" w:rsidRDefault="00264756" w:rsidP="00264756">
      <w:pPr>
        <w:pStyle w:val="NormalWeb"/>
        <w:numPr>
          <w:ilvl w:val="0"/>
          <w:numId w:val="12"/>
        </w:numPr>
      </w:pPr>
      <w:r>
        <w:t>Soil moisture conservation through cover crops and mulching</w:t>
      </w:r>
    </w:p>
    <w:p w14:paraId="2F806212" w14:textId="77777777" w:rsidR="00264756" w:rsidRDefault="00264756" w:rsidP="00264756">
      <w:pPr>
        <w:pStyle w:val="NormalWeb"/>
        <w:numPr>
          <w:ilvl w:val="0"/>
          <w:numId w:val="12"/>
        </w:numPr>
      </w:pPr>
      <w:r>
        <w:t>Agroforestry systems to regulate microclimate and reduce evapotranspiration</w:t>
      </w:r>
    </w:p>
    <w:p w14:paraId="6B3F1B96" w14:textId="77777777" w:rsidR="00264756" w:rsidRDefault="00264756" w:rsidP="00264756">
      <w:pPr>
        <w:pStyle w:val="NormalWeb"/>
        <w:numPr>
          <w:ilvl w:val="0"/>
          <w:numId w:val="12"/>
        </w:numPr>
      </w:pPr>
      <w:r>
        <w:t>Vegetated buffer strips and improved natural drainage</w:t>
      </w:r>
    </w:p>
    <w:p w14:paraId="6F123B88" w14:textId="77777777" w:rsidR="00264756" w:rsidRDefault="00264756" w:rsidP="00264756">
      <w:pPr>
        <w:pStyle w:val="NormalWeb"/>
        <w:numPr>
          <w:ilvl w:val="0"/>
          <w:numId w:val="12"/>
        </w:numPr>
      </w:pPr>
      <w:r>
        <w:t>Managed aquifer recharge and landscape-based water retention</w:t>
      </w:r>
    </w:p>
    <w:p w14:paraId="2982BBEE" w14:textId="77777777" w:rsidR="00264756" w:rsidRDefault="00264756" w:rsidP="00264756">
      <w:pPr>
        <w:pStyle w:val="NormalWeb"/>
      </w:pPr>
      <w:r>
        <w:rPr>
          <w:rStyle w:val="lev"/>
          <w:rFonts w:eastAsiaTheme="majorEastAsia"/>
        </w:rPr>
        <w:t>Digital and Monitoring Innovations:</w:t>
      </w:r>
    </w:p>
    <w:p w14:paraId="1770661E" w14:textId="77777777" w:rsidR="00264756" w:rsidRDefault="00264756" w:rsidP="00264756">
      <w:pPr>
        <w:pStyle w:val="NormalWeb"/>
        <w:numPr>
          <w:ilvl w:val="0"/>
          <w:numId w:val="13"/>
        </w:numPr>
      </w:pPr>
      <w:r>
        <w:t>Deployment of low-cost sensors for real-time groundwater level and salinity monitoring</w:t>
      </w:r>
    </w:p>
    <w:p w14:paraId="4E0A3968" w14:textId="77777777" w:rsidR="00264756" w:rsidRDefault="00264756" w:rsidP="00264756">
      <w:pPr>
        <w:pStyle w:val="NormalWeb"/>
        <w:numPr>
          <w:ilvl w:val="0"/>
          <w:numId w:val="13"/>
        </w:numPr>
      </w:pPr>
      <w:r>
        <w:lastRenderedPageBreak/>
        <w:t>AI-supported multi-criteria vulnerability mapping (water stress, salinity, climate exposure, irrigation efficiency)</w:t>
      </w:r>
    </w:p>
    <w:p w14:paraId="79492092" w14:textId="77777777" w:rsidR="00264756" w:rsidRDefault="00264756" w:rsidP="00264756">
      <w:pPr>
        <w:pStyle w:val="NormalWeb"/>
        <w:numPr>
          <w:ilvl w:val="0"/>
          <w:numId w:val="13"/>
        </w:numPr>
      </w:pPr>
      <w:r>
        <w:t>GIS-based decision-support tools to optimize water allocation</w:t>
      </w:r>
    </w:p>
    <w:p w14:paraId="0573806C" w14:textId="77777777" w:rsidR="00264756" w:rsidRDefault="00264756" w:rsidP="00264756">
      <w:pPr>
        <w:pStyle w:val="NormalWeb"/>
      </w:pPr>
      <w:r>
        <w:rPr>
          <w:rStyle w:val="lev"/>
          <w:rFonts w:eastAsiaTheme="majorEastAsia"/>
        </w:rPr>
        <w:t>Participatory and Gender-Responsive Governance:</w:t>
      </w:r>
    </w:p>
    <w:p w14:paraId="3B125A9E" w14:textId="77777777" w:rsidR="00264756" w:rsidRDefault="00264756" w:rsidP="00264756">
      <w:pPr>
        <w:pStyle w:val="NormalWeb"/>
        <w:numPr>
          <w:ilvl w:val="0"/>
          <w:numId w:val="14"/>
        </w:numPr>
      </w:pPr>
      <w:r>
        <w:t>Living Lab co-creation workshops with farmers, water user associations, and local authorities</w:t>
      </w:r>
    </w:p>
    <w:p w14:paraId="4A2B3FC2" w14:textId="77777777" w:rsidR="00264756" w:rsidRDefault="00264756" w:rsidP="00264756">
      <w:pPr>
        <w:pStyle w:val="NormalWeb"/>
        <w:numPr>
          <w:ilvl w:val="0"/>
          <w:numId w:val="14"/>
        </w:numPr>
      </w:pPr>
      <w:r>
        <w:t>Strengthened multi-level water governance mechanisms</w:t>
      </w:r>
    </w:p>
    <w:p w14:paraId="7839BF94" w14:textId="77777777" w:rsidR="00264756" w:rsidRDefault="00264756" w:rsidP="00264756">
      <w:pPr>
        <w:pStyle w:val="NormalWeb"/>
        <w:numPr>
          <w:ilvl w:val="0"/>
          <w:numId w:val="14"/>
        </w:numPr>
      </w:pPr>
      <w:r>
        <w:t>Active inclusion of women farmers in monitoring activities, digital training, and decision-making platforms</w:t>
      </w:r>
    </w:p>
    <w:p w14:paraId="5A778341" w14:textId="35DE8642" w:rsidR="00264756" w:rsidRDefault="00264756" w:rsidP="00264756">
      <w:pPr>
        <w:pStyle w:val="NormalWeb"/>
      </w:pPr>
      <w:r>
        <w:t>By combining ecosystem-based adaptation with digital innovation and inclusive governance, the Mannouba Living Lab improves water-use efficiency, reduces vulnerability to climate risks, and enhances sustainable agricultural productivity.</w:t>
      </w:r>
    </w:p>
    <w:p w14:paraId="4E72236E" w14:textId="7AD46D88" w:rsidR="00264756" w:rsidRPr="00264756" w:rsidRDefault="00264756" w:rsidP="00264756">
      <w:pPr>
        <w:pStyle w:val="NormalWeb"/>
        <w:rPr>
          <w:rStyle w:val="lev"/>
          <w:rFonts w:eastAsiaTheme="majorEastAsia"/>
        </w:rPr>
      </w:pPr>
      <w:r>
        <w:rPr>
          <w:rStyle w:val="lev"/>
          <w:rFonts w:eastAsiaTheme="majorEastAsia"/>
        </w:rPr>
        <w:t>Gabes</w:t>
      </w:r>
      <w:r w:rsidRPr="00264756">
        <w:rPr>
          <w:rStyle w:val="lev"/>
          <w:rFonts w:eastAsiaTheme="majorEastAsia"/>
        </w:rPr>
        <w:t xml:space="preserve"> – Southern Tunisia</w:t>
      </w:r>
    </w:p>
    <w:p w14:paraId="0BC6102D" w14:textId="77777777" w:rsidR="00264756" w:rsidRDefault="00264756" w:rsidP="00264756">
      <w:pPr>
        <w:pStyle w:val="NormalWeb"/>
      </w:pPr>
      <w:r>
        <w:rPr>
          <w:rStyle w:val="lev"/>
          <w:rFonts w:eastAsiaTheme="majorEastAsia"/>
        </w:rPr>
        <w:t>Location:</w:t>
      </w:r>
      <w:r>
        <w:t xml:space="preserve"> Southern Tunisia, Gabes region</w:t>
      </w:r>
      <w:r>
        <w:br/>
      </w:r>
      <w:r>
        <w:rPr>
          <w:rStyle w:val="lev"/>
          <w:rFonts w:eastAsiaTheme="majorEastAsia"/>
        </w:rPr>
        <w:t>Climate:</w:t>
      </w:r>
      <w:r>
        <w:t xml:space="preserve"> Arid to semi-arid</w:t>
      </w:r>
      <w:r>
        <w:br/>
      </w:r>
      <w:r>
        <w:rPr>
          <w:rStyle w:val="lev"/>
          <w:rFonts w:eastAsiaTheme="majorEastAsia"/>
        </w:rPr>
        <w:t>Area:</w:t>
      </w:r>
      <w:r>
        <w:t xml:space="preserve"> ~1,500–2,000 ha (oasis and irrigated perimeters)</w:t>
      </w:r>
      <w:r>
        <w:br/>
      </w:r>
      <w:r>
        <w:rPr>
          <w:rStyle w:val="lev"/>
          <w:rFonts w:eastAsiaTheme="majorEastAsia"/>
        </w:rPr>
        <w:t>Farmers involved:</w:t>
      </w:r>
      <w:r>
        <w:t xml:space="preserve"> ~120–180</w:t>
      </w:r>
      <w:r>
        <w:br/>
      </w:r>
      <w:r>
        <w:rPr>
          <w:rStyle w:val="lev"/>
          <w:rFonts w:eastAsiaTheme="majorEastAsia"/>
        </w:rPr>
        <w:t>Main irrigation systems:</w:t>
      </w:r>
      <w:r>
        <w:t xml:space="preserve"> Traditional oasis irrigation, surface irrigation, localized drip irrigation</w:t>
      </w:r>
      <w:r>
        <w:br/>
      </w:r>
      <w:r>
        <w:rPr>
          <w:rStyle w:val="lev"/>
          <w:rFonts w:eastAsiaTheme="majorEastAsia"/>
        </w:rPr>
        <w:t>Water sources:</w:t>
      </w:r>
      <w:r>
        <w:t xml:space="preserve"> Deep groundwater aquifers and limited surface water</w:t>
      </w:r>
      <w:r>
        <w:br/>
      </w:r>
      <w:r>
        <w:rPr>
          <w:rStyle w:val="lev"/>
          <w:rFonts w:eastAsiaTheme="majorEastAsia"/>
        </w:rPr>
        <w:t>Cropping systems:</w:t>
      </w:r>
      <w:r>
        <w:t xml:space="preserve"> Date palms, vegetables, cereals</w:t>
      </w:r>
    </w:p>
    <w:p w14:paraId="48674053" w14:textId="77777777" w:rsidR="00264756" w:rsidRPr="00264756" w:rsidRDefault="00264756" w:rsidP="00264756">
      <w:pPr>
        <w:pStyle w:val="NormalWeb"/>
        <w:rPr>
          <w:rStyle w:val="lev"/>
          <w:rFonts w:eastAsiaTheme="majorEastAsia"/>
        </w:rPr>
      </w:pPr>
      <w:r w:rsidRPr="00264756">
        <w:rPr>
          <w:rStyle w:val="lev"/>
          <w:rFonts w:eastAsiaTheme="majorEastAsia"/>
        </w:rPr>
        <w:t>Problem Statement</w:t>
      </w:r>
    </w:p>
    <w:p w14:paraId="3C1B8FE9" w14:textId="77777777" w:rsidR="00264756" w:rsidRDefault="00264756" w:rsidP="00264756">
      <w:pPr>
        <w:pStyle w:val="NormalWeb"/>
      </w:pPr>
      <w:r>
        <w:t xml:space="preserve">Gabes faces acute </w:t>
      </w:r>
      <w:r>
        <w:rPr>
          <w:rStyle w:val="lev"/>
          <w:rFonts w:eastAsiaTheme="majorEastAsia"/>
        </w:rPr>
        <w:t>water scarcity</w:t>
      </w:r>
      <w:r>
        <w:t xml:space="preserve">, severe </w:t>
      </w:r>
      <w:r>
        <w:rPr>
          <w:rStyle w:val="lev"/>
          <w:rFonts w:eastAsiaTheme="majorEastAsia"/>
        </w:rPr>
        <w:t>aquifer depletion due to over-extraction</w:t>
      </w:r>
      <w:r>
        <w:t xml:space="preserve">, and increasing </w:t>
      </w:r>
      <w:r>
        <w:rPr>
          <w:rStyle w:val="lev"/>
          <w:rFonts w:eastAsiaTheme="majorEastAsia"/>
        </w:rPr>
        <w:t>soil and water salinity</w:t>
      </w:r>
      <w:r>
        <w:t>, aggravated by extreme heatwaves and prolonged drought periods. These pressures threaten the sustainability of the fragile oasis agro-ecosystem and local livelihoods.</w:t>
      </w:r>
    </w:p>
    <w:p w14:paraId="086CBCBB" w14:textId="77777777" w:rsidR="00264756" w:rsidRPr="00264756" w:rsidRDefault="00264756" w:rsidP="00264756">
      <w:pPr>
        <w:pStyle w:val="NormalWeb"/>
        <w:rPr>
          <w:rStyle w:val="lev"/>
          <w:rFonts w:eastAsiaTheme="majorEastAsia"/>
        </w:rPr>
      </w:pPr>
      <w:r w:rsidRPr="00264756">
        <w:rPr>
          <w:rStyle w:val="lev"/>
          <w:rFonts w:eastAsiaTheme="majorEastAsia"/>
        </w:rPr>
        <w:t>SAVE Water Integrated Approach</w:t>
      </w:r>
    </w:p>
    <w:p w14:paraId="4E9118AA" w14:textId="77777777" w:rsidR="00264756" w:rsidRDefault="00264756" w:rsidP="00264756">
      <w:pPr>
        <w:pStyle w:val="NormalWeb"/>
      </w:pPr>
      <w:r>
        <w:t>The Gabes Living Lab adopts a climate-resilient, ecosystem-based strategy reinforced by digital monitoring and inclusive governance.</w:t>
      </w:r>
    </w:p>
    <w:p w14:paraId="2F6C1D95" w14:textId="77777777" w:rsidR="00264756" w:rsidRDefault="00264756" w:rsidP="00264756">
      <w:pPr>
        <w:pStyle w:val="NormalWeb"/>
      </w:pPr>
      <w:r>
        <w:rPr>
          <w:rStyle w:val="lev"/>
          <w:rFonts w:eastAsiaTheme="majorEastAsia"/>
        </w:rPr>
        <w:t>Nature-Based Solutions include:</w:t>
      </w:r>
    </w:p>
    <w:p w14:paraId="61B79F37" w14:textId="77777777" w:rsidR="00264756" w:rsidRDefault="00264756" w:rsidP="00264756">
      <w:pPr>
        <w:pStyle w:val="NormalWeb"/>
        <w:numPr>
          <w:ilvl w:val="0"/>
          <w:numId w:val="15"/>
        </w:numPr>
      </w:pPr>
      <w:r>
        <w:t>Restoration of the traditional three-layer oasis agroforestry system</w:t>
      </w:r>
    </w:p>
    <w:p w14:paraId="5C63E2C3" w14:textId="77777777" w:rsidR="00264756" w:rsidRDefault="00264756" w:rsidP="00264756">
      <w:pPr>
        <w:pStyle w:val="NormalWeb"/>
        <w:numPr>
          <w:ilvl w:val="0"/>
          <w:numId w:val="15"/>
        </w:numPr>
      </w:pPr>
      <w:r>
        <w:t>Introduction of salt-tolerant and native species</w:t>
      </w:r>
    </w:p>
    <w:p w14:paraId="7EFF2E40" w14:textId="77777777" w:rsidR="00264756" w:rsidRDefault="00264756" w:rsidP="00264756">
      <w:pPr>
        <w:pStyle w:val="NormalWeb"/>
        <w:numPr>
          <w:ilvl w:val="0"/>
          <w:numId w:val="15"/>
        </w:numPr>
      </w:pPr>
      <w:r>
        <w:t>Soil regeneration through organic amendments and composting</w:t>
      </w:r>
    </w:p>
    <w:p w14:paraId="1E9E3E2B" w14:textId="77777777" w:rsidR="00264756" w:rsidRDefault="00264756" w:rsidP="00264756">
      <w:pPr>
        <w:pStyle w:val="NormalWeb"/>
        <w:numPr>
          <w:ilvl w:val="0"/>
          <w:numId w:val="15"/>
        </w:numPr>
      </w:pPr>
      <w:r>
        <w:t>Natural water retention and sustainable groundwater recharge practices</w:t>
      </w:r>
    </w:p>
    <w:p w14:paraId="37C3C745" w14:textId="77777777" w:rsidR="00264756" w:rsidRDefault="00264756" w:rsidP="00264756">
      <w:pPr>
        <w:pStyle w:val="NormalWeb"/>
      </w:pPr>
      <w:r>
        <w:rPr>
          <w:rStyle w:val="lev"/>
          <w:rFonts w:eastAsiaTheme="majorEastAsia"/>
        </w:rPr>
        <w:t>Digital and Monitoring Innovations:</w:t>
      </w:r>
    </w:p>
    <w:p w14:paraId="6CC07F20" w14:textId="77777777" w:rsidR="00264756" w:rsidRDefault="00264756" w:rsidP="00264756">
      <w:pPr>
        <w:pStyle w:val="NormalWeb"/>
        <w:numPr>
          <w:ilvl w:val="0"/>
          <w:numId w:val="16"/>
        </w:numPr>
      </w:pPr>
      <w:r>
        <w:t>Smart sensor systems for continuous monitoring of groundwater levels and quality</w:t>
      </w:r>
    </w:p>
    <w:p w14:paraId="2FD9DF65" w14:textId="77777777" w:rsidR="00264756" w:rsidRDefault="00264756" w:rsidP="00264756">
      <w:pPr>
        <w:pStyle w:val="NormalWeb"/>
        <w:numPr>
          <w:ilvl w:val="0"/>
          <w:numId w:val="16"/>
        </w:numPr>
      </w:pPr>
      <w:r>
        <w:t>AI-driven climate and water vulnerability cartography</w:t>
      </w:r>
    </w:p>
    <w:p w14:paraId="545BE767" w14:textId="77777777" w:rsidR="00264756" w:rsidRDefault="00264756" w:rsidP="00264756">
      <w:pPr>
        <w:pStyle w:val="NormalWeb"/>
        <w:numPr>
          <w:ilvl w:val="0"/>
          <w:numId w:val="16"/>
        </w:numPr>
      </w:pPr>
      <w:r>
        <w:lastRenderedPageBreak/>
        <w:t>Spatial modeling tools to support adaptive water management and policy decisions</w:t>
      </w:r>
    </w:p>
    <w:p w14:paraId="64C93FB8" w14:textId="77777777" w:rsidR="00264756" w:rsidRDefault="00264756" w:rsidP="00264756">
      <w:pPr>
        <w:pStyle w:val="NormalWeb"/>
      </w:pPr>
      <w:r>
        <w:rPr>
          <w:rStyle w:val="lev"/>
          <w:rFonts w:eastAsiaTheme="majorEastAsia"/>
        </w:rPr>
        <w:t>Participatory and Gender-Responsive Governance:</w:t>
      </w:r>
    </w:p>
    <w:p w14:paraId="179E65DD" w14:textId="77777777" w:rsidR="00264756" w:rsidRDefault="00264756" w:rsidP="00264756">
      <w:pPr>
        <w:pStyle w:val="NormalWeb"/>
        <w:numPr>
          <w:ilvl w:val="0"/>
          <w:numId w:val="17"/>
        </w:numPr>
      </w:pPr>
      <w:r>
        <w:t>Co-design of solutions with farmers, civil society, and local institutions</w:t>
      </w:r>
    </w:p>
    <w:p w14:paraId="32B697F7" w14:textId="77777777" w:rsidR="00264756" w:rsidRDefault="00264756" w:rsidP="00264756">
      <w:pPr>
        <w:pStyle w:val="NormalWeb"/>
        <w:numPr>
          <w:ilvl w:val="0"/>
          <w:numId w:val="17"/>
        </w:numPr>
      </w:pPr>
      <w:r>
        <w:t>Strengthened stakeholder engagement and policy support mechanisms</w:t>
      </w:r>
    </w:p>
    <w:p w14:paraId="21F0BFEA" w14:textId="77777777" w:rsidR="00264756" w:rsidRDefault="00264756" w:rsidP="00264756">
      <w:pPr>
        <w:pStyle w:val="NormalWeb"/>
        <w:numPr>
          <w:ilvl w:val="0"/>
          <w:numId w:val="17"/>
        </w:numPr>
      </w:pPr>
      <w:r>
        <w:t>Promotion of women’s leadership and technical capacity-building in digital water monitoring and climate adaptation</w:t>
      </w:r>
    </w:p>
    <w:p w14:paraId="2BFF3E0A" w14:textId="77777777" w:rsidR="00264756" w:rsidRDefault="00264756" w:rsidP="00264756">
      <w:pPr>
        <w:pStyle w:val="NormalWeb"/>
      </w:pPr>
      <w:r>
        <w:t>Through the integration of Nature-Based Solutions, real-time monitoring technologies, and participatory governance, the Gabes Living Lab enhances oasis resilience, supports sustainable groundwater management, and demonstrates scalable solutions for arid Mediterranean regions facing climate change.</w:t>
      </w:r>
    </w:p>
    <w:p w14:paraId="34D16825" w14:textId="77777777" w:rsidR="00264756" w:rsidRDefault="00264756" w:rsidP="00264756">
      <w:pPr>
        <w:pStyle w:val="NormalWeb"/>
      </w:pPr>
    </w:p>
    <w:p w14:paraId="7D7B9F61" w14:textId="77777777" w:rsidR="00EB3D35" w:rsidRPr="00EB3D35" w:rsidRDefault="00EB3D35" w:rsidP="00EB3D35">
      <w:pPr>
        <w:rPr>
          <w:rFonts w:asciiTheme="minorBidi" w:hAnsiTheme="minorBidi"/>
          <w:b/>
          <w:bCs/>
        </w:rPr>
      </w:pPr>
      <w:r w:rsidRPr="00EB3D35">
        <w:rPr>
          <w:rFonts w:asciiTheme="minorBidi" w:hAnsiTheme="minorBidi"/>
          <w:b/>
          <w:bCs/>
        </w:rPr>
        <w:t>2. Stakeholders Involved in Water Management</w:t>
      </w:r>
    </w:p>
    <w:p w14:paraId="0A9E555C" w14:textId="600761D7" w:rsidR="00EB3D35" w:rsidRPr="00EB3D35" w:rsidRDefault="00EB3D35" w:rsidP="008E2042">
      <w:pPr>
        <w:rPr>
          <w:rFonts w:asciiTheme="minorBidi" w:hAnsiTheme="minorBidi"/>
        </w:rPr>
      </w:pPr>
    </w:p>
    <w:tbl>
      <w:tblPr>
        <w:tblStyle w:val="Tableausimple1"/>
        <w:tblW w:w="0" w:type="auto"/>
        <w:tblLook w:val="04A0" w:firstRow="1" w:lastRow="0" w:firstColumn="1" w:lastColumn="0" w:noHBand="0" w:noVBand="1"/>
      </w:tblPr>
      <w:tblGrid>
        <w:gridCol w:w="2717"/>
        <w:gridCol w:w="1416"/>
        <w:gridCol w:w="3840"/>
        <w:gridCol w:w="1043"/>
      </w:tblGrid>
      <w:tr w:rsidR="00A81EFA" w:rsidRPr="008E2042" w14:paraId="30ED6769" w14:textId="77777777" w:rsidTr="008E2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3518" w14:textId="77777777" w:rsidR="008E2042" w:rsidRPr="008E2042" w:rsidRDefault="008E2042" w:rsidP="008E2042">
            <w:pPr>
              <w:jc w:val="center"/>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Stakeholder / Institution</w:t>
            </w:r>
          </w:p>
        </w:tc>
        <w:tc>
          <w:tcPr>
            <w:tcW w:w="0" w:type="auto"/>
            <w:hideMark/>
          </w:tcPr>
          <w:p w14:paraId="4A1EE114" w14:textId="77777777" w:rsidR="008E2042" w:rsidRPr="008E2042" w:rsidRDefault="008E2042" w:rsidP="008E20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Type</w:t>
            </w:r>
          </w:p>
        </w:tc>
        <w:tc>
          <w:tcPr>
            <w:tcW w:w="0" w:type="auto"/>
            <w:hideMark/>
          </w:tcPr>
          <w:p w14:paraId="1DAD882C" w14:textId="77777777" w:rsidR="008E2042" w:rsidRPr="008E2042" w:rsidRDefault="008E2042" w:rsidP="008E20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Main Role in Water Management</w:t>
            </w:r>
          </w:p>
        </w:tc>
        <w:tc>
          <w:tcPr>
            <w:tcW w:w="0" w:type="auto"/>
            <w:hideMark/>
          </w:tcPr>
          <w:p w14:paraId="254DB389" w14:textId="77777777" w:rsidR="008E2042" w:rsidRPr="008E2042" w:rsidRDefault="008E2042" w:rsidP="008E20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Level</w:t>
            </w:r>
          </w:p>
        </w:tc>
      </w:tr>
      <w:tr w:rsidR="00A81EFA" w:rsidRPr="008E2042" w14:paraId="319C2EED" w14:textId="77777777" w:rsidTr="008E2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4FC6A" w14:textId="77777777" w:rsidR="008E2042" w:rsidRPr="008E2042" w:rsidRDefault="008E2042" w:rsidP="008E2042">
            <w:pPr>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CRDA Mannouba</w:t>
            </w:r>
          </w:p>
        </w:tc>
        <w:tc>
          <w:tcPr>
            <w:tcW w:w="0" w:type="auto"/>
            <w:hideMark/>
          </w:tcPr>
          <w:p w14:paraId="3A743D1C" w14:textId="77777777" w:rsidR="008E2042" w:rsidRPr="008E2042" w:rsidRDefault="008E2042" w:rsidP="008E20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Government</w:t>
            </w:r>
          </w:p>
        </w:tc>
        <w:tc>
          <w:tcPr>
            <w:tcW w:w="0" w:type="auto"/>
            <w:hideMark/>
          </w:tcPr>
          <w:p w14:paraId="18592368" w14:textId="0BFE9841" w:rsidR="008E2042" w:rsidRPr="008E2042" w:rsidRDefault="008E2042"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 xml:space="preserve">Connect with farmers, </w:t>
            </w:r>
            <w:r w:rsidR="00A81EFA">
              <w:rPr>
                <w:rFonts w:ascii="Times New Roman" w:eastAsia="Times New Roman" w:hAnsi="Times New Roman" w:cs="Times New Roman"/>
                <w:kern w:val="0"/>
                <w:lang w:val="fr-FR" w:eastAsia="fr-FR"/>
                <w14:ligatures w14:val="none"/>
              </w:rPr>
              <w:t>in sensor implementation</w:t>
            </w:r>
          </w:p>
        </w:tc>
        <w:tc>
          <w:tcPr>
            <w:tcW w:w="0" w:type="auto"/>
            <w:hideMark/>
          </w:tcPr>
          <w:p w14:paraId="2EB00428" w14:textId="77777777" w:rsidR="008E2042" w:rsidRPr="008E2042" w:rsidRDefault="008E2042" w:rsidP="008E20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Local</w:t>
            </w:r>
          </w:p>
        </w:tc>
      </w:tr>
      <w:tr w:rsidR="00A81EFA" w:rsidRPr="008E2042" w14:paraId="75B9B6B8" w14:textId="77777777" w:rsidTr="008E2042">
        <w:tc>
          <w:tcPr>
            <w:cnfStyle w:val="001000000000" w:firstRow="0" w:lastRow="0" w:firstColumn="1" w:lastColumn="0" w:oddVBand="0" w:evenVBand="0" w:oddHBand="0" w:evenHBand="0" w:firstRowFirstColumn="0" w:firstRowLastColumn="0" w:lastRowFirstColumn="0" w:lastRowLastColumn="0"/>
            <w:tcW w:w="0" w:type="auto"/>
            <w:hideMark/>
          </w:tcPr>
          <w:p w14:paraId="4FC0FD02" w14:textId="77777777" w:rsidR="00A81EFA" w:rsidRPr="008E2042" w:rsidRDefault="00A81EFA" w:rsidP="00A81EFA">
            <w:pPr>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CRDA Gabes</w:t>
            </w:r>
          </w:p>
        </w:tc>
        <w:tc>
          <w:tcPr>
            <w:tcW w:w="0" w:type="auto"/>
            <w:hideMark/>
          </w:tcPr>
          <w:p w14:paraId="39B7176F" w14:textId="77777777" w:rsidR="00A81EFA" w:rsidRPr="008E2042" w:rsidRDefault="00A81EFA"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Government</w:t>
            </w:r>
          </w:p>
        </w:tc>
        <w:tc>
          <w:tcPr>
            <w:tcW w:w="0" w:type="auto"/>
            <w:hideMark/>
          </w:tcPr>
          <w:p w14:paraId="400AD1C5" w14:textId="37283391" w:rsidR="00A81EFA" w:rsidRPr="008E2042" w:rsidRDefault="00A81EFA"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 xml:space="preserve">Connect with farmers, </w:t>
            </w:r>
            <w:r>
              <w:rPr>
                <w:rFonts w:ascii="Times New Roman" w:eastAsia="Times New Roman" w:hAnsi="Times New Roman" w:cs="Times New Roman"/>
                <w:kern w:val="0"/>
                <w:lang w:val="fr-FR" w:eastAsia="fr-FR"/>
                <w14:ligatures w14:val="none"/>
              </w:rPr>
              <w:t>in sensor implementation</w:t>
            </w:r>
          </w:p>
        </w:tc>
        <w:tc>
          <w:tcPr>
            <w:tcW w:w="0" w:type="auto"/>
            <w:hideMark/>
          </w:tcPr>
          <w:p w14:paraId="7A1E413D" w14:textId="77777777" w:rsidR="00A81EFA" w:rsidRPr="008E2042" w:rsidRDefault="00A81EFA"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Local</w:t>
            </w:r>
          </w:p>
        </w:tc>
      </w:tr>
      <w:tr w:rsidR="00A81EFA" w:rsidRPr="008E2042" w14:paraId="1E04B8DA" w14:textId="77777777" w:rsidTr="008E2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3B0E5" w14:textId="77777777" w:rsidR="008E2042" w:rsidRPr="008E2042" w:rsidRDefault="008E2042" w:rsidP="008E2042">
            <w:pPr>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Direction Générale des Ressources en Eau (DGRE)</w:t>
            </w:r>
          </w:p>
        </w:tc>
        <w:tc>
          <w:tcPr>
            <w:tcW w:w="0" w:type="auto"/>
            <w:hideMark/>
          </w:tcPr>
          <w:p w14:paraId="52C62B5D" w14:textId="77777777" w:rsidR="008E2042" w:rsidRPr="008E2042" w:rsidRDefault="008E2042" w:rsidP="008E20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Government</w:t>
            </w:r>
          </w:p>
        </w:tc>
        <w:tc>
          <w:tcPr>
            <w:tcW w:w="0" w:type="auto"/>
            <w:hideMark/>
          </w:tcPr>
          <w:p w14:paraId="177A7776" w14:textId="4E75B1BD" w:rsidR="008E2042" w:rsidRPr="008E2042" w:rsidRDefault="008E2042"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Main partner, water allocation, policy coordination</w:t>
            </w:r>
            <w:r w:rsidR="00A81EFA">
              <w:rPr>
                <w:rFonts w:ascii="Times New Roman" w:eastAsia="Times New Roman" w:hAnsi="Times New Roman" w:cs="Times New Roman"/>
                <w:kern w:val="0"/>
                <w:lang w:val="fr-FR" w:eastAsia="fr-FR"/>
                <w14:ligatures w14:val="none"/>
              </w:rPr>
              <w:t xml:space="preserve">, </w:t>
            </w:r>
            <w:r w:rsidR="00A81EFA" w:rsidRPr="00A81EFA">
              <w:rPr>
                <w:rFonts w:ascii="Times New Roman" w:eastAsia="Times New Roman" w:hAnsi="Times New Roman" w:cs="Times New Roman"/>
                <w:kern w:val="0"/>
                <w:lang w:val="fr-FR" w:eastAsia="fr-FR"/>
                <w14:ligatures w14:val="none"/>
              </w:rPr>
              <w:t>Sensor Installation Authorization</w:t>
            </w:r>
          </w:p>
        </w:tc>
        <w:tc>
          <w:tcPr>
            <w:tcW w:w="0" w:type="auto"/>
            <w:hideMark/>
          </w:tcPr>
          <w:p w14:paraId="5045BA31" w14:textId="77777777" w:rsidR="008E2042" w:rsidRPr="008E2042" w:rsidRDefault="008E2042" w:rsidP="008E20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8E2042">
              <w:rPr>
                <w:rFonts w:ascii="Times New Roman" w:eastAsia="Times New Roman" w:hAnsi="Times New Roman" w:cs="Times New Roman"/>
                <w:kern w:val="0"/>
                <w:lang w:val="fr-FR" w:eastAsia="fr-FR"/>
                <w14:ligatures w14:val="none"/>
              </w:rPr>
              <w:t>National</w:t>
            </w:r>
          </w:p>
        </w:tc>
      </w:tr>
    </w:tbl>
    <w:p w14:paraId="02588008" w14:textId="42A22390" w:rsidR="00EB3D35" w:rsidRPr="00EB3D35" w:rsidRDefault="00EB3D35" w:rsidP="00EB3D35">
      <w:pPr>
        <w:rPr>
          <w:rFonts w:asciiTheme="minorBidi" w:hAnsiTheme="minorBidi"/>
        </w:rPr>
      </w:pPr>
    </w:p>
    <w:p w14:paraId="18346290" w14:textId="487C04B0" w:rsidR="00EB3D35" w:rsidRDefault="00EB3D35" w:rsidP="00EB3D35">
      <w:pPr>
        <w:rPr>
          <w:rFonts w:asciiTheme="minorBidi" w:hAnsiTheme="minorBidi"/>
          <w:b/>
          <w:bCs/>
        </w:rPr>
      </w:pPr>
      <w:r w:rsidRPr="00EB3D35">
        <w:rPr>
          <w:rFonts w:asciiTheme="minorBidi" w:hAnsiTheme="minorBidi"/>
          <w:b/>
          <w:bCs/>
        </w:rPr>
        <w:t>3. Governance Framework</w:t>
      </w:r>
    </w:p>
    <w:p w14:paraId="033E4C3E" w14:textId="77777777" w:rsidR="00264756" w:rsidRDefault="00264756" w:rsidP="00264756">
      <w:pPr>
        <w:pStyle w:val="NormalWeb"/>
        <w:jc w:val="both"/>
      </w:pPr>
      <w:r>
        <w:t xml:space="preserve">Water governance in Tunisia is regulated by the </w:t>
      </w:r>
      <w:r>
        <w:rPr>
          <w:rStyle w:val="whitespace-normal"/>
          <w:rFonts w:eastAsiaTheme="majorEastAsia"/>
          <w:b/>
          <w:bCs/>
        </w:rPr>
        <w:t>Code des Eaux</w:t>
      </w:r>
      <w:r>
        <w:t>, which establishes water resources (surface and groundwater) as public domain property of the State. The Code stipulates that groundwater abstraction is subject to prior authorization, particularly for deep aquifers, and allows the administration to declare aquifers as overexploited zones where new drilling permits may be restricted or suspended. Allocation principles prioritize drinking water supply, followed by agricultural and economic uses. The Code also provides the legal basis for protection perimeters, abstraction control, and sanctions in case of non-compliance.</w:t>
      </w:r>
    </w:p>
    <w:p w14:paraId="07FF943C" w14:textId="77777777" w:rsidR="00264756" w:rsidRDefault="00264756" w:rsidP="00264756">
      <w:pPr>
        <w:pStyle w:val="NormalWeb"/>
        <w:jc w:val="both"/>
      </w:pPr>
      <w:r>
        <w:t xml:space="preserve">At the national level, the </w:t>
      </w:r>
      <w:r>
        <w:rPr>
          <w:rStyle w:val="whitespace-normal"/>
          <w:rFonts w:eastAsiaTheme="majorEastAsia"/>
          <w:b/>
          <w:bCs/>
        </w:rPr>
        <w:t>Direction Générale des Ressources en Eau</w:t>
      </w:r>
      <w:r>
        <w:rPr>
          <w:rStyle w:val="lev"/>
          <w:rFonts w:eastAsiaTheme="majorEastAsia"/>
        </w:rPr>
        <w:t xml:space="preserve"> (DGRE)</w:t>
      </w:r>
      <w:r>
        <w:t xml:space="preserve"> is responsible for strategic water planning, aquifer assessment, groundwater classification, and management of the national hydrological and piezometric monitoring networks. It issues drilling permits and defines regulatory measures in overexploited basins.</w:t>
      </w:r>
    </w:p>
    <w:p w14:paraId="72E66DA1" w14:textId="77777777" w:rsidR="00264756" w:rsidRDefault="00264756" w:rsidP="00264756">
      <w:pPr>
        <w:pStyle w:val="NormalWeb"/>
        <w:jc w:val="both"/>
      </w:pPr>
      <w:r>
        <w:t xml:space="preserve">At the regional level, the </w:t>
      </w:r>
      <w:r>
        <w:rPr>
          <w:rStyle w:val="whitespace-normal"/>
          <w:rFonts w:eastAsiaTheme="majorEastAsia"/>
          <w:b/>
          <w:bCs/>
        </w:rPr>
        <w:t>Commissariat Régional au Développement Agricole</w:t>
      </w:r>
      <w:r>
        <w:rPr>
          <w:rStyle w:val="lev"/>
          <w:rFonts w:eastAsiaTheme="majorEastAsia"/>
        </w:rPr>
        <w:t xml:space="preserve"> (CRDA)</w:t>
      </w:r>
      <w:r>
        <w:t xml:space="preserve"> implements national water policy within governorates. CRDAs supervise irrigated public perimeters, manage agricultural water distribution infrastructure, monitor irrigation practices, and oversee Water User Associations (Groupements de Développement Agricole, GDAs).</w:t>
      </w:r>
    </w:p>
    <w:p w14:paraId="0D08B44A" w14:textId="77777777" w:rsidR="00264756" w:rsidRDefault="00264756" w:rsidP="00264756">
      <w:pPr>
        <w:pStyle w:val="NormalWeb"/>
        <w:jc w:val="both"/>
      </w:pPr>
      <w:r>
        <w:lastRenderedPageBreak/>
        <w:t>In practice, coordination between DGRE and CRDA occurs through technical reporting, joint committees, and administrative procedures linked to abstraction control and irrigation management. DGRE provides hydrological assessments and regulatory directives, while CRDA ensures operational enforcement at local level. In overexploited aquifers such as those in Gabes and parts of northern Tunisia, decisions on abstraction limits or drilling moratoria are based on DGRE resource evaluations and implemented regionally by CRDA services.</w:t>
      </w:r>
    </w:p>
    <w:p w14:paraId="21F93A59" w14:textId="77777777" w:rsidR="00264756" w:rsidRDefault="00264756" w:rsidP="00264756">
      <w:pPr>
        <w:pStyle w:val="NormalWeb"/>
        <w:jc w:val="both"/>
      </w:pPr>
      <w:r>
        <w:t>Monitoring systems combine national piezometric networks managed by DGRE with regional abstraction and irrigation monitoring conducted by CRDA. However, data integration and real-time accessibility remain limited.</w:t>
      </w:r>
    </w:p>
    <w:p w14:paraId="71403C66" w14:textId="29007964" w:rsidR="00264756" w:rsidRDefault="00264756" w:rsidP="00264756">
      <w:pPr>
        <w:pStyle w:val="NormalWeb"/>
        <w:jc w:val="both"/>
      </w:pPr>
      <w:r>
        <w:t xml:space="preserve">Within the </w:t>
      </w:r>
      <w:r>
        <w:t xml:space="preserve">Tunisian </w:t>
      </w:r>
      <w:r>
        <w:t>SAVE Water Living Labs (Mannouba and Gabes), governance innovation is operationalized through:</w:t>
      </w:r>
    </w:p>
    <w:p w14:paraId="485A0D9D" w14:textId="77777777" w:rsidR="00264756" w:rsidRDefault="00264756" w:rsidP="00264756">
      <w:pPr>
        <w:pStyle w:val="NormalWeb"/>
        <w:numPr>
          <w:ilvl w:val="0"/>
          <w:numId w:val="18"/>
        </w:numPr>
        <w:jc w:val="both"/>
      </w:pPr>
      <w:r>
        <w:t>Integration of real-time groundwater sensors into institutional monitoring systems;</w:t>
      </w:r>
    </w:p>
    <w:p w14:paraId="41C923EA" w14:textId="77777777" w:rsidR="00264756" w:rsidRDefault="00264756" w:rsidP="00264756">
      <w:pPr>
        <w:pStyle w:val="NormalWeb"/>
        <w:numPr>
          <w:ilvl w:val="0"/>
          <w:numId w:val="18"/>
        </w:numPr>
        <w:jc w:val="both"/>
      </w:pPr>
      <w:r>
        <w:t>AI-based vulnerability cartography to support allocation decisions;</w:t>
      </w:r>
    </w:p>
    <w:p w14:paraId="5C73A6B7" w14:textId="77777777" w:rsidR="00264756" w:rsidRDefault="00264756" w:rsidP="00264756">
      <w:pPr>
        <w:pStyle w:val="NormalWeb"/>
        <w:numPr>
          <w:ilvl w:val="0"/>
          <w:numId w:val="18"/>
        </w:numPr>
        <w:jc w:val="both"/>
      </w:pPr>
      <w:r>
        <w:t>Formal coordination conventions between DGRE and CRDA for data sharing and pilot implementation;</w:t>
      </w:r>
    </w:p>
    <w:p w14:paraId="5BCFAB19" w14:textId="77777777" w:rsidR="00264756" w:rsidRDefault="00264756" w:rsidP="00264756">
      <w:pPr>
        <w:pStyle w:val="NormalWeb"/>
        <w:numPr>
          <w:ilvl w:val="0"/>
          <w:numId w:val="18"/>
        </w:numPr>
        <w:jc w:val="both"/>
      </w:pPr>
      <w:r>
        <w:t>Structured stakeholder workshops that involve farmers, GDAs, and regional authorities in validating risk assessments and discussing adaptive measures.</w:t>
      </w:r>
    </w:p>
    <w:p w14:paraId="48E3B825" w14:textId="77777777" w:rsidR="00264756" w:rsidRDefault="00264756" w:rsidP="00264756">
      <w:pPr>
        <w:pStyle w:val="NormalWeb"/>
        <w:jc w:val="both"/>
      </w:pPr>
      <w:r>
        <w:t>This approach strengthens compliance with the Water Code, enhances transparency in groundwater abstraction, and shifts governance from a predominantly top-down regulatory model toward a more evidence-based and participatory water management framework, while remaining embedded within Tunisia’s existing legal and institutional architecture.</w:t>
      </w:r>
    </w:p>
    <w:p w14:paraId="58CCAEF9" w14:textId="77777777" w:rsidR="00264756" w:rsidRPr="00264756" w:rsidRDefault="00264756" w:rsidP="00EB3D35">
      <w:pPr>
        <w:rPr>
          <w:rFonts w:asciiTheme="minorBidi" w:hAnsiTheme="minorBidi"/>
          <w:b/>
          <w:bCs/>
          <w:lang w:val="fr-FR"/>
        </w:rPr>
      </w:pPr>
    </w:p>
    <w:p w14:paraId="43579AA5" w14:textId="7F6B0A6D" w:rsidR="00EB3D35" w:rsidRPr="00EB3D35" w:rsidRDefault="00EB3D35" w:rsidP="00A81EFA">
      <w:pPr>
        <w:rPr>
          <w:rFonts w:asciiTheme="minorBidi" w:hAnsiTheme="minorBidi"/>
          <w:b/>
          <w:bCs/>
        </w:rPr>
      </w:pPr>
      <w:r w:rsidRPr="00EB3D35">
        <w:rPr>
          <w:rFonts w:asciiTheme="minorBidi" w:hAnsiTheme="minorBidi"/>
          <w:b/>
          <w:bCs/>
        </w:rPr>
        <w:t>4. Participation and Decision-Making Processes</w:t>
      </w:r>
    </w:p>
    <w:p w14:paraId="46324329" w14:textId="0D2E6B20" w:rsidR="00264756" w:rsidRPr="00264756" w:rsidRDefault="00264756" w:rsidP="00264756">
      <w:pPr>
        <w:pStyle w:val="NormalWeb"/>
        <w:rPr>
          <w:rStyle w:val="lev"/>
          <w:rFonts w:eastAsiaTheme="majorEastAsia"/>
        </w:rPr>
      </w:pPr>
      <w:r>
        <w:rPr>
          <w:rStyle w:val="lev"/>
          <w:rFonts w:eastAsiaTheme="majorEastAsia"/>
        </w:rPr>
        <w:t xml:space="preserve">4.1. </w:t>
      </w:r>
      <w:r w:rsidRPr="00264756">
        <w:rPr>
          <w:rStyle w:val="lev"/>
          <w:rFonts w:eastAsiaTheme="majorEastAsia"/>
        </w:rPr>
        <w:t>Stakeholder Platform</w:t>
      </w:r>
    </w:p>
    <w:p w14:paraId="1147500B" w14:textId="77777777" w:rsidR="00264756" w:rsidRDefault="00264756" w:rsidP="00264756">
      <w:pPr>
        <w:pStyle w:val="NormalWeb"/>
      </w:pPr>
      <w:r>
        <w:t>Governance is operationalized through structured Living Lab platforms coordinated by the regional CRDAs (Mannouba and Gabes) in collaboration with DGRE.</w:t>
      </w:r>
    </w:p>
    <w:p w14:paraId="77D668CB" w14:textId="77777777" w:rsidR="00264756" w:rsidRDefault="00264756" w:rsidP="00264756">
      <w:pPr>
        <w:pStyle w:val="NormalWeb"/>
      </w:pPr>
      <w:r>
        <w:rPr>
          <w:rStyle w:val="lev"/>
          <w:rFonts w:eastAsiaTheme="majorEastAsia"/>
        </w:rPr>
        <w:t>Participants include:</w:t>
      </w:r>
    </w:p>
    <w:p w14:paraId="777F39CA" w14:textId="77777777" w:rsidR="00264756" w:rsidRDefault="00264756" w:rsidP="00264756">
      <w:pPr>
        <w:pStyle w:val="NormalWeb"/>
        <w:numPr>
          <w:ilvl w:val="0"/>
          <w:numId w:val="19"/>
        </w:numPr>
      </w:pPr>
      <w:r>
        <w:t>150–200 farmers (Mannouba) and 120–180 farmers (Gabes) within irrigated perimeters and oasis systems;</w:t>
      </w:r>
    </w:p>
    <w:p w14:paraId="66D8F8EF" w14:textId="77777777" w:rsidR="00264756" w:rsidRDefault="00264756" w:rsidP="00264756">
      <w:pPr>
        <w:pStyle w:val="NormalWeb"/>
        <w:numPr>
          <w:ilvl w:val="0"/>
          <w:numId w:val="19"/>
        </w:numPr>
      </w:pPr>
      <w:r>
        <w:t>Representatives of Water User Associations (GDAs);</w:t>
      </w:r>
    </w:p>
    <w:p w14:paraId="2CD2E116" w14:textId="77777777" w:rsidR="00264756" w:rsidRDefault="00264756" w:rsidP="00264756">
      <w:pPr>
        <w:pStyle w:val="NormalWeb"/>
        <w:numPr>
          <w:ilvl w:val="0"/>
          <w:numId w:val="19"/>
        </w:numPr>
      </w:pPr>
      <w:r>
        <w:t>CRDA technical staff (irrigation and hydraulic engineers);</w:t>
      </w:r>
    </w:p>
    <w:p w14:paraId="3111D0ED" w14:textId="77777777" w:rsidR="00264756" w:rsidRDefault="00264756" w:rsidP="00264756">
      <w:pPr>
        <w:pStyle w:val="NormalWeb"/>
        <w:numPr>
          <w:ilvl w:val="0"/>
          <w:numId w:val="19"/>
        </w:numPr>
      </w:pPr>
      <w:r>
        <w:t>DGRE experts (groundwater monitoring and regulation);</w:t>
      </w:r>
    </w:p>
    <w:p w14:paraId="1388D5F6" w14:textId="77777777" w:rsidR="00264756" w:rsidRDefault="00264756" w:rsidP="00264756">
      <w:pPr>
        <w:pStyle w:val="NormalWeb"/>
        <w:numPr>
          <w:ilvl w:val="0"/>
          <w:numId w:val="19"/>
        </w:numPr>
      </w:pPr>
      <w:r>
        <w:t>Municipal authorities and selected civil society actors.</w:t>
      </w:r>
    </w:p>
    <w:p w14:paraId="03850B3F" w14:textId="7193A184" w:rsidR="00264756" w:rsidRDefault="00264756" w:rsidP="00264756">
      <w:pPr>
        <w:pStyle w:val="NormalWeb"/>
      </w:pPr>
      <w:r>
        <w:t xml:space="preserve">Each major Living Lab workshop gathers </w:t>
      </w:r>
      <w:r>
        <w:rPr>
          <w:rStyle w:val="lev"/>
          <w:rFonts w:eastAsiaTheme="majorEastAsia"/>
        </w:rPr>
        <w:t>40–60 participants</w:t>
      </w:r>
      <w:r>
        <w:t>, ensuring representation by irrigation scheme, farm type, and gender (target ≥30% women).</w:t>
      </w:r>
    </w:p>
    <w:p w14:paraId="46160104" w14:textId="13E32B58" w:rsidR="009A52D8" w:rsidRPr="009A52D8" w:rsidRDefault="009A52D8" w:rsidP="009A52D8">
      <w:pPr>
        <w:pStyle w:val="NormalWeb"/>
        <w:numPr>
          <w:ilvl w:val="1"/>
          <w:numId w:val="21"/>
        </w:numPr>
        <w:rPr>
          <w:rStyle w:val="lev"/>
          <w:rFonts w:eastAsiaTheme="majorEastAsia"/>
        </w:rPr>
      </w:pPr>
      <w:r w:rsidRPr="009A52D8">
        <w:rPr>
          <w:rStyle w:val="lev"/>
          <w:rFonts w:eastAsiaTheme="majorEastAsia"/>
        </w:rPr>
        <w:t xml:space="preserve"> Frequency and Interaction Mechanisms</w:t>
      </w:r>
    </w:p>
    <w:p w14:paraId="5531D1B7" w14:textId="77777777" w:rsidR="009A52D8" w:rsidRDefault="009A52D8" w:rsidP="009A52D8">
      <w:pPr>
        <w:pStyle w:val="NormalWeb"/>
      </w:pPr>
      <w:r>
        <w:t>Governance activities follow a structured annual cycle:</w:t>
      </w:r>
    </w:p>
    <w:p w14:paraId="73473C75" w14:textId="77777777" w:rsidR="009A52D8" w:rsidRDefault="009A52D8" w:rsidP="009A52D8">
      <w:pPr>
        <w:pStyle w:val="NormalWeb"/>
        <w:numPr>
          <w:ilvl w:val="0"/>
          <w:numId w:val="20"/>
        </w:numPr>
      </w:pPr>
      <w:r>
        <w:rPr>
          <w:rStyle w:val="lev"/>
          <w:rFonts w:eastAsiaTheme="majorEastAsia"/>
        </w:rPr>
        <w:lastRenderedPageBreak/>
        <w:t>1 annual multi-stakeholder Living Lab workshop</w:t>
      </w:r>
      <w:r>
        <w:t xml:space="preserve"> (next: April 2026) for co-design and validation of vulnerability maps and monitoring results;</w:t>
      </w:r>
    </w:p>
    <w:p w14:paraId="0EE752B0" w14:textId="77777777" w:rsidR="009A52D8" w:rsidRDefault="009A52D8" w:rsidP="009A52D8">
      <w:pPr>
        <w:pStyle w:val="NormalWeb"/>
        <w:numPr>
          <w:ilvl w:val="0"/>
          <w:numId w:val="20"/>
        </w:numPr>
      </w:pPr>
      <w:r>
        <w:rPr>
          <w:rStyle w:val="lev"/>
          <w:rFonts w:eastAsiaTheme="majorEastAsia"/>
        </w:rPr>
        <w:t>2–3 technical coordination meetings per year</w:t>
      </w:r>
      <w:r>
        <w:t xml:space="preserve"> between DGRE and CRDA to review groundwater status and abstraction trends;</w:t>
      </w:r>
    </w:p>
    <w:p w14:paraId="5B5BD8EB" w14:textId="77777777" w:rsidR="009A52D8" w:rsidRDefault="009A52D8" w:rsidP="009A52D8">
      <w:pPr>
        <w:pStyle w:val="NormalWeb"/>
        <w:numPr>
          <w:ilvl w:val="0"/>
          <w:numId w:val="20"/>
        </w:numPr>
      </w:pPr>
      <w:r>
        <w:t>Targeted focus groups (10–15 participants) on irrigation efficiency, groundwater control, or gender inclusion.</w:t>
      </w:r>
    </w:p>
    <w:p w14:paraId="6D9D84F0" w14:textId="2490F48F" w:rsidR="009A52D8" w:rsidRDefault="009A52D8" w:rsidP="009A52D8">
      <w:pPr>
        <w:pStyle w:val="NormalWeb"/>
      </w:pPr>
      <w:r>
        <w:t xml:space="preserve">Project visibility and transparency are reinforced through national media dissemination, including coverage by </w:t>
      </w:r>
      <w:r>
        <w:rPr>
          <w:rStyle w:val="whitespace-normal"/>
          <w:rFonts w:eastAsiaTheme="majorEastAsia"/>
          <w:b/>
          <w:bCs/>
        </w:rPr>
        <w:t>Télévision Tunisienne 1</w:t>
      </w:r>
      <w:r>
        <w:t xml:space="preserve"> and </w:t>
      </w:r>
      <w:r>
        <w:rPr>
          <w:rStyle w:val="whitespace-normal"/>
          <w:rFonts w:eastAsiaTheme="majorEastAsia"/>
          <w:b/>
          <w:bCs/>
        </w:rPr>
        <w:t>Radio Tunisienne Nationale</w:t>
      </w:r>
      <w:r>
        <w:t>.</w:t>
      </w:r>
    </w:p>
    <w:p w14:paraId="1DEF8CBF" w14:textId="222E9B09" w:rsidR="009A52D8" w:rsidRPr="009A52D8" w:rsidRDefault="009A52D8" w:rsidP="009A52D8">
      <w:pPr>
        <w:pStyle w:val="NormalWeb"/>
        <w:numPr>
          <w:ilvl w:val="1"/>
          <w:numId w:val="21"/>
        </w:numPr>
        <w:rPr>
          <w:rStyle w:val="whitespace-normal"/>
          <w:rFonts w:eastAsiaTheme="majorEastAsia"/>
          <w:b/>
          <w:bCs/>
        </w:rPr>
      </w:pPr>
      <w:r w:rsidRPr="009A52D8">
        <w:rPr>
          <w:rStyle w:val="whitespace-normal"/>
          <w:rFonts w:eastAsiaTheme="majorEastAsia"/>
          <w:b/>
          <w:bCs/>
        </w:rPr>
        <w:t xml:space="preserve"> Decision-Making Process</w:t>
      </w:r>
    </w:p>
    <w:p w14:paraId="09F74C9D" w14:textId="77777777" w:rsidR="009A52D8" w:rsidRDefault="009A52D8" w:rsidP="009A52D8">
      <w:pPr>
        <w:pStyle w:val="NormalWeb"/>
      </w:pPr>
      <w:r>
        <w:t>Decision-making combines regulatory authority with participatory validation:</w:t>
      </w:r>
    </w:p>
    <w:p w14:paraId="6F42D29D" w14:textId="77777777" w:rsidR="009A52D8" w:rsidRDefault="009A52D8" w:rsidP="009A52D8">
      <w:pPr>
        <w:pStyle w:val="NormalWeb"/>
        <w:numPr>
          <w:ilvl w:val="0"/>
          <w:numId w:val="22"/>
        </w:numPr>
      </w:pPr>
      <w:r>
        <w:rPr>
          <w:rStyle w:val="lev"/>
          <w:rFonts w:eastAsiaTheme="majorEastAsia"/>
        </w:rPr>
        <w:t>Evidence Generation</w:t>
      </w:r>
      <w:r>
        <w:t xml:space="preserve"> – DGRE monitoring networks and SAVE Water real-time sensors provide groundwater level and salinity data; AI-based vulnerability maps identify priority zones.</w:t>
      </w:r>
    </w:p>
    <w:p w14:paraId="7196B7FC" w14:textId="77777777" w:rsidR="009A52D8" w:rsidRDefault="009A52D8" w:rsidP="009A52D8">
      <w:pPr>
        <w:pStyle w:val="NormalWeb"/>
        <w:numPr>
          <w:ilvl w:val="0"/>
          <w:numId w:val="22"/>
        </w:numPr>
      </w:pPr>
      <w:r>
        <w:rPr>
          <w:rStyle w:val="lev"/>
          <w:rFonts w:eastAsiaTheme="majorEastAsia"/>
        </w:rPr>
        <w:t>Stakeholder Deliberation</w:t>
      </w:r>
      <w:r>
        <w:t xml:space="preserve"> – Results are presented in Living Lab workshops where farmers and GDAs validate findings and identify operational constraints.</w:t>
      </w:r>
    </w:p>
    <w:p w14:paraId="3E1D2E91" w14:textId="77777777" w:rsidR="009A52D8" w:rsidRDefault="009A52D8" w:rsidP="009A52D8">
      <w:pPr>
        <w:pStyle w:val="NormalWeb"/>
        <w:numPr>
          <w:ilvl w:val="0"/>
          <w:numId w:val="22"/>
        </w:numPr>
      </w:pPr>
      <w:r>
        <w:rPr>
          <w:rStyle w:val="lev"/>
          <w:rFonts w:eastAsiaTheme="majorEastAsia"/>
        </w:rPr>
        <w:t>Administrative Action</w:t>
      </w:r>
      <w:r>
        <w:t xml:space="preserve"> – CRDA implements irrigation adjustments or abstraction control measures in line with the Water Code, informed by DGRE assessments and workshop outcomes.</w:t>
      </w:r>
    </w:p>
    <w:p w14:paraId="0090396F" w14:textId="77777777" w:rsidR="009A52D8" w:rsidRDefault="009A52D8" w:rsidP="009A52D8">
      <w:pPr>
        <w:pStyle w:val="NormalWeb"/>
        <w:numPr>
          <w:ilvl w:val="0"/>
          <w:numId w:val="22"/>
        </w:numPr>
      </w:pPr>
      <w:r>
        <w:rPr>
          <w:rStyle w:val="lev"/>
          <w:rFonts w:eastAsiaTheme="majorEastAsia"/>
        </w:rPr>
        <w:t>Monitoring &amp; Feedback</w:t>
      </w:r>
      <w:r>
        <w:t xml:space="preserve"> – Data are periodically reviewed in DGRE–CRDA meetings, creating an iterative adaptive governance loop.</w:t>
      </w:r>
    </w:p>
    <w:p w14:paraId="68E5C38E" w14:textId="1F0489C3" w:rsidR="009A52D8" w:rsidRPr="009A52D8" w:rsidRDefault="009A52D8" w:rsidP="009A52D8">
      <w:pPr>
        <w:pStyle w:val="NormalWeb"/>
        <w:numPr>
          <w:ilvl w:val="1"/>
          <w:numId w:val="21"/>
        </w:numPr>
        <w:rPr>
          <w:rStyle w:val="whitespace-normal"/>
          <w:rFonts w:eastAsiaTheme="majorEastAsia"/>
          <w:b/>
          <w:bCs/>
        </w:rPr>
      </w:pPr>
      <w:r w:rsidRPr="009A52D8">
        <w:rPr>
          <w:rStyle w:val="whitespace-normal"/>
          <w:rFonts w:eastAsiaTheme="majorEastAsia"/>
          <w:b/>
          <w:bCs/>
        </w:rPr>
        <w:t xml:space="preserve"> Gender and Social Inclusion</w:t>
      </w:r>
    </w:p>
    <w:p w14:paraId="518C08AF" w14:textId="77777777" w:rsidR="009A52D8" w:rsidRDefault="009A52D8" w:rsidP="009A52D8">
      <w:pPr>
        <w:pStyle w:val="NormalWeb"/>
        <w:jc w:val="both"/>
      </w:pPr>
      <w:r>
        <w:t>Inclusion is ensured through targeted invitations, facilitated discussions, and tailored capacity-building on digital tools. Participation rates are monitored, with a minimum target of 30–40% women per workshop.</w:t>
      </w:r>
    </w:p>
    <w:p w14:paraId="4C689154" w14:textId="77777777" w:rsidR="00EB3D35" w:rsidRPr="00EB3D35" w:rsidRDefault="00EB3D35" w:rsidP="00EB3D35">
      <w:pPr>
        <w:rPr>
          <w:rFonts w:asciiTheme="minorBidi" w:hAnsiTheme="minorBidi"/>
          <w:b/>
          <w:bCs/>
        </w:rPr>
      </w:pPr>
      <w:r w:rsidRPr="00EB3D35">
        <w:rPr>
          <w:rFonts w:asciiTheme="minorBidi" w:hAnsiTheme="minorBidi"/>
          <w:b/>
          <w:bCs/>
        </w:rPr>
        <w:t>5. Challenges and Needs</w:t>
      </w:r>
    </w:p>
    <w:p w14:paraId="3F9A8AC0" w14:textId="1348CC63" w:rsidR="009A52D8" w:rsidRPr="009A52D8" w:rsidRDefault="009A52D8" w:rsidP="009A52D8">
      <w:pPr>
        <w:pStyle w:val="NormalWeb"/>
        <w:jc w:val="both"/>
      </w:pPr>
      <w:r w:rsidRPr="009A52D8">
        <w:t>Despite the regulatory framework established by the Code des Eaux, governance barriers limit the effective adoption of NBS and digital monitoring in Mannouba and Gabes. Weak enforcement o</w:t>
      </w:r>
      <w:r>
        <w:t xml:space="preserve">f groundwater abstraction rules </w:t>
      </w:r>
      <w:r w:rsidRPr="009A52D8">
        <w:t>espec</w:t>
      </w:r>
      <w:r>
        <w:t xml:space="preserve">ially in overexploited aquifers </w:t>
      </w:r>
      <w:r w:rsidRPr="009A52D8">
        <w:t>reflects limited inspection capacity and fragmented coordination between the Direction Générale des Ressources en Eau (DGRE) and the Commissariat Régional au Développement Agricole (CRDA). Groundwater abstraction data remain incomplete or outdated, and lengthy administrative procedures for formalizing agreements between universities, authorities, and local stakeholders delay innovation deployment. Participation asymmetries persist: smallholder farmers and women farmers face structural barriers including limited technical capacity, restricted access to information, time constraints, and lower influence in Water User Associations. Without targeted capacity-building and incentive mechanisms, these groups may perceive NBS and digital monitoring as additional constraints rather than tools for resilience. Addressing these challenges requires strengthened DGRE–CRDA coordination, integrated real-time monitoring, streamlined administrative procedures, and inclusive strategies to ensure equitable and effective uptake of innovations.</w:t>
      </w:r>
    </w:p>
    <w:p w14:paraId="7C7A1A48" w14:textId="49490F2D" w:rsidR="00EB3D35" w:rsidRPr="00A81EFA" w:rsidRDefault="00EB3D35" w:rsidP="00EB3D35">
      <w:pPr>
        <w:rPr>
          <w:rFonts w:asciiTheme="minorBidi" w:hAnsiTheme="minorBidi"/>
          <w:lang w:val="fr-FR"/>
        </w:rPr>
      </w:pPr>
    </w:p>
    <w:p w14:paraId="734F4173" w14:textId="77777777" w:rsidR="00EB3D35" w:rsidRPr="00EB3D35" w:rsidRDefault="00EB3D35" w:rsidP="00EB3D35">
      <w:pPr>
        <w:rPr>
          <w:rFonts w:asciiTheme="minorBidi" w:hAnsiTheme="minorBidi"/>
          <w:b/>
          <w:bCs/>
        </w:rPr>
      </w:pPr>
      <w:r w:rsidRPr="00EB3D35">
        <w:rPr>
          <w:rFonts w:asciiTheme="minorBidi" w:hAnsiTheme="minorBidi"/>
          <w:b/>
          <w:bCs/>
        </w:rPr>
        <w:lastRenderedPageBreak/>
        <w:t>6. Existing Documents / Data Sources</w:t>
      </w:r>
      <w:bookmarkStart w:id="0" w:name="_GoBack"/>
      <w:bookmarkEnd w:id="0"/>
    </w:p>
    <w:p w14:paraId="7BA6E350" w14:textId="6B34C25C" w:rsidR="00A81EFA" w:rsidRDefault="00A81EFA" w:rsidP="009A52D8">
      <w:pPr>
        <w:pStyle w:val="Paragraphedeliste"/>
        <w:numPr>
          <w:ilvl w:val="0"/>
          <w:numId w:val="11"/>
        </w:numPr>
        <w:rPr>
          <w:rFonts w:asciiTheme="minorBidi" w:hAnsiTheme="minorBidi"/>
          <w:lang w:val="fr-FR"/>
        </w:rPr>
      </w:pPr>
      <w:r w:rsidRPr="00A81EFA">
        <w:rPr>
          <w:rFonts w:asciiTheme="minorBidi" w:hAnsiTheme="minorBidi"/>
          <w:lang w:val="fr-FR"/>
        </w:rPr>
        <w:t>National water code and irrigation regulations</w:t>
      </w:r>
      <w:r w:rsidR="009A52D8">
        <w:rPr>
          <w:rFonts w:asciiTheme="minorBidi" w:hAnsiTheme="minorBidi"/>
          <w:lang w:val="fr-FR"/>
        </w:rPr>
        <w:t xml:space="preserve"> (link : </w:t>
      </w:r>
      <w:hyperlink r:id="rId5" w:history="1">
        <w:r w:rsidR="00E50BDD" w:rsidRPr="005602CA">
          <w:rPr>
            <w:rStyle w:val="Lienhypertexte"/>
            <w:rFonts w:asciiTheme="minorBidi" w:hAnsiTheme="minorBidi"/>
            <w:lang w:val="fr-FR"/>
          </w:rPr>
          <w:t>https://www.anpe.nat.tn/Fr/telechargement_21_36_P20?utm_source=chatgpt.com</w:t>
        </w:r>
      </w:hyperlink>
      <w:r w:rsidR="00E50BDD">
        <w:rPr>
          <w:rFonts w:asciiTheme="minorBidi" w:hAnsiTheme="minorBidi"/>
          <w:lang w:val="fr-FR"/>
        </w:rPr>
        <w:t>)</w:t>
      </w:r>
    </w:p>
    <w:p w14:paraId="74C179D0" w14:textId="0377D438" w:rsidR="00E50BDD" w:rsidRDefault="00A81EFA" w:rsidP="00E50BDD">
      <w:pPr>
        <w:pStyle w:val="Paragraphedeliste"/>
        <w:numPr>
          <w:ilvl w:val="0"/>
          <w:numId w:val="11"/>
        </w:numPr>
        <w:rPr>
          <w:rFonts w:asciiTheme="minorBidi" w:hAnsiTheme="minorBidi"/>
          <w:lang w:val="fr-FR"/>
        </w:rPr>
      </w:pPr>
      <w:r w:rsidRPr="00E50BDD">
        <w:rPr>
          <w:rFonts w:asciiTheme="minorBidi" w:hAnsiTheme="minorBidi"/>
          <w:lang w:val="fr-FR"/>
        </w:rPr>
        <w:t>DGRE reports and monitoring data</w:t>
      </w:r>
      <w:r w:rsidR="00E50BDD">
        <w:rPr>
          <w:rFonts w:asciiTheme="minorBidi" w:hAnsiTheme="minorBidi"/>
          <w:lang w:val="fr-FR"/>
        </w:rPr>
        <w:t xml:space="preserve"> (</w:t>
      </w:r>
      <w:hyperlink r:id="rId6" w:history="1">
        <w:r w:rsidR="00E50BDD" w:rsidRPr="005602CA">
          <w:rPr>
            <w:rStyle w:val="Lienhypertexte"/>
            <w:rFonts w:asciiTheme="minorBidi" w:hAnsiTheme="minorBidi"/>
            <w:lang w:val="fr-FR"/>
          </w:rPr>
          <w:t>https://web.cedare.org/wp-content/uploads/2005/05/Tunisia-State-of-the-Water-Monitoring-and-Evaluation-Operational-Framework-and-Guidelines.pdf?utm_source=chatgpt.com</w:t>
        </w:r>
      </w:hyperlink>
      <w:r w:rsidR="00E50BDD">
        <w:rPr>
          <w:rFonts w:asciiTheme="minorBidi" w:hAnsiTheme="minorBidi"/>
          <w:lang w:val="fr-FR"/>
        </w:rPr>
        <w:t>; internal reports)</w:t>
      </w:r>
    </w:p>
    <w:p w14:paraId="4FBD18DE" w14:textId="185D1022" w:rsidR="00A81EFA" w:rsidRPr="00E50BDD" w:rsidRDefault="00A81EFA" w:rsidP="00E50BDD">
      <w:pPr>
        <w:pStyle w:val="Paragraphedeliste"/>
        <w:numPr>
          <w:ilvl w:val="0"/>
          <w:numId w:val="11"/>
        </w:numPr>
        <w:rPr>
          <w:rFonts w:asciiTheme="minorBidi" w:hAnsiTheme="minorBidi"/>
          <w:lang w:val="fr-FR"/>
        </w:rPr>
      </w:pPr>
      <w:r w:rsidRPr="00E50BDD">
        <w:rPr>
          <w:rFonts w:asciiTheme="minorBidi" w:hAnsiTheme="minorBidi"/>
          <w:lang w:val="fr-FR"/>
        </w:rPr>
        <w:t>CRDA regional water management plans</w:t>
      </w:r>
      <w:r w:rsidR="00E50BDD">
        <w:rPr>
          <w:rFonts w:asciiTheme="minorBidi" w:hAnsiTheme="minorBidi"/>
          <w:lang w:val="fr-FR"/>
        </w:rPr>
        <w:t xml:space="preserve"> (Internal reports)</w:t>
      </w:r>
    </w:p>
    <w:p w14:paraId="246FE3E7" w14:textId="4C6FA1E9" w:rsidR="00A81EFA" w:rsidRPr="00A81EFA" w:rsidRDefault="00A81EFA" w:rsidP="00A81EFA">
      <w:pPr>
        <w:pStyle w:val="Paragraphedeliste"/>
        <w:numPr>
          <w:ilvl w:val="0"/>
          <w:numId w:val="11"/>
        </w:numPr>
        <w:rPr>
          <w:rFonts w:asciiTheme="minorBidi" w:hAnsiTheme="minorBidi"/>
          <w:lang w:val="fr-FR"/>
        </w:rPr>
      </w:pPr>
      <w:r w:rsidRPr="00A81EFA">
        <w:rPr>
          <w:rFonts w:asciiTheme="minorBidi" w:hAnsiTheme="minorBidi"/>
          <w:lang w:val="fr-FR"/>
        </w:rPr>
        <w:t>Media coverage reports (TV, radio, online)</w:t>
      </w:r>
    </w:p>
    <w:p w14:paraId="7DF5DD9E" w14:textId="12D808DE" w:rsidR="00EB3D35" w:rsidRPr="00A81EFA" w:rsidRDefault="00EB3D35" w:rsidP="00EB3D35">
      <w:pPr>
        <w:rPr>
          <w:rFonts w:asciiTheme="minorBidi" w:hAnsiTheme="minorBidi"/>
          <w:lang w:val="fr-FR"/>
        </w:rPr>
      </w:pPr>
    </w:p>
    <w:p w14:paraId="5C43E0F2" w14:textId="77777777" w:rsidR="00EB3D35" w:rsidRPr="00EB3D35" w:rsidRDefault="00EB3D35" w:rsidP="00EB3D35">
      <w:pPr>
        <w:rPr>
          <w:rFonts w:asciiTheme="minorBidi" w:hAnsiTheme="minorBidi"/>
          <w:b/>
          <w:bCs/>
        </w:rPr>
      </w:pPr>
      <w:r w:rsidRPr="00EB3D35">
        <w:rPr>
          <w:rFonts w:asciiTheme="minorBidi" w:hAnsiTheme="minorBidi"/>
          <w:b/>
          <w:bCs/>
        </w:rPr>
        <w:t>7. Contact for Follow-Up</w:t>
      </w:r>
    </w:p>
    <w:tbl>
      <w:tblPr>
        <w:tblStyle w:val="Tableausimple5"/>
        <w:tblW w:w="8972" w:type="dxa"/>
        <w:tblLook w:val="04A0" w:firstRow="1" w:lastRow="0" w:firstColumn="1" w:lastColumn="0" w:noHBand="0" w:noVBand="1"/>
      </w:tblPr>
      <w:tblGrid>
        <w:gridCol w:w="2215"/>
        <w:gridCol w:w="2361"/>
        <w:gridCol w:w="4396"/>
      </w:tblGrid>
      <w:tr w:rsidR="00485BB1" w:rsidRPr="00A81EFA" w14:paraId="7FB98226" w14:textId="77777777" w:rsidTr="00A81EFA">
        <w:trPr>
          <w:cnfStyle w:val="100000000000" w:firstRow="1" w:lastRow="0" w:firstColumn="0" w:lastColumn="0" w:oddVBand="0" w:evenVBand="0" w:oddHBand="0" w:evenHBand="0" w:firstRowFirstColumn="0" w:firstRowLastColumn="0" w:lastRowFirstColumn="0" w:lastRowLastColumn="0"/>
          <w:trHeight w:val="517"/>
        </w:trPr>
        <w:tc>
          <w:tcPr>
            <w:cnfStyle w:val="001000000100" w:firstRow="0" w:lastRow="0" w:firstColumn="1" w:lastColumn="0" w:oddVBand="0" w:evenVBand="0" w:oddHBand="0" w:evenHBand="0" w:firstRowFirstColumn="1" w:firstRowLastColumn="0" w:lastRowFirstColumn="0" w:lastRowLastColumn="0"/>
            <w:tcW w:w="0" w:type="auto"/>
            <w:hideMark/>
          </w:tcPr>
          <w:p w14:paraId="166FDFED" w14:textId="77777777" w:rsidR="00A81EFA" w:rsidRPr="00A81EFA" w:rsidRDefault="00A81EFA" w:rsidP="00A81EFA">
            <w:pPr>
              <w:jc w:val="center"/>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Name</w:t>
            </w:r>
          </w:p>
        </w:tc>
        <w:tc>
          <w:tcPr>
            <w:tcW w:w="0" w:type="auto"/>
            <w:hideMark/>
          </w:tcPr>
          <w:p w14:paraId="5CEE3E18" w14:textId="77777777" w:rsidR="00A81EFA" w:rsidRPr="00A81EFA" w:rsidRDefault="00A81EFA" w:rsidP="00A81EF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Role</w:t>
            </w:r>
          </w:p>
        </w:tc>
        <w:tc>
          <w:tcPr>
            <w:tcW w:w="0" w:type="auto"/>
            <w:hideMark/>
          </w:tcPr>
          <w:p w14:paraId="3AD104FF" w14:textId="77777777" w:rsidR="00A81EFA" w:rsidRPr="00A81EFA" w:rsidRDefault="00A81EFA" w:rsidP="00A81EF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Contact Channel</w:t>
            </w:r>
          </w:p>
        </w:tc>
      </w:tr>
      <w:tr w:rsidR="00485BB1" w:rsidRPr="00A81EFA" w14:paraId="6822E1E6" w14:textId="77777777" w:rsidTr="00A81EFA">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0AC2F201" w14:textId="2C086BAA" w:rsidR="00A81EFA" w:rsidRPr="00A81EFA" w:rsidRDefault="00A81EFA" w:rsidP="00A81EFA">
            <w:pPr>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Salwa SAIDI</w:t>
            </w:r>
          </w:p>
        </w:tc>
        <w:tc>
          <w:tcPr>
            <w:tcW w:w="0" w:type="auto"/>
            <w:hideMark/>
          </w:tcPr>
          <w:p w14:paraId="73CAD020" w14:textId="77777777" w:rsidR="00A81EFA" w:rsidRPr="00A81EFA" w:rsidRDefault="00A81EFA"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A81EFA">
              <w:rPr>
                <w:rFonts w:ascii="Times New Roman" w:eastAsia="Times New Roman" w:hAnsi="Times New Roman" w:cs="Times New Roman"/>
                <w:kern w:val="0"/>
                <w:lang w:val="fr-FR" w:eastAsia="fr-FR"/>
                <w14:ligatures w14:val="none"/>
              </w:rPr>
              <w:t>Project Coordinator</w:t>
            </w:r>
          </w:p>
        </w:tc>
        <w:tc>
          <w:tcPr>
            <w:tcW w:w="0" w:type="auto"/>
            <w:hideMark/>
          </w:tcPr>
          <w:p w14:paraId="469F4B91" w14:textId="72657B46" w:rsidR="00A81EFA" w:rsidRPr="00A81EFA" w:rsidRDefault="00A81EFA"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salwa.saidi@fst.utm.tn/+21624257293</w:t>
            </w:r>
          </w:p>
        </w:tc>
      </w:tr>
      <w:tr w:rsidR="00485BB1" w:rsidRPr="00A81EFA" w14:paraId="32FEA050" w14:textId="77777777" w:rsidTr="00A81EFA">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1D4127CC" w14:textId="3082E248" w:rsidR="00A81EFA" w:rsidRPr="00A81EFA" w:rsidRDefault="00485BB1" w:rsidP="00A81EFA">
            <w:pPr>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Aissa HLAIMI</w:t>
            </w:r>
          </w:p>
        </w:tc>
        <w:tc>
          <w:tcPr>
            <w:tcW w:w="0" w:type="auto"/>
            <w:hideMark/>
          </w:tcPr>
          <w:p w14:paraId="67A07E85" w14:textId="14A9F459" w:rsidR="00A81EFA" w:rsidRPr="00A81EFA" w:rsidRDefault="00485BB1"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Director DGRE</w:t>
            </w:r>
          </w:p>
        </w:tc>
        <w:tc>
          <w:tcPr>
            <w:tcW w:w="0" w:type="auto"/>
            <w:hideMark/>
          </w:tcPr>
          <w:p w14:paraId="1322A41D" w14:textId="04A81362" w:rsidR="00A81EFA" w:rsidRPr="00A81EFA" w:rsidRDefault="00485BB1" w:rsidP="00A8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485BB1">
              <w:rPr>
                <w:rFonts w:ascii="Times New Roman" w:eastAsia="Times New Roman" w:hAnsi="Times New Roman" w:cs="Times New Roman"/>
                <w:kern w:val="0"/>
                <w:lang w:val="fr-FR" w:eastAsia="fr-FR"/>
                <w14:ligatures w14:val="none"/>
              </w:rPr>
              <w:t>hlaimi.aissa@outlook.com</w:t>
            </w:r>
          </w:p>
        </w:tc>
      </w:tr>
      <w:tr w:rsidR="00485BB1" w:rsidRPr="00A81EFA" w14:paraId="18FC637F" w14:textId="77777777" w:rsidTr="00A81EFA">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D58E43E" w14:textId="7F20EA72" w:rsidR="00A81EFA" w:rsidRPr="00A81EFA" w:rsidRDefault="00485BB1" w:rsidP="00A81EFA">
            <w:pPr>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Jamel JAOUADI</w:t>
            </w:r>
          </w:p>
        </w:tc>
        <w:tc>
          <w:tcPr>
            <w:tcW w:w="0" w:type="auto"/>
            <w:hideMark/>
          </w:tcPr>
          <w:p w14:paraId="06390DCC" w14:textId="77777777" w:rsidR="00A81EFA" w:rsidRPr="00A81EFA" w:rsidRDefault="00A81EFA"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A81EFA">
              <w:rPr>
                <w:rFonts w:ascii="Times New Roman" w:eastAsia="Times New Roman" w:hAnsi="Times New Roman" w:cs="Times New Roman"/>
                <w:kern w:val="0"/>
                <w:lang w:val="fr-FR" w:eastAsia="fr-FR"/>
                <w14:ligatures w14:val="none"/>
              </w:rPr>
              <w:t>CRDA Mannouba</w:t>
            </w:r>
          </w:p>
        </w:tc>
        <w:tc>
          <w:tcPr>
            <w:tcW w:w="0" w:type="auto"/>
            <w:hideMark/>
          </w:tcPr>
          <w:p w14:paraId="55D2F48B" w14:textId="19F47579" w:rsidR="00A81EFA" w:rsidRPr="00A81EFA" w:rsidRDefault="00485BB1" w:rsidP="00A81EF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485BB1">
              <w:rPr>
                <w:rFonts w:ascii="Times New Roman" w:eastAsia="Times New Roman" w:hAnsi="Times New Roman" w:cs="Times New Roman"/>
                <w:kern w:val="0"/>
                <w:lang w:val="fr-FR" w:eastAsia="fr-FR"/>
                <w14:ligatures w14:val="none"/>
              </w:rPr>
              <w:t>jamelbadis1@gmail.com</w:t>
            </w:r>
          </w:p>
        </w:tc>
      </w:tr>
    </w:tbl>
    <w:p w14:paraId="75AF1320" w14:textId="04D8E61F" w:rsidR="00EB3D35" w:rsidRPr="00EB3D35" w:rsidRDefault="00EB3D35" w:rsidP="00EB3D35">
      <w:pPr>
        <w:rPr>
          <w:rFonts w:asciiTheme="minorBidi" w:hAnsiTheme="minorBidi"/>
        </w:rPr>
      </w:pPr>
    </w:p>
    <w:p w14:paraId="4150A6C5" w14:textId="77777777" w:rsidR="00EB3D35" w:rsidRPr="00FD3BE7" w:rsidRDefault="00EB3D35">
      <w:pPr>
        <w:rPr>
          <w:rFonts w:asciiTheme="minorBidi" w:hAnsiTheme="minorBidi"/>
        </w:rPr>
      </w:pPr>
    </w:p>
    <w:sectPr w:rsidR="00EB3D35" w:rsidRPr="00FD3BE7">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54CE54" w16cex:dateUtc="2025-11-24T18:59:00Z"/>
  <w16cex:commentExtensible w16cex:durableId="104819BB" w16cex:dateUtc="2025-11-24T19:01:00Z"/>
  <w16cex:commentExtensible w16cex:durableId="6797582C" w16cex:dateUtc="2025-11-24T19:03:00Z"/>
  <w16cex:commentExtensible w16cex:durableId="6B8C9CEC" w16cex:dateUtc="2025-11-24T19:05:00Z"/>
  <w16cex:commentExtensible w16cex:durableId="35B57FF6" w16cex:dateUtc="2025-11-24T19:13:00Z"/>
  <w16cex:commentExtensible w16cex:durableId="2B8A4B4F" w16cex:dateUtc="2025-11-24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A187A4" w16cid:durableId="1C54CE54"/>
  <w16cid:commentId w16cid:paraId="5E50163E" w16cid:durableId="104819BB"/>
  <w16cid:commentId w16cid:paraId="0091494F" w16cid:durableId="6797582C"/>
  <w16cid:commentId w16cid:paraId="7A8AECB2" w16cid:durableId="6B8C9CEC"/>
  <w16cid:commentId w16cid:paraId="55936E5A" w16cid:durableId="35B57FF6"/>
  <w16cid:commentId w16cid:paraId="58FCC8F4" w16cid:durableId="2B8A4B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73784"/>
    <w:multiLevelType w:val="multilevel"/>
    <w:tmpl w:val="17C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3350"/>
    <w:multiLevelType w:val="multilevel"/>
    <w:tmpl w:val="5ECE808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9D5DA1"/>
    <w:multiLevelType w:val="multilevel"/>
    <w:tmpl w:val="6852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16D3D"/>
    <w:multiLevelType w:val="multilevel"/>
    <w:tmpl w:val="0A1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42C4B"/>
    <w:multiLevelType w:val="hybridMultilevel"/>
    <w:tmpl w:val="C18A86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194127"/>
    <w:multiLevelType w:val="hybridMultilevel"/>
    <w:tmpl w:val="CFA8F2AE"/>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6" w15:restartNumberingAfterBreak="0">
    <w:nsid w:val="27C60D1D"/>
    <w:multiLevelType w:val="multilevel"/>
    <w:tmpl w:val="6560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F2F66"/>
    <w:multiLevelType w:val="multilevel"/>
    <w:tmpl w:val="2CC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7761A"/>
    <w:multiLevelType w:val="multilevel"/>
    <w:tmpl w:val="0CE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80819"/>
    <w:multiLevelType w:val="multilevel"/>
    <w:tmpl w:val="975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053F1"/>
    <w:multiLevelType w:val="multilevel"/>
    <w:tmpl w:val="284C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73CEB"/>
    <w:multiLevelType w:val="multilevel"/>
    <w:tmpl w:val="7C3E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553809"/>
    <w:multiLevelType w:val="multilevel"/>
    <w:tmpl w:val="DF2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27162"/>
    <w:multiLevelType w:val="multilevel"/>
    <w:tmpl w:val="2C4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54F92"/>
    <w:multiLevelType w:val="multilevel"/>
    <w:tmpl w:val="D0E69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C3772"/>
    <w:multiLevelType w:val="multilevel"/>
    <w:tmpl w:val="A54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67D95"/>
    <w:multiLevelType w:val="multilevel"/>
    <w:tmpl w:val="12C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B5F24"/>
    <w:multiLevelType w:val="multilevel"/>
    <w:tmpl w:val="6B9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02618"/>
    <w:multiLevelType w:val="hybridMultilevel"/>
    <w:tmpl w:val="E3444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50102BB"/>
    <w:multiLevelType w:val="multilevel"/>
    <w:tmpl w:val="D51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6012C"/>
    <w:multiLevelType w:val="multilevel"/>
    <w:tmpl w:val="25F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90A15"/>
    <w:multiLevelType w:val="multilevel"/>
    <w:tmpl w:val="FD8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9"/>
  </w:num>
  <w:num w:numId="4">
    <w:abstractNumId w:val="15"/>
  </w:num>
  <w:num w:numId="5">
    <w:abstractNumId w:val="3"/>
  </w:num>
  <w:num w:numId="6">
    <w:abstractNumId w:val="20"/>
  </w:num>
  <w:num w:numId="7">
    <w:abstractNumId w:val="10"/>
  </w:num>
  <w:num w:numId="8">
    <w:abstractNumId w:val="14"/>
  </w:num>
  <w:num w:numId="9">
    <w:abstractNumId w:val="4"/>
  </w:num>
  <w:num w:numId="10">
    <w:abstractNumId w:val="5"/>
  </w:num>
  <w:num w:numId="11">
    <w:abstractNumId w:val="18"/>
  </w:num>
  <w:num w:numId="12">
    <w:abstractNumId w:val="19"/>
  </w:num>
  <w:num w:numId="13">
    <w:abstractNumId w:val="17"/>
  </w:num>
  <w:num w:numId="14">
    <w:abstractNumId w:val="21"/>
  </w:num>
  <w:num w:numId="15">
    <w:abstractNumId w:val="0"/>
  </w:num>
  <w:num w:numId="16">
    <w:abstractNumId w:val="12"/>
  </w:num>
  <w:num w:numId="17">
    <w:abstractNumId w:val="16"/>
  </w:num>
  <w:num w:numId="18">
    <w:abstractNumId w:val="6"/>
  </w:num>
  <w:num w:numId="19">
    <w:abstractNumId w:val="2"/>
  </w:num>
  <w:num w:numId="20">
    <w:abstractNumId w:val="13"/>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D35"/>
    <w:rsid w:val="00226250"/>
    <w:rsid w:val="00264756"/>
    <w:rsid w:val="00485BB1"/>
    <w:rsid w:val="004B46EE"/>
    <w:rsid w:val="005C4536"/>
    <w:rsid w:val="008E2042"/>
    <w:rsid w:val="009A3D28"/>
    <w:rsid w:val="009A52D8"/>
    <w:rsid w:val="00A81EFA"/>
    <w:rsid w:val="00AA0B83"/>
    <w:rsid w:val="00C3159E"/>
    <w:rsid w:val="00D12249"/>
    <w:rsid w:val="00DE1E85"/>
    <w:rsid w:val="00E50BDD"/>
    <w:rsid w:val="00EB3D35"/>
    <w:rsid w:val="00EE3465"/>
    <w:rsid w:val="00FD3BE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0821"/>
  <w15:chartTrackingRefBased/>
  <w15:docId w15:val="{68C951EE-7F47-47B8-9C57-D7457904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B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3D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3D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3D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3D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3D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3D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3D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3D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3D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3D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3D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3D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3D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3D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3D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3D35"/>
    <w:rPr>
      <w:rFonts w:eastAsiaTheme="majorEastAsia" w:cstheme="majorBidi"/>
      <w:color w:val="272727" w:themeColor="text1" w:themeTint="D8"/>
    </w:rPr>
  </w:style>
  <w:style w:type="paragraph" w:styleId="Titre">
    <w:name w:val="Title"/>
    <w:basedOn w:val="Normal"/>
    <w:next w:val="Normal"/>
    <w:link w:val="TitreCar"/>
    <w:uiPriority w:val="10"/>
    <w:qFormat/>
    <w:rsid w:val="00EB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3D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3D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3D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3D35"/>
    <w:pPr>
      <w:spacing w:before="160"/>
      <w:jc w:val="center"/>
    </w:pPr>
    <w:rPr>
      <w:i/>
      <w:iCs/>
      <w:color w:val="404040" w:themeColor="text1" w:themeTint="BF"/>
    </w:rPr>
  </w:style>
  <w:style w:type="character" w:customStyle="1" w:styleId="CitationCar">
    <w:name w:val="Citation Car"/>
    <w:basedOn w:val="Policepardfaut"/>
    <w:link w:val="Citation"/>
    <w:uiPriority w:val="29"/>
    <w:rsid w:val="00EB3D35"/>
    <w:rPr>
      <w:i/>
      <w:iCs/>
      <w:color w:val="404040" w:themeColor="text1" w:themeTint="BF"/>
    </w:rPr>
  </w:style>
  <w:style w:type="paragraph" w:styleId="Paragraphedeliste">
    <w:name w:val="List Paragraph"/>
    <w:basedOn w:val="Normal"/>
    <w:uiPriority w:val="34"/>
    <w:qFormat/>
    <w:rsid w:val="00EB3D35"/>
    <w:pPr>
      <w:ind w:left="720"/>
      <w:contextualSpacing/>
    </w:pPr>
  </w:style>
  <w:style w:type="character" w:styleId="Emphaseintense">
    <w:name w:val="Intense Emphasis"/>
    <w:basedOn w:val="Policepardfaut"/>
    <w:uiPriority w:val="21"/>
    <w:qFormat/>
    <w:rsid w:val="00EB3D35"/>
    <w:rPr>
      <w:i/>
      <w:iCs/>
      <w:color w:val="0F4761" w:themeColor="accent1" w:themeShade="BF"/>
    </w:rPr>
  </w:style>
  <w:style w:type="paragraph" w:styleId="Citationintense">
    <w:name w:val="Intense Quote"/>
    <w:basedOn w:val="Normal"/>
    <w:next w:val="Normal"/>
    <w:link w:val="CitationintenseCar"/>
    <w:uiPriority w:val="30"/>
    <w:qFormat/>
    <w:rsid w:val="00EB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3D35"/>
    <w:rPr>
      <w:i/>
      <w:iCs/>
      <w:color w:val="0F4761" w:themeColor="accent1" w:themeShade="BF"/>
    </w:rPr>
  </w:style>
  <w:style w:type="character" w:styleId="Rfrenceintense">
    <w:name w:val="Intense Reference"/>
    <w:basedOn w:val="Policepardfaut"/>
    <w:uiPriority w:val="32"/>
    <w:qFormat/>
    <w:rsid w:val="00EB3D35"/>
    <w:rPr>
      <w:b/>
      <w:bCs/>
      <w:smallCaps/>
      <w:color w:val="0F4761" w:themeColor="accent1" w:themeShade="BF"/>
      <w:spacing w:val="5"/>
    </w:rPr>
  </w:style>
  <w:style w:type="table" w:styleId="Grilledutableau">
    <w:name w:val="Table Grid"/>
    <w:basedOn w:val="TableauNormal"/>
    <w:uiPriority w:val="39"/>
    <w:rsid w:val="00EB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2042"/>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lev">
    <w:name w:val="Strong"/>
    <w:basedOn w:val="Policepardfaut"/>
    <w:uiPriority w:val="22"/>
    <w:qFormat/>
    <w:rsid w:val="008E2042"/>
    <w:rPr>
      <w:b/>
      <w:bCs/>
    </w:rPr>
  </w:style>
  <w:style w:type="table" w:styleId="Tableausimple1">
    <w:name w:val="Plain Table 1"/>
    <w:basedOn w:val="TableauNormal"/>
    <w:uiPriority w:val="41"/>
    <w:rsid w:val="008E20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A81E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arquedecommentaire">
    <w:name w:val="annotation reference"/>
    <w:basedOn w:val="Policepardfaut"/>
    <w:uiPriority w:val="99"/>
    <w:semiHidden/>
    <w:unhideWhenUsed/>
    <w:rsid w:val="009A3D28"/>
    <w:rPr>
      <w:sz w:val="16"/>
      <w:szCs w:val="16"/>
    </w:rPr>
  </w:style>
  <w:style w:type="paragraph" w:styleId="Commentaire">
    <w:name w:val="annotation text"/>
    <w:basedOn w:val="Normal"/>
    <w:link w:val="CommentaireCar"/>
    <w:uiPriority w:val="99"/>
    <w:unhideWhenUsed/>
    <w:rsid w:val="009A3D28"/>
    <w:pPr>
      <w:spacing w:line="240" w:lineRule="auto"/>
    </w:pPr>
    <w:rPr>
      <w:sz w:val="20"/>
      <w:szCs w:val="20"/>
    </w:rPr>
  </w:style>
  <w:style w:type="character" w:customStyle="1" w:styleId="CommentaireCar">
    <w:name w:val="Commentaire Car"/>
    <w:basedOn w:val="Policepardfaut"/>
    <w:link w:val="Commentaire"/>
    <w:uiPriority w:val="99"/>
    <w:rsid w:val="009A3D28"/>
    <w:rPr>
      <w:sz w:val="20"/>
      <w:szCs w:val="20"/>
    </w:rPr>
  </w:style>
  <w:style w:type="paragraph" w:styleId="Objetducommentaire">
    <w:name w:val="annotation subject"/>
    <w:basedOn w:val="Commentaire"/>
    <w:next w:val="Commentaire"/>
    <w:link w:val="ObjetducommentaireCar"/>
    <w:uiPriority w:val="99"/>
    <w:semiHidden/>
    <w:unhideWhenUsed/>
    <w:rsid w:val="009A3D28"/>
    <w:rPr>
      <w:b/>
      <w:bCs/>
    </w:rPr>
  </w:style>
  <w:style w:type="character" w:customStyle="1" w:styleId="ObjetducommentaireCar">
    <w:name w:val="Objet du commentaire Car"/>
    <w:basedOn w:val="CommentaireCar"/>
    <w:link w:val="Objetducommentaire"/>
    <w:uiPriority w:val="99"/>
    <w:semiHidden/>
    <w:rsid w:val="009A3D28"/>
    <w:rPr>
      <w:b/>
      <w:bCs/>
      <w:sz w:val="20"/>
      <w:szCs w:val="20"/>
    </w:rPr>
  </w:style>
  <w:style w:type="paragraph" w:styleId="Textedebulles">
    <w:name w:val="Balloon Text"/>
    <w:basedOn w:val="Normal"/>
    <w:link w:val="TextedebullesCar"/>
    <w:uiPriority w:val="99"/>
    <w:semiHidden/>
    <w:unhideWhenUsed/>
    <w:rsid w:val="0026475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56"/>
    <w:rPr>
      <w:rFonts w:ascii="Segoe UI" w:hAnsi="Segoe UI" w:cs="Segoe UI"/>
      <w:sz w:val="18"/>
      <w:szCs w:val="18"/>
    </w:rPr>
  </w:style>
  <w:style w:type="character" w:customStyle="1" w:styleId="whitespace-normal">
    <w:name w:val="whitespace-normal"/>
    <w:basedOn w:val="Policepardfaut"/>
    <w:rsid w:val="00264756"/>
  </w:style>
  <w:style w:type="character" w:styleId="Lienhypertexte">
    <w:name w:val="Hyperlink"/>
    <w:basedOn w:val="Policepardfaut"/>
    <w:uiPriority w:val="99"/>
    <w:unhideWhenUsed/>
    <w:rsid w:val="00E50B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38759">
      <w:bodyDiv w:val="1"/>
      <w:marLeft w:val="0"/>
      <w:marRight w:val="0"/>
      <w:marTop w:val="0"/>
      <w:marBottom w:val="0"/>
      <w:divBdr>
        <w:top w:val="none" w:sz="0" w:space="0" w:color="auto"/>
        <w:left w:val="none" w:sz="0" w:space="0" w:color="auto"/>
        <w:bottom w:val="none" w:sz="0" w:space="0" w:color="auto"/>
        <w:right w:val="none" w:sz="0" w:space="0" w:color="auto"/>
      </w:divBdr>
    </w:div>
    <w:div w:id="86848650">
      <w:bodyDiv w:val="1"/>
      <w:marLeft w:val="0"/>
      <w:marRight w:val="0"/>
      <w:marTop w:val="0"/>
      <w:marBottom w:val="0"/>
      <w:divBdr>
        <w:top w:val="none" w:sz="0" w:space="0" w:color="auto"/>
        <w:left w:val="none" w:sz="0" w:space="0" w:color="auto"/>
        <w:bottom w:val="none" w:sz="0" w:space="0" w:color="auto"/>
        <w:right w:val="none" w:sz="0" w:space="0" w:color="auto"/>
      </w:divBdr>
    </w:div>
    <w:div w:id="121654860">
      <w:bodyDiv w:val="1"/>
      <w:marLeft w:val="0"/>
      <w:marRight w:val="0"/>
      <w:marTop w:val="0"/>
      <w:marBottom w:val="0"/>
      <w:divBdr>
        <w:top w:val="none" w:sz="0" w:space="0" w:color="auto"/>
        <w:left w:val="none" w:sz="0" w:space="0" w:color="auto"/>
        <w:bottom w:val="none" w:sz="0" w:space="0" w:color="auto"/>
        <w:right w:val="none" w:sz="0" w:space="0" w:color="auto"/>
      </w:divBdr>
    </w:div>
    <w:div w:id="250354759">
      <w:bodyDiv w:val="1"/>
      <w:marLeft w:val="0"/>
      <w:marRight w:val="0"/>
      <w:marTop w:val="0"/>
      <w:marBottom w:val="0"/>
      <w:divBdr>
        <w:top w:val="none" w:sz="0" w:space="0" w:color="auto"/>
        <w:left w:val="none" w:sz="0" w:space="0" w:color="auto"/>
        <w:bottom w:val="none" w:sz="0" w:space="0" w:color="auto"/>
        <w:right w:val="none" w:sz="0" w:space="0" w:color="auto"/>
      </w:divBdr>
    </w:div>
    <w:div w:id="442650444">
      <w:bodyDiv w:val="1"/>
      <w:marLeft w:val="0"/>
      <w:marRight w:val="0"/>
      <w:marTop w:val="0"/>
      <w:marBottom w:val="0"/>
      <w:divBdr>
        <w:top w:val="none" w:sz="0" w:space="0" w:color="auto"/>
        <w:left w:val="none" w:sz="0" w:space="0" w:color="auto"/>
        <w:bottom w:val="none" w:sz="0" w:space="0" w:color="auto"/>
        <w:right w:val="none" w:sz="0" w:space="0" w:color="auto"/>
      </w:divBdr>
    </w:div>
    <w:div w:id="465397744">
      <w:bodyDiv w:val="1"/>
      <w:marLeft w:val="0"/>
      <w:marRight w:val="0"/>
      <w:marTop w:val="0"/>
      <w:marBottom w:val="0"/>
      <w:divBdr>
        <w:top w:val="none" w:sz="0" w:space="0" w:color="auto"/>
        <w:left w:val="none" w:sz="0" w:space="0" w:color="auto"/>
        <w:bottom w:val="none" w:sz="0" w:space="0" w:color="auto"/>
        <w:right w:val="none" w:sz="0" w:space="0" w:color="auto"/>
      </w:divBdr>
    </w:div>
    <w:div w:id="509686603">
      <w:bodyDiv w:val="1"/>
      <w:marLeft w:val="0"/>
      <w:marRight w:val="0"/>
      <w:marTop w:val="0"/>
      <w:marBottom w:val="0"/>
      <w:divBdr>
        <w:top w:val="none" w:sz="0" w:space="0" w:color="auto"/>
        <w:left w:val="none" w:sz="0" w:space="0" w:color="auto"/>
        <w:bottom w:val="none" w:sz="0" w:space="0" w:color="auto"/>
        <w:right w:val="none" w:sz="0" w:space="0" w:color="auto"/>
      </w:divBdr>
    </w:div>
    <w:div w:id="606473042">
      <w:bodyDiv w:val="1"/>
      <w:marLeft w:val="0"/>
      <w:marRight w:val="0"/>
      <w:marTop w:val="0"/>
      <w:marBottom w:val="0"/>
      <w:divBdr>
        <w:top w:val="none" w:sz="0" w:space="0" w:color="auto"/>
        <w:left w:val="none" w:sz="0" w:space="0" w:color="auto"/>
        <w:bottom w:val="none" w:sz="0" w:space="0" w:color="auto"/>
        <w:right w:val="none" w:sz="0" w:space="0" w:color="auto"/>
      </w:divBdr>
    </w:div>
    <w:div w:id="656035089">
      <w:bodyDiv w:val="1"/>
      <w:marLeft w:val="0"/>
      <w:marRight w:val="0"/>
      <w:marTop w:val="0"/>
      <w:marBottom w:val="0"/>
      <w:divBdr>
        <w:top w:val="none" w:sz="0" w:space="0" w:color="auto"/>
        <w:left w:val="none" w:sz="0" w:space="0" w:color="auto"/>
        <w:bottom w:val="none" w:sz="0" w:space="0" w:color="auto"/>
        <w:right w:val="none" w:sz="0" w:space="0" w:color="auto"/>
      </w:divBdr>
    </w:div>
    <w:div w:id="706106380">
      <w:bodyDiv w:val="1"/>
      <w:marLeft w:val="0"/>
      <w:marRight w:val="0"/>
      <w:marTop w:val="0"/>
      <w:marBottom w:val="0"/>
      <w:divBdr>
        <w:top w:val="none" w:sz="0" w:space="0" w:color="auto"/>
        <w:left w:val="none" w:sz="0" w:space="0" w:color="auto"/>
        <w:bottom w:val="none" w:sz="0" w:space="0" w:color="auto"/>
        <w:right w:val="none" w:sz="0" w:space="0" w:color="auto"/>
      </w:divBdr>
    </w:div>
    <w:div w:id="1154179782">
      <w:bodyDiv w:val="1"/>
      <w:marLeft w:val="0"/>
      <w:marRight w:val="0"/>
      <w:marTop w:val="0"/>
      <w:marBottom w:val="0"/>
      <w:divBdr>
        <w:top w:val="none" w:sz="0" w:space="0" w:color="auto"/>
        <w:left w:val="none" w:sz="0" w:space="0" w:color="auto"/>
        <w:bottom w:val="none" w:sz="0" w:space="0" w:color="auto"/>
        <w:right w:val="none" w:sz="0" w:space="0" w:color="auto"/>
      </w:divBdr>
    </w:div>
    <w:div w:id="1165515354">
      <w:bodyDiv w:val="1"/>
      <w:marLeft w:val="0"/>
      <w:marRight w:val="0"/>
      <w:marTop w:val="0"/>
      <w:marBottom w:val="0"/>
      <w:divBdr>
        <w:top w:val="none" w:sz="0" w:space="0" w:color="auto"/>
        <w:left w:val="none" w:sz="0" w:space="0" w:color="auto"/>
        <w:bottom w:val="none" w:sz="0" w:space="0" w:color="auto"/>
        <w:right w:val="none" w:sz="0" w:space="0" w:color="auto"/>
      </w:divBdr>
    </w:div>
    <w:div w:id="1275331313">
      <w:bodyDiv w:val="1"/>
      <w:marLeft w:val="0"/>
      <w:marRight w:val="0"/>
      <w:marTop w:val="0"/>
      <w:marBottom w:val="0"/>
      <w:divBdr>
        <w:top w:val="none" w:sz="0" w:space="0" w:color="auto"/>
        <w:left w:val="none" w:sz="0" w:space="0" w:color="auto"/>
        <w:bottom w:val="none" w:sz="0" w:space="0" w:color="auto"/>
        <w:right w:val="none" w:sz="0" w:space="0" w:color="auto"/>
      </w:divBdr>
    </w:div>
    <w:div w:id="1313026576">
      <w:bodyDiv w:val="1"/>
      <w:marLeft w:val="0"/>
      <w:marRight w:val="0"/>
      <w:marTop w:val="0"/>
      <w:marBottom w:val="0"/>
      <w:divBdr>
        <w:top w:val="none" w:sz="0" w:space="0" w:color="auto"/>
        <w:left w:val="none" w:sz="0" w:space="0" w:color="auto"/>
        <w:bottom w:val="none" w:sz="0" w:space="0" w:color="auto"/>
        <w:right w:val="none" w:sz="0" w:space="0" w:color="auto"/>
      </w:divBdr>
    </w:div>
    <w:div w:id="1671130257">
      <w:bodyDiv w:val="1"/>
      <w:marLeft w:val="0"/>
      <w:marRight w:val="0"/>
      <w:marTop w:val="0"/>
      <w:marBottom w:val="0"/>
      <w:divBdr>
        <w:top w:val="none" w:sz="0" w:space="0" w:color="auto"/>
        <w:left w:val="none" w:sz="0" w:space="0" w:color="auto"/>
        <w:bottom w:val="none" w:sz="0" w:space="0" w:color="auto"/>
        <w:right w:val="none" w:sz="0" w:space="0" w:color="auto"/>
      </w:divBdr>
    </w:div>
    <w:div w:id="2048144726">
      <w:bodyDiv w:val="1"/>
      <w:marLeft w:val="0"/>
      <w:marRight w:val="0"/>
      <w:marTop w:val="0"/>
      <w:marBottom w:val="0"/>
      <w:divBdr>
        <w:top w:val="none" w:sz="0" w:space="0" w:color="auto"/>
        <w:left w:val="none" w:sz="0" w:space="0" w:color="auto"/>
        <w:bottom w:val="none" w:sz="0" w:space="0" w:color="auto"/>
        <w:right w:val="none" w:sz="0" w:space="0" w:color="auto"/>
      </w:divBdr>
    </w:div>
    <w:div w:id="2052918451">
      <w:bodyDiv w:val="1"/>
      <w:marLeft w:val="0"/>
      <w:marRight w:val="0"/>
      <w:marTop w:val="0"/>
      <w:marBottom w:val="0"/>
      <w:divBdr>
        <w:top w:val="none" w:sz="0" w:space="0" w:color="auto"/>
        <w:left w:val="none" w:sz="0" w:space="0" w:color="auto"/>
        <w:bottom w:val="none" w:sz="0" w:space="0" w:color="auto"/>
        <w:right w:val="none" w:sz="0" w:space="0" w:color="auto"/>
      </w:divBdr>
    </w:div>
    <w:div w:id="206367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cedare.org/wp-content/uploads/2005/05/Tunisia-State-of-the-Water-Monitoring-and-Evaluation-Operational-Framework-and-Guidelines.pdf?utm_source=chatgpt.com" TargetMode="External"/><Relationship Id="rId5" Type="http://schemas.openxmlformats.org/officeDocument/2006/relationships/hyperlink" Target="https://www.anpe.nat.tn/Fr/telechargement_21_36_P20?utm_source=chatgpt.com"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1891</Words>
  <Characters>10401</Characters>
  <Application>Microsoft Office Word</Application>
  <DocSecurity>0</DocSecurity>
  <Lines>86</Lines>
  <Paragraphs>24</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17491264755355562836862550602</dc:creator>
  <cp:keywords/>
  <dc:description/>
  <cp:lastModifiedBy>asus</cp:lastModifiedBy>
  <cp:revision>2</cp:revision>
  <dcterms:created xsi:type="dcterms:W3CDTF">2026-02-15T23:14:00Z</dcterms:created>
  <dcterms:modified xsi:type="dcterms:W3CDTF">2026-02-15T23:14:00Z</dcterms:modified>
</cp:coreProperties>
</file>