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FC2C4A" w:rsidRDefault="00FC2C4A">
      <w:pPr>
        <w:pStyle w:val="a6"/>
        <w:adjustRightInd w:val="0"/>
        <w:snapToGrid w:val="0"/>
        <w:spacing w:before="0" w:beforeAutospacing="0" w:after="0" w:afterAutospacing="0" w:line="700" w:lineRule="exact"/>
        <w:jc w:val="center"/>
        <w:rPr>
          <w:rFonts w:ascii="方正小标宋简体" w:eastAsia="方正小标宋简体" w:hAnsi="方正小标宋简体" w:cs="方正小标宋简体" w:hint="eastAsia"/>
          <w:sz w:val="44"/>
          <w:szCs w:val="44"/>
        </w:rPr>
      </w:pPr>
    </w:p>
    <w:p w:rsidR="00FC2C4A" w:rsidRDefault="00FC2C4A">
      <w:pPr>
        <w:pStyle w:val="a6"/>
        <w:adjustRightInd w:val="0"/>
        <w:snapToGrid w:val="0"/>
        <w:spacing w:before="0" w:beforeAutospacing="0" w:after="0" w:afterAutospacing="0" w:line="70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交通运输部关于印发</w:t>
      </w:r>
    </w:p>
    <w:p w:rsidR="00FC2C4A" w:rsidRDefault="00FC2C4A">
      <w:pPr>
        <w:pStyle w:val="a6"/>
        <w:adjustRightInd w:val="0"/>
        <w:snapToGrid w:val="0"/>
        <w:spacing w:before="0" w:beforeAutospacing="0" w:after="0" w:afterAutospacing="0" w:line="70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《国家重大海上溢油应急处置预案》</w:t>
      </w:r>
      <w:r>
        <w:rPr>
          <w:rFonts w:ascii="方正小标宋简体" w:eastAsia="方正小标宋简体" w:hAnsi="方正小标宋简体" w:cs="方正小标宋简体" w:hint="eastAsia"/>
          <w:sz w:val="44"/>
          <w:szCs w:val="44"/>
        </w:rPr>
        <w:t>的通知</w:t>
      </w:r>
    </w:p>
    <w:p w:rsidR="00FC2C4A" w:rsidRDefault="00FC2C4A">
      <w:pPr>
        <w:pStyle w:val="a6"/>
        <w:adjustRightInd w:val="0"/>
        <w:snapToGrid w:val="0"/>
        <w:spacing w:before="0" w:beforeAutospacing="0" w:after="0" w:afterAutospacing="0" w:line="360" w:lineRule="auto"/>
        <w:jc w:val="center"/>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（交溢油函〔</w:t>
      </w:r>
      <w:r>
        <w:rPr>
          <w:rFonts w:ascii="楷体_GB2312" w:eastAsia="楷体_GB2312" w:hAnsi="楷体_GB2312" w:cs="楷体_GB2312" w:hint="eastAsia"/>
          <w:sz w:val="32"/>
          <w:szCs w:val="32"/>
        </w:rPr>
        <w:t>2018</w:t>
      </w:r>
      <w:r>
        <w:rPr>
          <w:rFonts w:ascii="楷体_GB2312" w:eastAsia="楷体_GB2312" w:hAnsi="楷体_GB2312" w:cs="楷体_GB2312" w:hint="eastAsia"/>
          <w:sz w:val="32"/>
          <w:szCs w:val="32"/>
        </w:rPr>
        <w:t>〕</w:t>
      </w:r>
      <w:r>
        <w:rPr>
          <w:rFonts w:ascii="楷体_GB2312" w:eastAsia="楷体_GB2312" w:hAnsi="楷体_GB2312" w:cs="楷体_GB2312" w:hint="eastAsia"/>
          <w:sz w:val="32"/>
          <w:szCs w:val="32"/>
        </w:rPr>
        <w:t>121</w:t>
      </w:r>
      <w:r>
        <w:rPr>
          <w:rFonts w:ascii="楷体_GB2312" w:eastAsia="楷体_GB2312" w:hAnsi="楷体_GB2312" w:cs="楷体_GB2312" w:hint="eastAsia"/>
          <w:sz w:val="32"/>
          <w:szCs w:val="32"/>
        </w:rPr>
        <w:t>号）</w:t>
      </w:r>
    </w:p>
    <w:p w:rsidR="00FC2C4A" w:rsidRDefault="00FC2C4A">
      <w:pPr>
        <w:pStyle w:val="a6"/>
        <w:adjustRightInd w:val="0"/>
        <w:snapToGrid w:val="0"/>
        <w:spacing w:before="0" w:beforeAutospacing="0" w:after="0" w:afterAutospacing="0" w:line="360" w:lineRule="auto"/>
        <w:jc w:val="both"/>
        <w:rPr>
          <w:rFonts w:ascii="仿宋_GB2312" w:eastAsia="仿宋_GB2312" w:hAnsi="仿宋_GB2312" w:cs="仿宋_GB2312" w:hint="eastAsia"/>
          <w:sz w:val="32"/>
          <w:szCs w:val="32"/>
        </w:rPr>
      </w:pPr>
    </w:p>
    <w:p w:rsidR="00FC2C4A" w:rsidRDefault="00FC2C4A">
      <w:pPr>
        <w:pStyle w:val="a6"/>
        <w:adjustRightInd w:val="0"/>
        <w:snapToGrid w:val="0"/>
        <w:spacing w:before="0" w:beforeAutospacing="0" w:after="0" w:afterAutospacing="0" w:line="560" w:lineRule="exact"/>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外交部、发展改革委、工业和信息化部、公安部、财政部、环境保护部、农业部、卫生计生委、海关总署、安全监管总局、气象局、能源局、海洋局</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军委联合参谋部作战局、海军、空军、武警部队</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中国石油天然气集团公司、中国石油化工集团公司、中国海洋石油总公司、中国远洋海运集团有限公司、招商局集团有限公司</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辽宁、河北、天津、山东、江苏、上海、浙江、福建、广东、广西、海南省</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自治区、直辖市</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海上搜救中心</w:t>
      </w:r>
    </w:p>
    <w:p w:rsidR="00FC2C4A" w:rsidRDefault="00FC2C4A">
      <w:pPr>
        <w:pStyle w:val="a6"/>
        <w:adjustRightInd w:val="0"/>
        <w:snapToGrid w:val="0"/>
        <w:spacing w:before="0" w:beforeAutospacing="0" w:after="0" w:afterAutospacing="0" w:line="560" w:lineRule="exact"/>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《国家重大海上溢油应急处置预案》已经</w:t>
      </w:r>
      <w:r>
        <w:rPr>
          <w:rFonts w:ascii="仿宋_GB2312" w:eastAsia="仿宋_GB2312" w:hAnsi="仿宋_GB2312" w:cs="仿宋_GB2312" w:hint="eastAsia"/>
          <w:sz w:val="32"/>
          <w:szCs w:val="32"/>
        </w:rPr>
        <w:t>2018</w:t>
      </w:r>
      <w:r>
        <w:rPr>
          <w:rFonts w:ascii="仿宋_GB2312" w:eastAsia="仿宋_GB2312" w:hAnsi="仿宋_GB2312" w:cs="仿宋_GB2312" w:hint="eastAsia"/>
          <w:sz w:val="32"/>
          <w:szCs w:val="32"/>
        </w:rPr>
        <w:t>年国家海上搜救和重大海上溢油应急处置部际联席会议审议通过</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现印发你们</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请认真遵照执行。</w:t>
      </w:r>
    </w:p>
    <w:p w:rsidR="00FC2C4A" w:rsidRDefault="00FC2C4A">
      <w:pPr>
        <w:pStyle w:val="a6"/>
        <w:adjustRightInd w:val="0"/>
        <w:snapToGrid w:val="0"/>
        <w:spacing w:before="0" w:beforeAutospacing="0" w:after="0" w:afterAutospacing="0" w:line="560" w:lineRule="exact"/>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国家重大海上溢油应急处置部际联席会议</w:t>
      </w:r>
    </w:p>
    <w:p w:rsidR="00FC2C4A" w:rsidRDefault="00FC2C4A">
      <w:pPr>
        <w:pStyle w:val="a6"/>
        <w:adjustRightInd w:val="0"/>
        <w:snapToGrid w:val="0"/>
        <w:spacing w:before="0" w:beforeAutospacing="0" w:after="0" w:afterAutospacing="0" w:line="560" w:lineRule="exact"/>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交通运输部代章</w:t>
      </w:r>
      <w:r>
        <w:rPr>
          <w:rFonts w:ascii="仿宋_GB2312" w:eastAsia="仿宋_GB2312" w:hAnsi="仿宋_GB2312" w:cs="仿宋_GB2312" w:hint="eastAsia"/>
          <w:sz w:val="32"/>
          <w:szCs w:val="32"/>
        </w:rPr>
        <w:t>)</w:t>
      </w:r>
    </w:p>
    <w:p w:rsidR="00FC2C4A" w:rsidRDefault="00FC2C4A">
      <w:pPr>
        <w:pStyle w:val="a6"/>
        <w:adjustRightInd w:val="0"/>
        <w:snapToGrid w:val="0"/>
        <w:spacing w:before="0" w:beforeAutospacing="0" w:after="0" w:afterAutospacing="0" w:line="560" w:lineRule="exact"/>
        <w:jc w:val="both"/>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日</w:t>
      </w:r>
    </w:p>
    <w:p w:rsidR="00FC2C4A" w:rsidRDefault="00FC2C4A">
      <w:pPr>
        <w:pStyle w:val="a6"/>
        <w:adjustRightInd w:val="0"/>
        <w:snapToGrid w:val="0"/>
        <w:spacing w:before="0" w:beforeAutospacing="0" w:after="0" w:afterAutospacing="0" w:line="360" w:lineRule="auto"/>
        <w:jc w:val="center"/>
        <w:rPr>
          <w:rFonts w:ascii="方正小标宋简体" w:eastAsia="方正小标宋简体" w:hAnsi="方正小标宋简体" w:cs="方正小标宋简体" w:hint="eastAsia"/>
          <w:sz w:val="44"/>
          <w:szCs w:val="44"/>
        </w:rPr>
      </w:pPr>
      <w:r>
        <w:rPr>
          <w:rFonts w:ascii="仿宋_GB2312" w:eastAsia="仿宋_GB2312" w:hAnsi="仿宋_GB2312" w:cs="仿宋_GB2312" w:hint="eastAsia"/>
          <w:sz w:val="32"/>
          <w:szCs w:val="32"/>
        </w:rPr>
        <w:br w:type="page"/>
      </w:r>
      <w:r>
        <w:rPr>
          <w:rFonts w:ascii="方正小标宋简体" w:eastAsia="方正小标宋简体" w:hAnsi="方正小标宋简体" w:cs="方正小标宋简体" w:hint="eastAsia"/>
          <w:sz w:val="44"/>
          <w:szCs w:val="44"/>
        </w:rPr>
        <w:lastRenderedPageBreak/>
        <w:t>国家重大海上溢油应急处置预案</w:t>
      </w:r>
    </w:p>
    <w:p w:rsidR="00FC2C4A" w:rsidRDefault="00FC2C4A">
      <w:pPr>
        <w:widowControl/>
        <w:adjustRightInd w:val="0"/>
        <w:snapToGrid w:val="0"/>
        <w:spacing w:line="360" w:lineRule="auto"/>
        <w:jc w:val="left"/>
        <w:rPr>
          <w:rFonts w:ascii="黑体" w:eastAsia="黑体"/>
          <w:sz w:val="36"/>
          <w:szCs w:val="36"/>
        </w:rPr>
      </w:pPr>
      <w:r>
        <w:rPr>
          <w:rFonts w:hint="eastAsia"/>
          <w:sz w:val="32"/>
        </w:rPr>
        <w:t xml:space="preserve">    </w:t>
      </w:r>
      <w:r>
        <w:rPr>
          <w:rFonts w:ascii="黑体" w:eastAsia="黑体" w:hint="eastAsia"/>
          <w:sz w:val="32"/>
          <w:szCs w:val="36"/>
        </w:rPr>
        <w:t xml:space="preserve">1 </w:t>
      </w:r>
      <w:r>
        <w:rPr>
          <w:rFonts w:ascii="黑体" w:eastAsia="黑体" w:hint="eastAsia"/>
          <w:sz w:val="32"/>
          <w:szCs w:val="36"/>
        </w:rPr>
        <w:t>总</w:t>
      </w:r>
      <w:r>
        <w:rPr>
          <w:rFonts w:ascii="黑体" w:eastAsia="黑体" w:hint="eastAsia"/>
          <w:sz w:val="32"/>
          <w:szCs w:val="36"/>
        </w:rPr>
        <w:t xml:space="preserve"> </w:t>
      </w:r>
      <w:r>
        <w:rPr>
          <w:rFonts w:ascii="黑体" w:eastAsia="黑体" w:hint="eastAsia"/>
          <w:sz w:val="32"/>
          <w:szCs w:val="36"/>
        </w:rPr>
        <w:t>则</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1.1</w:t>
      </w:r>
      <w:r>
        <w:rPr>
          <w:rFonts w:ascii="楷体" w:eastAsia="楷体" w:hAnsi="楷体" w:hint="eastAsia"/>
          <w:sz w:val="32"/>
        </w:rPr>
        <w:t>编制目的</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建立健全国家重大海上溢油应急处置工作程序，依法科学统一、有力有序有效地实施国家重大海上溢油应急处置行动，最大程度减少海上溢油造成的环境和财产损失，保障公众健康、环境安全和社会稳定。</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1.2</w:t>
      </w:r>
      <w:r>
        <w:rPr>
          <w:rFonts w:ascii="楷体" w:eastAsia="楷体" w:hAnsi="楷体" w:hint="eastAsia"/>
          <w:sz w:val="32"/>
        </w:rPr>
        <w:t>编制依据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中华人民共和国海洋环境保护法》《中华人民共和国突发事件应对法》《防治船舶污染海洋管理条例》《中华人民共和国海洋石油勘探开发环境保护管理条例》《突发事件应急预案管理办法》《国家突发公共事件总体应急预案》，我国已经加入或者缔结的溢油应急国际公约或地区性协议，以及《国务院关于同意建立国家重大海上溢油应急处置部际联席会议制度的批复》（国函</w:t>
      </w:r>
      <w:r>
        <w:rPr>
          <w:rFonts w:ascii="方正小标宋_GBK" w:eastAsia="方正小标宋_GBK" w:hAnsi="方正小标宋_GBK" w:hint="eastAsia"/>
          <w:sz w:val="32"/>
          <w:szCs w:val="28"/>
        </w:rPr>
        <w:t>﹝</w:t>
      </w:r>
      <w:r>
        <w:rPr>
          <w:rFonts w:eastAsia="方正小标宋_GBK"/>
          <w:sz w:val="32"/>
          <w:szCs w:val="28"/>
        </w:rPr>
        <w:t>201</w:t>
      </w:r>
      <w:r>
        <w:rPr>
          <w:rFonts w:eastAsia="方正小标宋_GBK" w:hint="eastAsia"/>
          <w:sz w:val="32"/>
          <w:szCs w:val="28"/>
        </w:rPr>
        <w:t>2</w:t>
      </w:r>
      <w:r>
        <w:rPr>
          <w:rFonts w:eastAsia="方正小标宋_GBK"/>
          <w:sz w:val="32"/>
          <w:szCs w:val="28"/>
        </w:rPr>
        <w:t>﹞</w:t>
      </w:r>
      <w:r>
        <w:rPr>
          <w:rFonts w:eastAsia="方正小标宋_GBK" w:hint="eastAsia"/>
          <w:sz w:val="32"/>
          <w:szCs w:val="28"/>
        </w:rPr>
        <w:t>167</w:t>
      </w:r>
      <w:r>
        <w:rPr>
          <w:rFonts w:ascii="仿宋_GB2312" w:eastAsia="仿宋_GB2312" w:hAnsi="仿宋_GB2312" w:hint="eastAsia"/>
          <w:sz w:val="32"/>
          <w:szCs w:val="28"/>
        </w:rPr>
        <w:t>号），中央机构编制委员会办公室《关于重大海上溢油应急处置牵头部门和职责分工的通知》（中央编办发</w:t>
      </w:r>
      <w:r>
        <w:rPr>
          <w:rFonts w:ascii="方正小标宋_GBK" w:eastAsia="方正小标宋_GBK" w:hAnsi="方正小标宋_GBK" w:hint="eastAsia"/>
          <w:sz w:val="32"/>
          <w:szCs w:val="28"/>
        </w:rPr>
        <w:t>﹝</w:t>
      </w:r>
      <w:r>
        <w:rPr>
          <w:rFonts w:eastAsia="方正小标宋_GBK"/>
          <w:sz w:val="32"/>
          <w:szCs w:val="28"/>
        </w:rPr>
        <w:t>2010</w:t>
      </w:r>
      <w:r>
        <w:rPr>
          <w:rFonts w:eastAsia="方正小标宋_GBK"/>
          <w:sz w:val="32"/>
          <w:szCs w:val="28"/>
        </w:rPr>
        <w:t>﹞</w:t>
      </w:r>
      <w:r>
        <w:rPr>
          <w:rFonts w:eastAsia="方正小标宋_GBK"/>
          <w:sz w:val="32"/>
          <w:szCs w:val="28"/>
        </w:rPr>
        <w:t>203</w:t>
      </w:r>
      <w:r>
        <w:rPr>
          <w:rFonts w:ascii="仿宋_GB2312" w:eastAsia="仿宋_GB2312" w:hAnsi="仿宋_GB2312" w:hint="eastAsia"/>
          <w:sz w:val="32"/>
          <w:szCs w:val="28"/>
        </w:rPr>
        <w:t>号）等。</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lastRenderedPageBreak/>
        <w:t xml:space="preserve">    1.3</w:t>
      </w:r>
      <w:r>
        <w:rPr>
          <w:rFonts w:ascii="楷体" w:eastAsia="楷体" w:hAnsi="楷体" w:hint="eastAsia"/>
          <w:sz w:val="32"/>
        </w:rPr>
        <w:t>适用范围</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本预案适用于造成或者可能造成我国管辖海域污染的重大海上溢油的应急处置工作。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1.4</w:t>
      </w:r>
      <w:r>
        <w:rPr>
          <w:rFonts w:ascii="楷体" w:eastAsia="楷体" w:hAnsi="楷体" w:hint="eastAsia"/>
          <w:sz w:val="32"/>
        </w:rPr>
        <w:t>工作原则</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国家重大海上溢油应急处置工作坚持统一领导、综合协调、军地联动、分级负责、属地为主、以人为本、科学快速、资源共享的工作原则。</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地方人民政府对本行政区域内突发事件的应对工作负责，重大海上溢油发生后，相关省级人民政府、行业行政主管部门、相关企事业单位应当立即按照职责分工和相关预案开展前期处置工作。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必要时，国家重大海上溢油应急处置部际联席会议根据重大海上溢油应急处置行动的需要，给予相应的支持和协调。</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1.5</w:t>
      </w:r>
      <w:r>
        <w:rPr>
          <w:rFonts w:ascii="楷体" w:eastAsia="楷体" w:hAnsi="楷体" w:hint="eastAsia"/>
          <w:sz w:val="32"/>
        </w:rPr>
        <w:t>国家重大海上溢油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国家重大海上溢油是指海上溢油的规模或者对环境可能造成的损害程度，超出了省级行政区域的应急能力或范</w:t>
      </w:r>
      <w:r>
        <w:rPr>
          <w:rFonts w:ascii="仿宋_GB2312" w:eastAsia="仿宋_GB2312" w:hAnsi="仿宋_GB2312" w:hint="eastAsia"/>
          <w:sz w:val="32"/>
          <w:szCs w:val="28"/>
        </w:rPr>
        <w:lastRenderedPageBreak/>
        <w:t>围，或者超出了行业行政主管部门可以应对的规模或范围，而需要启动应急响应予以协助的海上溢油事件。</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凡符合下列情形之一的，可判断为国家重大海上溢油：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）预计溢油量超过</w:t>
      </w:r>
      <w:r>
        <w:rPr>
          <w:rFonts w:ascii="仿宋_GB2312" w:eastAsia="仿宋_GB2312" w:hAnsi="仿宋_GB2312" w:hint="eastAsia"/>
          <w:sz w:val="32"/>
          <w:szCs w:val="28"/>
        </w:rPr>
        <w:t>500</w:t>
      </w:r>
      <w:r>
        <w:rPr>
          <w:rFonts w:ascii="仿宋_GB2312" w:eastAsia="仿宋_GB2312" w:hAnsi="仿宋_GB2312" w:hint="eastAsia"/>
          <w:sz w:val="32"/>
          <w:szCs w:val="28"/>
        </w:rPr>
        <w:t>吨，且可能受污染的海域位于敏感区域；或者可能造成重大国际影响；或者造成了重大社会影响的。</w:t>
      </w:r>
    </w:p>
    <w:p w:rsidR="00FC2C4A" w:rsidRDefault="00FC2C4A">
      <w:pPr>
        <w:widowControl/>
        <w:adjustRightInd w:val="0"/>
        <w:snapToGrid w:val="0"/>
        <w:spacing w:line="360" w:lineRule="auto"/>
        <w:outlineLvl w:val="0"/>
        <w:rPr>
          <w:rFonts w:ascii="黑体" w:eastAsia="黑体" w:hAnsi="黑体" w:hint="eastAsia"/>
          <w:sz w:val="32"/>
        </w:rPr>
      </w:pPr>
      <w:r>
        <w:rPr>
          <w:rFonts w:ascii="仿宋_GB2312" w:eastAsia="仿宋_GB2312" w:hAnsi="仿宋_GB2312" w:hint="eastAsia"/>
          <w:sz w:val="32"/>
          <w:szCs w:val="28"/>
        </w:rPr>
        <w:t xml:space="preserve">    </w:t>
      </w: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）预计溢油量在</w:t>
      </w:r>
      <w:r>
        <w:rPr>
          <w:rFonts w:ascii="仿宋_GB2312" w:eastAsia="仿宋_GB2312" w:hAnsi="仿宋_GB2312" w:hint="eastAsia"/>
          <w:sz w:val="32"/>
          <w:szCs w:val="28"/>
        </w:rPr>
        <w:t>1000</w:t>
      </w:r>
      <w:r>
        <w:rPr>
          <w:rFonts w:ascii="仿宋_GB2312" w:eastAsia="仿宋_GB2312" w:hAnsi="仿宋_GB2312" w:hint="eastAsia"/>
          <w:sz w:val="32"/>
          <w:szCs w:val="28"/>
        </w:rPr>
        <w:t>吨以上的。</w:t>
      </w:r>
    </w:p>
    <w:p w:rsidR="00FC2C4A" w:rsidRDefault="00FC2C4A">
      <w:pPr>
        <w:widowControl/>
        <w:adjustRightInd w:val="0"/>
        <w:snapToGrid w:val="0"/>
        <w:spacing w:line="360" w:lineRule="auto"/>
        <w:outlineLvl w:val="0"/>
        <w:rPr>
          <w:rFonts w:ascii="黑体" w:eastAsia="黑体"/>
          <w:sz w:val="36"/>
          <w:szCs w:val="36"/>
        </w:rPr>
      </w:pPr>
      <w:r>
        <w:rPr>
          <w:rFonts w:ascii="黑体" w:eastAsia="黑体" w:hAnsi="黑体" w:hint="eastAsia"/>
          <w:sz w:val="32"/>
        </w:rPr>
        <w:t xml:space="preserve">    2 </w:t>
      </w:r>
      <w:r>
        <w:rPr>
          <w:rFonts w:ascii="黑体" w:eastAsia="黑体" w:hAnsi="黑体" w:hint="eastAsia"/>
          <w:sz w:val="32"/>
        </w:rPr>
        <w:t>组织指挥体系</w:t>
      </w:r>
    </w:p>
    <w:p w:rsidR="00FC2C4A" w:rsidRDefault="00FC2C4A">
      <w:pPr>
        <w:widowControl/>
        <w:adjustRightInd w:val="0"/>
        <w:snapToGrid w:val="0"/>
        <w:spacing w:line="360" w:lineRule="auto"/>
        <w:rPr>
          <w:rFonts w:ascii="楷体" w:eastAsia="楷体" w:hAnsi="楷体" w:hint="eastAsia"/>
          <w:sz w:val="32"/>
        </w:rPr>
      </w:pPr>
      <w:r>
        <w:rPr>
          <w:rFonts w:ascii="楷体" w:eastAsia="楷体" w:hAnsi="楷体" w:hint="eastAsia"/>
          <w:sz w:val="32"/>
        </w:rPr>
        <w:t xml:space="preserve">    2.1</w:t>
      </w:r>
      <w:r>
        <w:rPr>
          <w:rFonts w:ascii="楷体" w:eastAsia="楷体" w:hAnsi="楷体" w:hint="eastAsia"/>
          <w:sz w:val="32"/>
        </w:rPr>
        <w:t>国家重大海上溢油应急处置部际联席会议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部际联席会议负责组织、指导全国重大海上溢油应急处置工作。启动应急响应后，国家重大海上溢油应急处置部际联席会议负责组织协调有关力量，开展国家重大海上溢油应急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由国务院统一组织开展的海上溢油应急处置行动，按照有关要求执行。</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国家重大海上溢油应急处置部际联席会议的主要工作职责如下：</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1</w:t>
      </w:r>
      <w:r>
        <w:rPr>
          <w:rFonts w:ascii="仿宋_GB2312" w:eastAsia="仿宋_GB2312" w:hAnsi="仿宋_GB2312" w:hint="eastAsia"/>
          <w:sz w:val="32"/>
          <w:szCs w:val="28"/>
        </w:rPr>
        <w:t>）负责传达和贯彻落实党中央、国务院、中央军委的指示，负责向国务院汇报应急行动进展和其他重大事项。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）负责协调安排成员单位的工作任务（成员单位的职责及分工详见附件</w:t>
      </w:r>
      <w:r>
        <w:rPr>
          <w:rFonts w:ascii="仿宋_GB2312" w:eastAsia="仿宋_GB2312" w:hAnsi="仿宋_GB2312" w:hint="eastAsia"/>
          <w:sz w:val="32"/>
          <w:szCs w:val="28"/>
        </w:rPr>
        <w:t>1</w:t>
      </w:r>
      <w:r>
        <w:rPr>
          <w:rFonts w:ascii="仿宋_GB2312" w:eastAsia="仿宋_GB2312" w:hAnsi="仿宋_GB2312" w:hint="eastAsia"/>
          <w:sz w:val="32"/>
          <w:szCs w:val="28"/>
        </w:rPr>
        <w:t>），协调解决应急过程中遇到的重大问题，遇有不能决策的事项，负责向国务院请示。</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3</w:t>
      </w:r>
      <w:r>
        <w:rPr>
          <w:rFonts w:ascii="仿宋_GB2312" w:eastAsia="仿宋_GB2312" w:hAnsi="仿宋_GB2312" w:hint="eastAsia"/>
          <w:sz w:val="32"/>
          <w:szCs w:val="28"/>
        </w:rPr>
        <w:t>）负责根据有关方面的请求及事态发展的需要，协调合理范围内的海上溢油应急力量和综合保障力量，对国家重大海上溢油事件的应急处置给予协助和支持。</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）负责组织、协调、指挥跨省级人民政府管辖区域的国家重大海上溢油应急行动；负责协调军队和武警部队参与应急行动。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5</w:t>
      </w:r>
      <w:r>
        <w:rPr>
          <w:rFonts w:ascii="仿宋_GB2312" w:eastAsia="仿宋_GB2312" w:hAnsi="仿宋_GB2312" w:hint="eastAsia"/>
          <w:sz w:val="32"/>
          <w:szCs w:val="28"/>
        </w:rPr>
        <w:t>）负责协调与海上溢油应急相关的涉外事务和国际援助；负责其他特别状态下的海上溢油应急工作的协调。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6</w:t>
      </w:r>
      <w:r>
        <w:rPr>
          <w:rFonts w:ascii="仿宋_GB2312" w:eastAsia="仿宋_GB2312" w:hAnsi="仿宋_GB2312" w:hint="eastAsia"/>
          <w:sz w:val="32"/>
          <w:szCs w:val="28"/>
        </w:rPr>
        <w:t>）负责监督参与国家重大海上溢油应急处置行动的有关单位执行本预案的情况。</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7</w:t>
      </w:r>
      <w:r>
        <w:rPr>
          <w:rFonts w:ascii="仿宋_GB2312" w:eastAsia="仿宋_GB2312" w:hAnsi="仿宋_GB2312" w:hint="eastAsia"/>
          <w:sz w:val="32"/>
          <w:szCs w:val="28"/>
        </w:rPr>
        <w:t>）负责或者授权相关部门和单位进行信息发布、宣传等工作。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lastRenderedPageBreak/>
        <w:t xml:space="preserve">    2.2</w:t>
      </w:r>
      <w:r>
        <w:rPr>
          <w:rFonts w:ascii="楷体" w:eastAsia="楷体" w:hAnsi="楷体" w:hint="eastAsia"/>
          <w:sz w:val="32"/>
        </w:rPr>
        <w:t>相关部门和单位</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相关行业行政主管部门和有关企事业单位应当按照本预案要求，在其职责范围内协调有关力量，核实海上溢油情况，评估事件规模，并及时通报中国海上溢油应急中心和其他有关单位。</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启动应急响应后，相关行业行政主管部门和有关企事业单位应当根据本预案的要求，组织协调本部门、本单位有关力量开展应急处置工作。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2.3</w:t>
      </w:r>
      <w:r>
        <w:rPr>
          <w:rFonts w:ascii="楷体" w:eastAsia="楷体" w:hAnsi="楷体" w:hint="eastAsia"/>
          <w:sz w:val="32"/>
        </w:rPr>
        <w:t>中国海上溢油应急中心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中国海上溢油应急中心是国家重大海上溢油应急处置部际联席会议的日常办事机构，负责与成员单位和地方人民政府的沟通联络，其工作职责如下：</w:t>
      </w:r>
      <w:r>
        <w:rPr>
          <w:rFonts w:ascii="仿宋_GB2312" w:eastAsia="仿宋_GB2312" w:hAnsi="仿宋_GB2312" w:hint="eastAsia"/>
          <w:sz w:val="32"/>
          <w:szCs w:val="28"/>
        </w:rPr>
        <w:t xml:space="preserve"> </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）承担国家重大海上溢油应急处置部际联席会议的日常工作。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）负责接收国家重大海上溢油报告，并向国家重大海上溢油应急处置部际联席会议各成员单位通报有关情况。</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3</w:t>
      </w:r>
      <w:r>
        <w:rPr>
          <w:rFonts w:ascii="仿宋_GB2312" w:eastAsia="仿宋_GB2312" w:hAnsi="仿宋_GB2312" w:hint="eastAsia"/>
          <w:sz w:val="32"/>
          <w:szCs w:val="28"/>
        </w:rPr>
        <w:t>）负责临时召开全体或者部分国家重大海上溢油应急处置部际联席会议成员单位联络员会议。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）负责协调核实重大海上溢油情况，组织开展预评估。</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5</w:t>
      </w:r>
      <w:r>
        <w:rPr>
          <w:rFonts w:ascii="仿宋_GB2312" w:eastAsia="仿宋_GB2312" w:hAnsi="仿宋_GB2312" w:hint="eastAsia"/>
          <w:sz w:val="32"/>
          <w:szCs w:val="28"/>
        </w:rPr>
        <w:t>）执行国家重大海上溢油应急处置部际联席会议的指令，开展国家重大海上溢油应急组织协调工作。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6</w:t>
      </w:r>
      <w:r>
        <w:rPr>
          <w:rFonts w:ascii="仿宋_GB2312" w:eastAsia="仿宋_GB2312" w:hAnsi="仿宋_GB2312" w:hint="eastAsia"/>
          <w:sz w:val="32"/>
          <w:szCs w:val="28"/>
        </w:rPr>
        <w:t>）负责跟踪国家重大海上溢油后续处置工作。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7</w:t>
      </w:r>
      <w:r>
        <w:rPr>
          <w:rFonts w:ascii="仿宋_GB2312" w:eastAsia="仿宋_GB2312" w:hAnsi="仿宋_GB2312" w:hint="eastAsia"/>
          <w:sz w:val="32"/>
          <w:szCs w:val="28"/>
        </w:rPr>
        <w:t>）负责组织国家重大海上溢油应急处置的后评估工作。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8</w:t>
      </w:r>
      <w:r>
        <w:rPr>
          <w:rFonts w:ascii="仿宋_GB2312" w:eastAsia="仿宋_GB2312" w:hAnsi="仿宋_GB2312" w:hint="eastAsia"/>
          <w:sz w:val="32"/>
          <w:szCs w:val="28"/>
        </w:rPr>
        <w:t>）负责建立海上溢油应急联动协调机制。</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9</w:t>
      </w:r>
      <w:r>
        <w:rPr>
          <w:rFonts w:ascii="仿宋_GB2312" w:eastAsia="仿宋_GB2312" w:hAnsi="仿宋_GB2312" w:hint="eastAsia"/>
          <w:sz w:val="32"/>
          <w:szCs w:val="28"/>
        </w:rPr>
        <w:t>）制定国家重大海上溢油应急培训与演练计划，并定期组织应急预案框架下的培训和演练。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10</w:t>
      </w:r>
      <w:r>
        <w:rPr>
          <w:rFonts w:ascii="仿宋_GB2312" w:eastAsia="仿宋_GB2312" w:hAnsi="仿宋_GB2312" w:hint="eastAsia"/>
          <w:sz w:val="32"/>
          <w:szCs w:val="28"/>
        </w:rPr>
        <w:t>）提出国家重大海上溢油应急处置预案修订建议。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11</w:t>
      </w:r>
      <w:r>
        <w:rPr>
          <w:rFonts w:ascii="仿宋_GB2312" w:eastAsia="仿宋_GB2312" w:hAnsi="仿宋_GB2312" w:hint="eastAsia"/>
          <w:sz w:val="32"/>
          <w:szCs w:val="28"/>
        </w:rPr>
        <w:t>）承办党中央、国务院、中央军委及国家重大海上溢油应急处置部际联席会议交办的其他重大海上溢油应急处置事项。</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2.4</w:t>
      </w:r>
      <w:r>
        <w:rPr>
          <w:rFonts w:ascii="楷体" w:eastAsia="楷体" w:hAnsi="楷体" w:hint="eastAsia"/>
          <w:sz w:val="32"/>
        </w:rPr>
        <w:t>联合指挥部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国家重大海上溢油应急处置部际联席会议可以根据应急处置工作需要成立联合指挥部，负责部际层面的组织协调指挥工作。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联合指挥部可以下设综合协调组、应急行动组、医疗救护组、综合保障组、信息发布与宣传组、治安保障组等（各组成员与职责见附件</w:t>
      </w:r>
      <w:r>
        <w:rPr>
          <w:rFonts w:ascii="仿宋_GB2312" w:eastAsia="仿宋_GB2312" w:hAnsi="仿宋_GB2312" w:hint="eastAsia"/>
          <w:sz w:val="32"/>
          <w:szCs w:val="28"/>
        </w:rPr>
        <w:t>2</w:t>
      </w:r>
      <w:r>
        <w:rPr>
          <w:rFonts w:ascii="仿宋_GB2312" w:eastAsia="仿宋_GB2312" w:hAnsi="仿宋_GB2312" w:hint="eastAsia"/>
          <w:sz w:val="32"/>
          <w:szCs w:val="28"/>
        </w:rPr>
        <w:t>）。各工作组组长由该组牵头单位的负责人担任，组员由参加单位的相关人员组成。必要时，联合指挥部可以派出现场工作组，协助现场指挥部开展工作。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2.5</w:t>
      </w:r>
      <w:r>
        <w:rPr>
          <w:rFonts w:ascii="楷体" w:eastAsia="楷体" w:hAnsi="楷体" w:hint="eastAsia"/>
          <w:sz w:val="32"/>
        </w:rPr>
        <w:t>现场指挥部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启动应急响应后，事发地或受海上溢油影响的省级人民政府或者相关单位成立现场指挥部，驻地军队、武警部队参加，负责牵头组织海上溢油的现场处置工作。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现场指挥部工作职责如下：</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）负责协调组织地方政府相关部门、驻地相关单位、驻地军事部门的有关力量，开展现场应急行动。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）负责统一指挥和调度由国家重大海上溢油应急处置部际联席会议协调的相关应急力量。</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3</w:t>
      </w:r>
      <w:r>
        <w:rPr>
          <w:rFonts w:ascii="仿宋_GB2312" w:eastAsia="仿宋_GB2312" w:hAnsi="仿宋_GB2312" w:hint="eastAsia"/>
          <w:sz w:val="32"/>
          <w:szCs w:val="28"/>
        </w:rPr>
        <w:t>）负责监督、跟踪、评估海上溢油事件和应急行动进展，及时收集汇总相关信息，向国家重大海上溢油应急处置部际联席会议（中国海上溢油应急中心）报告。</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）负责在国家应急响应行动终止后继续完成后续工作，并将后期处置情况及时通报中国海上溢油应急中心。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5</w:t>
      </w:r>
      <w:r>
        <w:rPr>
          <w:rFonts w:ascii="仿宋_GB2312" w:eastAsia="仿宋_GB2312" w:hAnsi="仿宋_GB2312" w:hint="eastAsia"/>
          <w:sz w:val="32"/>
          <w:szCs w:val="28"/>
        </w:rPr>
        <w:t>）负责完成国家重大海上溢油应急处置部际联席会议交办的其他任务。</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对于事发地或受影响的海域超出省级人民政府管辖范围或者管辖权有争议的，由国家重大海上溢油应急处置部际联席会议请示国务院，确定现场指挥部和现场总指挥。</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2.6</w:t>
      </w:r>
      <w:r>
        <w:rPr>
          <w:rFonts w:ascii="楷体" w:eastAsia="楷体" w:hAnsi="楷体" w:hint="eastAsia"/>
          <w:sz w:val="32"/>
        </w:rPr>
        <w:t>专家组</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国家重大海上溢油应急处置部际联席会议设立国家重大海上溢油应急处置专家组，由国家重大海上溢油应急处置部际联席会议成员单位推荐的专家担任。其工作职责如下：</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）参与预评估工作。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）负责为国家重大海上溢油应急处置部际联席会议提供法律、财务、外交、技术等相关领域的咨询和建议。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3</w:t>
      </w:r>
      <w:r>
        <w:rPr>
          <w:rFonts w:ascii="仿宋_GB2312" w:eastAsia="仿宋_GB2312" w:hAnsi="仿宋_GB2312" w:hint="eastAsia"/>
          <w:sz w:val="32"/>
          <w:szCs w:val="28"/>
        </w:rPr>
        <w:t>）根据其专业分工，参与各相关应急工作组的讨论和方案制定。</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）负责为海上溢油应急决策提供相应的技术支持。</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5</w:t>
      </w:r>
      <w:r>
        <w:rPr>
          <w:rFonts w:ascii="仿宋_GB2312" w:eastAsia="仿宋_GB2312" w:hAnsi="仿宋_GB2312" w:hint="eastAsia"/>
          <w:sz w:val="32"/>
          <w:szCs w:val="28"/>
        </w:rPr>
        <w:t>）负责协助中国海上溢油应急中心开展日常技术指导工作。</w:t>
      </w:r>
    </w:p>
    <w:p w:rsidR="00FC2C4A" w:rsidRDefault="00FC2C4A">
      <w:pPr>
        <w:widowControl/>
        <w:adjustRightInd w:val="0"/>
        <w:snapToGrid w:val="0"/>
        <w:spacing w:line="360" w:lineRule="auto"/>
        <w:ind w:firstLineChars="200" w:firstLine="640"/>
        <w:rPr>
          <w:b/>
          <w:sz w:val="32"/>
        </w:rPr>
      </w:pPr>
      <w:r>
        <w:rPr>
          <w:rFonts w:ascii="仿宋_GB2312" w:eastAsia="仿宋_GB2312" w:hAnsi="仿宋_GB2312" w:hint="eastAsia"/>
          <w:sz w:val="32"/>
          <w:szCs w:val="28"/>
        </w:rPr>
        <w:t>国务院行业行政主管部门和省级人民政府可根据需要，自行设立专家组。</w:t>
      </w:r>
    </w:p>
    <w:p w:rsidR="00FC2C4A" w:rsidRDefault="00FC2C4A">
      <w:pPr>
        <w:widowControl/>
        <w:adjustRightInd w:val="0"/>
        <w:snapToGrid w:val="0"/>
        <w:spacing w:line="360" w:lineRule="auto"/>
        <w:ind w:firstLineChars="200" w:firstLine="640"/>
        <w:rPr>
          <w:rFonts w:ascii="黑体" w:eastAsia="黑体"/>
          <w:sz w:val="36"/>
          <w:szCs w:val="36"/>
        </w:rPr>
      </w:pPr>
      <w:r>
        <w:rPr>
          <w:rFonts w:ascii="黑体" w:eastAsia="黑体" w:hAnsi="黑体" w:hint="eastAsia"/>
          <w:sz w:val="32"/>
          <w:szCs w:val="36"/>
        </w:rPr>
        <w:t xml:space="preserve">3 </w:t>
      </w:r>
      <w:r>
        <w:rPr>
          <w:rFonts w:ascii="黑体" w:eastAsia="黑体" w:hAnsi="黑体" w:hint="eastAsia"/>
          <w:sz w:val="32"/>
          <w:szCs w:val="36"/>
        </w:rPr>
        <w:t>监测预警和信息报告</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3.1</w:t>
      </w:r>
      <w:r>
        <w:rPr>
          <w:rFonts w:ascii="楷体" w:eastAsia="楷体" w:hAnsi="楷体" w:hint="eastAsia"/>
          <w:sz w:val="32"/>
        </w:rPr>
        <w:t>监测和风险分析</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相关企事业单位和其他生产经营者应当根据行业特点和规律，建立健全海上溢油监测体系，加大对生产经营过程中海上溢油的监测力度，定期排查海上溢油风险隐患，开展海上溢油风险评估，健全风险防控措施。当出现可能导致国家重大海上溢油的情况时，要及时将有关情况报告当地人民政府和行业行政主管部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省级人民政府和行业行政主管部门按照职责分工，加强对管辖区域内潜在海上溢油风险源的日常监测，建立健全定</w:t>
      </w:r>
      <w:r>
        <w:rPr>
          <w:rFonts w:ascii="仿宋_GB2312" w:eastAsia="仿宋_GB2312" w:hAnsi="仿宋_GB2312" w:hint="eastAsia"/>
          <w:sz w:val="32"/>
          <w:szCs w:val="28"/>
        </w:rPr>
        <w:lastRenderedPageBreak/>
        <w:t>期会商和信息共享机制，对可能导致国家重大海上溢油的风险信息加强收集、分析和研判。</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3.2</w:t>
      </w:r>
      <w:r>
        <w:rPr>
          <w:rFonts w:ascii="楷体" w:eastAsia="楷体" w:hAnsi="楷体" w:hint="eastAsia"/>
          <w:sz w:val="32"/>
        </w:rPr>
        <w:t>预警</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 xml:space="preserve">3.2.1 </w:t>
      </w:r>
      <w:r>
        <w:rPr>
          <w:rFonts w:ascii="仿宋_GB2312" w:eastAsia="仿宋_GB2312" w:hAnsi="仿宋_GB2312" w:hint="eastAsia"/>
          <w:sz w:val="32"/>
          <w:szCs w:val="28"/>
        </w:rPr>
        <w:t>预警信息发布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相关省级人民政府和行业行政主管部门研判可能发生国家重大海上溢油时，应当及时通过国家预警发布系统、电视、广播、报纸、互联网、手机短信、当面告知等渠道或方式向管辖区域公众发布预警信息，通报海上溢油可能影响到的相关地区，并报告中国海上溢油应急中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 xml:space="preserve">3.2.2 </w:t>
      </w:r>
      <w:r>
        <w:rPr>
          <w:rFonts w:ascii="仿宋_GB2312" w:eastAsia="仿宋_GB2312" w:hAnsi="仿宋_GB2312" w:hint="eastAsia"/>
          <w:sz w:val="32"/>
          <w:szCs w:val="28"/>
        </w:rPr>
        <w:t>预警行动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中国海上溢油应急中心接到国家重大海上溢油的预警报告后，应当立即采取预警行动，视具体情况可以要求有关省级人民政府或者国务院行业行政主管部门配合采取以下措施：</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）信息核实。包括核实溢油源位置及周边的气象条件、流场和海况条件、溢油原因、溢油源的类型、泄漏油品的种类和已造成的污染情况等。</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2</w:t>
      </w:r>
      <w:r>
        <w:rPr>
          <w:rFonts w:ascii="仿宋_GB2312" w:eastAsia="仿宋_GB2312" w:hAnsi="仿宋_GB2312" w:hint="eastAsia"/>
          <w:sz w:val="32"/>
          <w:szCs w:val="28"/>
        </w:rPr>
        <w:t>）预评估。包括预估溢油量，预测海上溢油的扩展态势和可能对生态环境、社会财产造成的损害；评估海上溢油引发火灾、爆炸及其他次生事故的风险以及可能对人身安全、公众健康造成的损害等。</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3</w:t>
      </w:r>
      <w:r>
        <w:rPr>
          <w:rFonts w:ascii="仿宋_GB2312" w:eastAsia="仿宋_GB2312" w:hAnsi="仿宋_GB2312" w:hint="eastAsia"/>
          <w:sz w:val="32"/>
          <w:szCs w:val="28"/>
        </w:rPr>
        <w:t>）应急行动准备。临时召开全体或者部分国家重大海上溢油应急处置部际联席会议成员单位联络员会议，邀请相关专家参加，初步确定事件等级；将相关信息报告国务院和国家重大海上溢油应急处置部际联席会议召集人，通报国家重大海上溢油应急处置部际联席会议各成员单位。通知国家重大海上溢油应急处置部际联席会议有关成员单位和事发地或者可能受影响地区的省级人民政府，做好应急人员、物资、装备的准备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）舆论引导。及时准确发布事态最新情况，加强舆情监测，组织专家解读，做好舆论引导工作。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 xml:space="preserve">3.2.3 </w:t>
      </w:r>
      <w:r>
        <w:rPr>
          <w:rFonts w:ascii="仿宋_GB2312" w:eastAsia="仿宋_GB2312" w:hAnsi="仿宋_GB2312" w:hint="eastAsia"/>
          <w:sz w:val="32"/>
          <w:szCs w:val="28"/>
        </w:rPr>
        <w:t>预警解除</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相关省级人民政府和行业行政主管部门经研判引发国家重大海上溢油的可能性已经消除时，应当在报告中国海上溢油应急中心后，宣布解除预警，并适时终止相关措施。</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3.3</w:t>
      </w:r>
      <w:r>
        <w:rPr>
          <w:rFonts w:ascii="楷体" w:eastAsia="楷体" w:hAnsi="楷体" w:hint="eastAsia"/>
          <w:sz w:val="32"/>
        </w:rPr>
        <w:t>信息报告</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 xml:space="preserve">3.3.1 </w:t>
      </w:r>
      <w:r>
        <w:rPr>
          <w:rFonts w:ascii="仿宋_GB2312" w:eastAsia="仿宋_GB2312" w:hAnsi="仿宋_GB2312" w:hint="eastAsia"/>
          <w:sz w:val="32"/>
          <w:szCs w:val="28"/>
        </w:rPr>
        <w:t>信息报告程序</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发现海上溢油后，相关单位和个人有义务采取适当的形式向有关单位报告基本情况；接报的单位应当根据相关预案规定，立即向海上溢油应急组织指挥机构报告相关信息。</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接报的海上溢油应急组织指挥机构应当立即核实情况，收集、汇总、分析相关信息，并做好信息报送及部门间的信息共享工作。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经核实和分析后，对于可能发生的国家重大海上溢油事件，省级行业行政主管部门应当立即向中国海上溢油应急中心和省级人民政府报告，中国海上溢油应急中心和省级人民政府按照有关规定及时向国务院报告。中国海上溢油应急中心可以要求有关省级人民政府或者行业行政主管部门做出补充报告。</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 xml:space="preserve">3.3.2 </w:t>
      </w:r>
      <w:r>
        <w:rPr>
          <w:rFonts w:ascii="仿宋_GB2312" w:eastAsia="仿宋_GB2312" w:hAnsi="仿宋_GB2312" w:hint="eastAsia"/>
          <w:sz w:val="32"/>
          <w:szCs w:val="28"/>
        </w:rPr>
        <w:t>信息报告内容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信息报告内容应尽量详尽，包括海上溢油事件的发生时间、地点、信息来源、起因和性质、基本过程、海上溢油种类和数量、人员受害情况、环境敏感点受影响情况、发展趋势、处置情况、拟采取的措施以及下一步工作建议等情况。</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 xml:space="preserve">3.3.3 </w:t>
      </w:r>
      <w:r>
        <w:rPr>
          <w:rFonts w:ascii="仿宋_GB2312" w:eastAsia="仿宋_GB2312" w:hAnsi="仿宋_GB2312" w:hint="eastAsia"/>
          <w:sz w:val="32"/>
          <w:szCs w:val="28"/>
        </w:rPr>
        <w:t>信息报告方式</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海上溢油事件信息应当采用传真、网络等方式书面报告；必要时，可通过电话报告，并及时补充书面报告。书面报告应注明报告单位、签发人、联系人及联系方式等内容。</w:t>
      </w:r>
    </w:p>
    <w:p w:rsidR="00FC2C4A" w:rsidRDefault="00FC2C4A">
      <w:pPr>
        <w:widowControl/>
        <w:adjustRightInd w:val="0"/>
        <w:snapToGrid w:val="0"/>
        <w:spacing w:line="360" w:lineRule="auto"/>
        <w:ind w:firstLineChars="200" w:firstLine="640"/>
        <w:rPr>
          <w:rFonts w:ascii="黑体" w:eastAsia="黑体"/>
          <w:sz w:val="36"/>
          <w:szCs w:val="36"/>
        </w:rPr>
      </w:pPr>
      <w:r>
        <w:rPr>
          <w:rFonts w:ascii="黑体" w:eastAsia="黑体" w:hint="eastAsia"/>
          <w:sz w:val="32"/>
          <w:szCs w:val="36"/>
        </w:rPr>
        <w:t xml:space="preserve">4 </w:t>
      </w:r>
      <w:r>
        <w:rPr>
          <w:rFonts w:ascii="黑体" w:eastAsia="黑体"/>
          <w:sz w:val="32"/>
          <w:szCs w:val="36"/>
        </w:rPr>
        <w:t>应急</w:t>
      </w:r>
      <w:r>
        <w:rPr>
          <w:rFonts w:ascii="黑体" w:eastAsia="黑体" w:hint="eastAsia"/>
          <w:sz w:val="32"/>
          <w:szCs w:val="36"/>
        </w:rPr>
        <w:t>响应</w:t>
      </w:r>
      <w:r>
        <w:rPr>
          <w:rFonts w:ascii="黑体" w:eastAsia="黑体"/>
          <w:sz w:val="32"/>
          <w:szCs w:val="36"/>
        </w:rPr>
        <w:t>和处置</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4.1</w:t>
      </w:r>
      <w:r>
        <w:rPr>
          <w:rFonts w:ascii="楷体" w:eastAsia="楷体" w:hAnsi="楷体" w:hint="eastAsia"/>
          <w:sz w:val="32"/>
        </w:rPr>
        <w:t>应急响应启动条件</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）预警阶段评估结果为国家重大海上溢油，且经国家重大海上溢油应急处置部际联席会议会商同意，或者报请国务院同意，认为应当按照预案要求启动应急响应。</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）应国家重大海上溢油应急处置部际联席会议成员单位或者省级人民政府请求，且经国家重大海上溢油应急处</w:t>
      </w:r>
      <w:r>
        <w:rPr>
          <w:rFonts w:ascii="仿宋_GB2312" w:eastAsia="仿宋_GB2312" w:hAnsi="仿宋_GB2312" w:hint="eastAsia"/>
          <w:sz w:val="32"/>
          <w:szCs w:val="28"/>
        </w:rPr>
        <w:lastRenderedPageBreak/>
        <w:t>置部际联席会议会商同意，认为应当按照预案要求启动应急响应。</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符合上述条件之一时，应当由国家重大海上溢油应急处置部际联席会议召集人或其授权人宣布启动应急响应，采取相关应急措施。国务院可以直接决定启动应急响应。</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4.2</w:t>
      </w:r>
      <w:r>
        <w:rPr>
          <w:rFonts w:ascii="楷体" w:eastAsia="楷体" w:hAnsi="楷体" w:hint="eastAsia"/>
          <w:sz w:val="32"/>
        </w:rPr>
        <w:t>国家响应措施</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启动应急响应后，国家重大海上溢油应急处置部际联席会议实施国家响应措施，组织、协调、指挥国家重大海上溢油的应急处置工作，主要包括：</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1</w:t>
      </w:r>
      <w:r>
        <w:rPr>
          <w:rFonts w:ascii="仿宋_GB2312" w:eastAsia="仿宋_GB2312" w:hAnsi="仿宋_GB2312" w:hint="eastAsia"/>
          <w:sz w:val="32"/>
          <w:szCs w:val="28"/>
        </w:rPr>
        <w:t>）指导现场指挥部制定海上溢油应急处置方案；根据事态发展，派出现场工作组，指导和监督现场应急处置工作。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2</w:t>
      </w:r>
      <w:r>
        <w:rPr>
          <w:rFonts w:ascii="仿宋_GB2312" w:eastAsia="仿宋_GB2312" w:hAnsi="仿宋_GB2312" w:hint="eastAsia"/>
          <w:sz w:val="32"/>
          <w:szCs w:val="28"/>
        </w:rPr>
        <w:t>）应现场指挥部或者国务院行业行政主管部门的请求，协调各成员单位及其他有关力量参加监视监测、污染清除等海上溢油应急处置工作。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3</w:t>
      </w:r>
      <w:r>
        <w:rPr>
          <w:rFonts w:ascii="仿宋_GB2312" w:eastAsia="仿宋_GB2312" w:hAnsi="仿宋_GB2312" w:hint="eastAsia"/>
          <w:sz w:val="32"/>
          <w:szCs w:val="28"/>
        </w:rPr>
        <w:t>）应现场指挥部请求，协调车辆、船舶、飞机等交通运输工具，以及场地、码头、油污储运等设施，用于应急</w:t>
      </w:r>
      <w:r>
        <w:rPr>
          <w:rFonts w:ascii="仿宋_GB2312" w:eastAsia="仿宋_GB2312" w:hAnsi="仿宋_GB2312" w:hint="eastAsia"/>
          <w:sz w:val="32"/>
          <w:szCs w:val="28"/>
        </w:rPr>
        <w:lastRenderedPageBreak/>
        <w:t>人员和物资的运输、回收的油类和油污废弃物的储存运输和处置；协调通信设备设施和通信渠道。</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4</w:t>
      </w:r>
      <w:r>
        <w:rPr>
          <w:rFonts w:ascii="仿宋_GB2312" w:eastAsia="仿宋_GB2312" w:hAnsi="仿宋_GB2312" w:hint="eastAsia"/>
          <w:sz w:val="32"/>
          <w:szCs w:val="28"/>
        </w:rPr>
        <w:t>）应现场指挥部请求，协调安排生活物资和医疗卫生队伍支援，并提供气象信息及物资通关、治安、人员出入境等各项保障。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5</w:t>
      </w:r>
      <w:r>
        <w:rPr>
          <w:rFonts w:ascii="仿宋_GB2312" w:eastAsia="仿宋_GB2312" w:hAnsi="仿宋_GB2312" w:hint="eastAsia"/>
          <w:sz w:val="32"/>
          <w:szCs w:val="28"/>
        </w:rPr>
        <w:t>）应现场指挥部请求，协调有关力量，对可能受海上溢油污染的动植物、重要敏感区域等目标进行保护，对已受到污染的目标进行重点清理或者开展清洗、救助、转移等工作。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6</w:t>
      </w:r>
      <w:r>
        <w:rPr>
          <w:rFonts w:ascii="仿宋_GB2312" w:eastAsia="仿宋_GB2312" w:hAnsi="仿宋_GB2312" w:hint="eastAsia"/>
          <w:sz w:val="32"/>
          <w:szCs w:val="28"/>
        </w:rPr>
        <w:t>）负责统一发布或者授权有关单位发布海上溢油相关信息；收集分析舆情，协调、指导海上溢油应急处置宣传报道工作。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w:t>
      </w:r>
      <w:r>
        <w:rPr>
          <w:rFonts w:ascii="仿宋_GB2312" w:eastAsia="仿宋_GB2312" w:hAnsi="仿宋_GB2312" w:hint="eastAsia"/>
          <w:sz w:val="32"/>
          <w:szCs w:val="28"/>
        </w:rPr>
        <w:t>7</w:t>
      </w:r>
      <w:r>
        <w:rPr>
          <w:rFonts w:ascii="仿宋_GB2312" w:eastAsia="仿宋_GB2312" w:hAnsi="仿宋_GB2312" w:hint="eastAsia"/>
          <w:sz w:val="32"/>
          <w:szCs w:val="28"/>
        </w:rPr>
        <w:t>）应现场指挥部请求或者根据事态发展需要，组织、协调或者决定国家重大海上溢油应急处置中的其他重大事项。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w:t>
      </w:r>
      <w:r>
        <w:rPr>
          <w:rFonts w:ascii="仿宋_GB2312" w:eastAsia="仿宋_GB2312" w:hAnsi="仿宋_GB2312" w:hint="eastAsia"/>
          <w:sz w:val="32"/>
          <w:szCs w:val="28"/>
        </w:rPr>
        <w:t>8</w:t>
      </w:r>
      <w:r>
        <w:rPr>
          <w:rFonts w:ascii="仿宋_GB2312" w:eastAsia="仿宋_GB2312" w:hAnsi="仿宋_GB2312" w:hint="eastAsia"/>
          <w:sz w:val="32"/>
          <w:szCs w:val="28"/>
        </w:rPr>
        <w:t>）需要国际援助时，应当按照我国已经加入或者缔结的溢油应急国际公约或地区性协议，协调相关国家和地区的力量、资源参与应急。</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4.3</w:t>
      </w:r>
      <w:r>
        <w:rPr>
          <w:rFonts w:ascii="楷体" w:eastAsia="楷体" w:hAnsi="楷体" w:hint="eastAsia"/>
          <w:sz w:val="32"/>
        </w:rPr>
        <w:t>地方响应措施</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海上溢油事件发生后，相关单位和地方人民政府应当依据有关预案，先行对海上溢油事件进行处置，并及时向上级单位报告相关信息。</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负责组织开展海上溢油评估、监视监测、重要目标保护、溢油源的封堵和控制、溢油围控与清除、油污储运与处置等应急响应措施。必要时，请求国家重大海上溢油应急处置部际联席会议提供指导和支援。</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4.3.1</w:t>
      </w:r>
      <w:r>
        <w:rPr>
          <w:rFonts w:ascii="仿宋_GB2312" w:eastAsia="仿宋_GB2312" w:hAnsi="仿宋_GB2312" w:hint="eastAsia"/>
          <w:sz w:val="32"/>
          <w:szCs w:val="28"/>
        </w:rPr>
        <w:t>海上溢油评估</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负责组织开展海上溢油评估工作，评估内容包括查明溢油源、海上溢油量，预测海上溢油扩散范围、评估海上溢油损害等，并适时组织相关单位评估海上溢油应急所需物资、装备、人员等，及时报告国家重大海上溢油应急处置部际联席会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4.3.2</w:t>
      </w:r>
      <w:r>
        <w:rPr>
          <w:rFonts w:ascii="仿宋_GB2312" w:eastAsia="仿宋_GB2312" w:hAnsi="仿宋_GB2312" w:hint="eastAsia"/>
          <w:sz w:val="32"/>
          <w:szCs w:val="28"/>
        </w:rPr>
        <w:t>海上溢油监视监测</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现场指挥部负责组织开展海上溢油监视监测工作，及时向国家重大海上溢油应急处置部际联席会议通报海上溢油污染的有关情况。</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事发地或者可能受污染海域的地方人民政府及相关力量应当充分利用各自监视监测网络，对其管辖海域、岸滩等进行监视监测，并及时向现场指挥部通报相关信息。</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4.3.3</w:t>
      </w:r>
      <w:r>
        <w:rPr>
          <w:rFonts w:ascii="仿宋_GB2312" w:eastAsia="仿宋_GB2312" w:hAnsi="仿宋_GB2312" w:hint="eastAsia"/>
          <w:sz w:val="32"/>
          <w:szCs w:val="28"/>
        </w:rPr>
        <w:t>重要目标保护</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负责组织力量，保护可能受海上溢油影响的核设施、易受损资源和其他敏感区域等，救助、清洗或转移受到海上溢油污染的动植物及其他重要目标，并及时向可能受影响的敏感区域的管理单位或者其他机构通报有关信息。</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4.3.4</w:t>
      </w:r>
      <w:r>
        <w:rPr>
          <w:rFonts w:ascii="仿宋_GB2312" w:eastAsia="仿宋_GB2312" w:hAnsi="仿宋_GB2312" w:hint="eastAsia"/>
          <w:sz w:val="32"/>
          <w:szCs w:val="28"/>
        </w:rPr>
        <w:t>海上溢油围控与清除</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现场指挥部应当根据海上溢油评估结果，制定海上溢油应急行动方案，组织相关应急力量，开展海上溢油的围控、回收、清除、焚烧和岸线油污清理、船体油污清洗、回收油</w:t>
      </w:r>
      <w:r>
        <w:rPr>
          <w:rFonts w:ascii="仿宋_GB2312" w:eastAsia="仿宋_GB2312" w:hAnsi="仿宋_GB2312" w:hint="eastAsia"/>
          <w:sz w:val="32"/>
          <w:szCs w:val="28"/>
        </w:rPr>
        <w:lastRenderedPageBreak/>
        <w:t>及油污废弃物的临时储存与转运，以及其他相关应急处置工作。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4.3.5</w:t>
      </w:r>
      <w:r>
        <w:rPr>
          <w:rFonts w:ascii="仿宋_GB2312" w:eastAsia="仿宋_GB2312" w:hAnsi="仿宋_GB2312" w:hint="eastAsia"/>
          <w:sz w:val="32"/>
          <w:szCs w:val="28"/>
        </w:rPr>
        <w:t>应急行动的管理、控制与信息发布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现场指挥部应当对海上溢油应急处置行动的全过程进行管理与控制。</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现场应急处置方案制定后，应当做书面记录；参与现场应急行动的有关单位应当保留应急行动全过程的相关影像或者文字记录。</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现场指挥部应当派遣指挥人员赴现场监督指导应急行动，督促落实现场指挥部指令，并保留相关影像和文字记录。</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负责收集海上溢油应急相关信息，分析地方相关舆情，并及时报告国家重大海上溢油应急处置部际联席会议；受国家重大海上溢油应急处置部际联席会议委托，现场指挥部负责协调、沟通相关媒体，发布相关信息。</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4.4</w:t>
      </w:r>
      <w:r>
        <w:rPr>
          <w:rFonts w:ascii="楷体" w:eastAsia="楷体" w:hAnsi="楷体" w:hint="eastAsia"/>
          <w:sz w:val="32"/>
        </w:rPr>
        <w:t>国家应急响应的终止</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经现场指挥部评估认为海上溢油已经得到有效控制和清除，不再需要国家层面支持，请求终止国家应急响应，国</w:t>
      </w:r>
      <w:r>
        <w:rPr>
          <w:rFonts w:ascii="仿宋_GB2312" w:eastAsia="仿宋_GB2312" w:hAnsi="仿宋_GB2312" w:hint="eastAsia"/>
          <w:sz w:val="32"/>
          <w:szCs w:val="28"/>
        </w:rPr>
        <w:lastRenderedPageBreak/>
        <w:t>家重大海上溢油应急处置部际联席会议可在专家组评估后，终止国家应急响应。</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国家重大海上溢油应急处置部际联席会议可自行组织评估，认为海上溢油已经得到有效控制和清除的，也可终止国家应急响应。</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地方人民政府及相关单位应当在国家应急响应终止后，继续组织开展后续工作。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pict>
          <v:shapetype id="_x0000_t202" coordsize="21600,21600" o:spt="202" path="m,l,21600r21600,l21600,xe">
            <v:stroke joinstyle="miter"/>
            <v:path gradientshapeok="t" o:connecttype="rect"/>
          </v:shapetype>
          <v:shape id="文本框 3" o:spid="_x0000_s1026" type="#_x0000_t202" style="position:absolute;margin-left:167.45pt;margin-top:47.15pt;width:102.1pt;height:42.45pt;z-index:251629056;mso-wrap-style:square">
            <v:textbox>
              <w:txbxContent>
                <w:p w:rsidR="00FC2C4A" w:rsidRDefault="00FC2C4A">
                  <w:pPr>
                    <w:snapToGrid w:val="0"/>
                    <w:spacing w:beforeLines="50" w:before="156"/>
                    <w:jc w:val="center"/>
                    <w:rPr>
                      <w:rFonts w:hint="eastAsia"/>
                    </w:rPr>
                  </w:pPr>
                  <w:r>
                    <w:rPr>
                      <w:rFonts w:hint="eastAsia"/>
                    </w:rPr>
                    <w:t>接警及评估</w:t>
                  </w:r>
                </w:p>
              </w:txbxContent>
            </v:textbox>
          </v:shape>
        </w:pict>
      </w:r>
      <w:r>
        <w:rPr>
          <w:rFonts w:ascii="楷体" w:eastAsia="楷体" w:hAnsi="楷体" w:hint="eastAsia"/>
          <w:sz w:val="32"/>
        </w:rPr>
        <w:t xml:space="preserve">    4.5</w:t>
      </w:r>
      <w:r>
        <w:rPr>
          <w:rFonts w:ascii="楷体" w:eastAsia="楷体" w:hAnsi="楷体" w:hint="eastAsia"/>
          <w:sz w:val="32"/>
        </w:rPr>
        <w:t>国家应急响应工作流程图</w:t>
      </w:r>
    </w:p>
    <w:p w:rsidR="00FC2C4A" w:rsidRDefault="00FC2C4A">
      <w:pPr>
        <w:widowControl/>
        <w:adjustRightInd w:val="0"/>
        <w:snapToGrid w:val="0"/>
        <w:spacing w:beforeLines="20" w:before="62" w:afterLines="20" w:after="62" w:line="580" w:lineRule="exact"/>
        <w:rPr>
          <w:b/>
          <w:sz w:val="32"/>
        </w:rPr>
      </w:pPr>
      <w:r>
        <w:rPr>
          <w:rFonts w:ascii="楷体" w:eastAsia="楷体" w:hAnsi="楷体" w:hint="eastAsia"/>
          <w:sz w:val="32"/>
        </w:rPr>
        <w:pict>
          <v:shape id="文本框 4" o:spid="_x0000_s1027" type="#_x0000_t202" style="position:absolute;left:0;text-align:left;margin-left:-1.35pt;margin-top:20pt;width:137.25pt;height:43.35pt;z-index:251628032;mso-wrap-style:square">
            <v:textbox>
              <w:txbxContent>
                <w:p w:rsidR="00FC2C4A" w:rsidRDefault="00FC2C4A">
                  <w:pPr>
                    <w:jc w:val="center"/>
                    <w:rPr>
                      <w:rFonts w:hint="eastAsia"/>
                    </w:rPr>
                  </w:pPr>
                  <w:r>
                    <w:rPr>
                      <w:rFonts w:hint="eastAsia"/>
                    </w:rPr>
                    <w:t>部际联席会议成员单位或省级人民政府请求</w:t>
                  </w:r>
                </w:p>
              </w:txbxContent>
            </v:textbox>
          </v:shape>
        </w:pict>
      </w:r>
    </w:p>
    <w:p w:rsidR="00FC2C4A" w:rsidRDefault="00FC2C4A">
      <w:pPr>
        <w:widowControl/>
        <w:adjustRightInd w:val="0"/>
        <w:snapToGrid w:val="0"/>
        <w:spacing w:line="360" w:lineRule="auto"/>
        <w:rPr>
          <w:rFonts w:ascii="黑体" w:eastAsia="黑体"/>
          <w:sz w:val="36"/>
          <w:szCs w:val="36"/>
        </w:rPr>
      </w:pPr>
      <w:r>
        <w:pict>
          <v:line id="直线 5" o:spid="_x0000_s1028" style="position:absolute;left:0;text-align:left;flip:x;z-index:251630080;mso-wrap-style:square" from="60.9pt,29.45pt" to="61.95pt,71.9pt">
            <v:stroke endarrow="block"/>
          </v:line>
        </w:pict>
      </w:r>
      <w:r>
        <w:pict>
          <v:line id="直线 6" o:spid="_x0000_s1029" style="position:absolute;left:0;text-align:left;flip:x;z-index:251631104;mso-wrap-style:square" from="219pt,27.75pt" to="220.2pt,71.45pt">
            <v:stroke endarrow="block"/>
          </v:line>
        </w:pict>
      </w:r>
      <w:r>
        <w:pict>
          <v:shape id="文本框 7" o:spid="_x0000_s1030" type="#_x0000_t202" style="position:absolute;left:0;text-align:left;margin-left:347.15pt;margin-top:468.25pt;width:32.45pt;height:24.4pt;z-index:251687424;mso-wrap-style:square" stroked="f">
            <v:textbox>
              <w:txbxContent>
                <w:p w:rsidR="00FC2C4A" w:rsidRDefault="00FC2C4A">
                  <w:pPr>
                    <w:rPr>
                      <w:rFonts w:hint="eastAsia"/>
                    </w:rPr>
                  </w:pPr>
                  <w:r>
                    <w:rPr>
                      <w:rFonts w:hint="eastAsia"/>
                    </w:rPr>
                    <w:t>否</w:t>
                  </w:r>
                </w:p>
              </w:txbxContent>
            </v:textbox>
          </v:shape>
        </w:pict>
      </w:r>
      <w:r>
        <w:pict>
          <v:shape id="文本框 8" o:spid="_x0000_s1031" type="#_x0000_t202" style="position:absolute;left:0;text-align:left;margin-left:224.15pt;margin-top:490.6pt;width:32.45pt;height:24.4pt;z-index:251683328;mso-wrap-style:square" stroked="f">
            <v:textbox>
              <w:txbxContent>
                <w:p w:rsidR="00FC2C4A" w:rsidRDefault="00FC2C4A">
                  <w:pPr>
                    <w:rPr>
                      <w:rFonts w:hint="eastAsia"/>
                    </w:rPr>
                  </w:pPr>
                  <w:r>
                    <w:rPr>
                      <w:rFonts w:hint="eastAsia"/>
                    </w:rPr>
                    <w:t>是</w:t>
                  </w:r>
                </w:p>
              </w:txbxContent>
            </v:textbox>
          </v:shape>
        </w:pict>
      </w:r>
      <w:r>
        <w:pict>
          <v:line id="直线 9" o:spid="_x0000_s1032" style="position:absolute;left:0;text-align:left;z-index:251675136;mso-wrap-style:square" from="333.1pt,432.2pt" to="343.95pt,432.25pt"/>
        </w:pict>
      </w:r>
      <w:r>
        <w:pict>
          <v:shape id="文本框 10" o:spid="_x0000_s1033" type="#_x0000_t202" style="position:absolute;left:0;text-align:left;margin-left:119.55pt;margin-top:329.05pt;width:81.3pt;height:42.45pt;z-index:251646464;mso-wrap-style:square">
            <v:textbox>
              <w:txbxContent>
                <w:p w:rsidR="00FC2C4A" w:rsidRDefault="00FC2C4A">
                  <w:pPr>
                    <w:snapToGrid w:val="0"/>
                    <w:spacing w:beforeLines="50" w:before="156"/>
                    <w:jc w:val="center"/>
                    <w:rPr>
                      <w:rFonts w:hint="eastAsia"/>
                    </w:rPr>
                  </w:pPr>
                  <w:r>
                    <w:rPr>
                      <w:rFonts w:hint="eastAsia"/>
                    </w:rPr>
                    <w:t>国家响应措施</w:t>
                  </w:r>
                </w:p>
              </w:txbxContent>
            </v:textbox>
          </v:shape>
        </w:pict>
      </w:r>
      <w:r>
        <w:pict>
          <v:shape id="文本框 11" o:spid="_x0000_s1034" type="#_x0000_t202" style="position:absolute;left:0;text-align:left;margin-left:14.05pt;margin-top:73.7pt;width:102.1pt;height:42.45pt;z-index:251633152;mso-wrap-style:square">
            <v:textbox>
              <w:txbxContent>
                <w:p w:rsidR="00FC2C4A" w:rsidRDefault="00FC2C4A">
                  <w:pPr>
                    <w:snapToGrid w:val="0"/>
                    <w:spacing w:beforeLines="50" w:before="156"/>
                    <w:jc w:val="center"/>
                    <w:rPr>
                      <w:rFonts w:hint="eastAsia"/>
                    </w:rPr>
                  </w:pPr>
                  <w:r>
                    <w:rPr>
                      <w:rFonts w:hint="eastAsia"/>
                    </w:rPr>
                    <w:t>部际联席会议同意</w:t>
                  </w:r>
                </w:p>
              </w:txbxContent>
            </v:textbox>
          </v:shape>
        </w:pict>
      </w:r>
      <w:r>
        <w:pict>
          <v:shape id="文本框 12" o:spid="_x0000_s1035" type="#_x0000_t202" style="position:absolute;left:0;text-align:left;margin-left:338.55pt;margin-top:70.2pt;width:100.95pt;height:42.45pt;z-index:251634176;mso-wrap-style:square">
            <v:textbox>
              <w:txbxContent>
                <w:p w:rsidR="00FC2C4A" w:rsidRDefault="00FC2C4A">
                  <w:pPr>
                    <w:snapToGrid w:val="0"/>
                    <w:spacing w:beforeLines="50" w:before="156"/>
                    <w:jc w:val="center"/>
                    <w:rPr>
                      <w:rFonts w:hint="eastAsia"/>
                    </w:rPr>
                  </w:pPr>
                  <w:r>
                    <w:rPr>
                      <w:rFonts w:hint="eastAsia"/>
                    </w:rPr>
                    <w:t>国务院</w:t>
                  </w:r>
                </w:p>
              </w:txbxContent>
            </v:textbox>
          </v:shape>
        </w:pict>
      </w:r>
      <w:r>
        <w:pict>
          <v:line id="直线 13" o:spid="_x0000_s1036" style="position:absolute;left:0;text-align:left;flip:x;z-index:251686400;mso-wrap-style:square" from="271.3pt,247.45pt" to="472.4pt,248.7pt">
            <v:stroke endarrow="block"/>
          </v:line>
        </w:pict>
      </w:r>
      <w:r>
        <w:pict>
          <v:line id="直线 14" o:spid="_x0000_s1037" style="position:absolute;left:0;text-align:left;flip:x;z-index:251685376;mso-wrap-style:square" from="473.85pt,247.8pt" to="473.9pt,463.8pt"/>
        </w:pict>
      </w:r>
      <w:r>
        <w:pict>
          <v:line id="直线 15" o:spid="_x0000_s1038" style="position:absolute;left:0;text-align:left;z-index:251684352;mso-wrap-style:square" from="270.5pt,461.95pt" to="471.55pt,462.55pt"/>
        </w:pict>
      </w:r>
      <w:r>
        <w:pict>
          <v:line id="直线 16" o:spid="_x0000_s1039" style="position:absolute;left:0;text-align:left;flip:x y;z-index:251682304;mso-wrap-style:square" from="201.75pt,354.45pt" to="238.85pt,354.5pt">
            <v:stroke endarrow="block"/>
          </v:line>
        </w:pict>
      </w:r>
      <w:r>
        <w:pict>
          <v:line id="直线 17" o:spid="_x0000_s1040" style="position:absolute;left:0;text-align:left;z-index:251681280;mso-wrap-style:square" from="201.8pt,347.2pt" to="240.65pt,347.25pt">
            <v:stroke endarrow="block"/>
          </v:line>
        </w:pict>
      </w:r>
      <w:r>
        <w:pict>
          <v:line id="直线 18" o:spid="_x0000_s1041" style="position:absolute;left:0;text-align:left;z-index:251680256;mso-wrap-style:square" from="321.7pt,353.7pt" to="332.55pt,353.75pt"/>
        </w:pict>
      </w:r>
      <w:r>
        <w:pict>
          <v:line id="直线 19" o:spid="_x0000_s1042" style="position:absolute;left:0;text-align:left;z-index:251679232;mso-wrap-style:square" from="332.5pt,282.6pt" to="343.35pt,282.65pt"/>
        </w:pict>
      </w:r>
      <w:r>
        <w:pict>
          <v:line id="直线 20" o:spid="_x0000_s1043" style="position:absolute;left:0;text-align:left;z-index:251678208;mso-wrap-style:square" from="333.4pt,320.4pt" to="344.25pt,320.45pt"/>
        </w:pict>
      </w:r>
      <w:r>
        <w:pict>
          <v:line id="直线 21" o:spid="_x0000_s1044" style="position:absolute;left:0;text-align:left;z-index:251677184;mso-wrap-style:square" from="333.4pt,353.7pt" to="344.25pt,353.75pt"/>
        </w:pict>
      </w:r>
      <w:r>
        <w:pict>
          <v:line id="直线 22" o:spid="_x0000_s1045" style="position:absolute;left:0;text-align:left;z-index:251676160;mso-wrap-style:square" from="334.3pt,393.3pt" to="345.15pt,393.35pt"/>
        </w:pict>
      </w:r>
      <w:r>
        <w:pict>
          <v:line id="直线 23" o:spid="_x0000_s1046" style="position:absolute;left:0;text-align:left;z-index:251674112;mso-wrap-style:square" from="333.05pt,283.35pt" to="333.1pt,432.45pt"/>
        </w:pict>
      </w:r>
      <w:r>
        <w:pict>
          <v:line id="直线 24" o:spid="_x0000_s1047" style="position:absolute;left:0;text-align:left;z-index:251673088;mso-wrap-style:square" from="95.5pt,280.5pt" to="106.35pt,280.55pt"/>
        </w:pict>
      </w:r>
      <w:r>
        <w:pict>
          <v:line id="直线 25" o:spid="_x0000_s1048" style="position:absolute;left:0;text-align:left;z-index:251672064;mso-wrap-style:square" from="94.6pt,316.5pt" to="105.45pt,316.55pt"/>
        </w:pict>
      </w:r>
      <w:r>
        <w:pict>
          <v:line id="直线 26" o:spid="_x0000_s1049" style="position:absolute;left:0;text-align:left;z-index:251671040;mso-wrap-style:square" from="94.6pt,355.2pt" to="105.45pt,355.25pt"/>
        </w:pict>
      </w:r>
      <w:r>
        <w:pict>
          <v:line id="直线 27" o:spid="_x0000_s1050" style="position:absolute;left:0;text-align:left;z-index:251670016;mso-wrap-style:square" from="107.2pt,355.2pt" to="118.05pt,355.25pt"/>
        </w:pict>
      </w:r>
      <w:r>
        <w:pict>
          <v:line id="直线 28" o:spid="_x0000_s1051" style="position:absolute;left:0;text-align:left;z-index:251668992;mso-wrap-style:square" from="94.6pt,392.1pt" to="105.45pt,392.15pt"/>
        </w:pict>
      </w:r>
      <w:r>
        <w:pict>
          <v:line id="直线 29" o:spid="_x0000_s1052" style="position:absolute;left:0;text-align:left;z-index:251667968;mso-wrap-style:square" from="95.2pt,431.4pt" to="106.05pt,431.45pt"/>
        </w:pict>
      </w:r>
      <w:r>
        <w:pict>
          <v:line id="直线 30" o:spid="_x0000_s1053" style="position:absolute;left:0;text-align:left;z-index:251666944;mso-wrap-style:square" from="105.95pt,281.25pt" to="106pt,430.35pt"/>
        </w:pict>
      </w:r>
      <w:r>
        <w:pict>
          <v:shape id="文本框 31" o:spid="_x0000_s1054" type="#_x0000_t202" style="position:absolute;left:0;text-align:left;margin-left:346.1pt;margin-top:271.75pt;width:111.2pt;height:27.85pt;z-index:251665920;mso-wrap-style:square">
            <v:textbox>
              <w:txbxContent>
                <w:p w:rsidR="00FC2C4A" w:rsidRDefault="00FC2C4A">
                  <w:pPr>
                    <w:jc w:val="center"/>
                    <w:rPr>
                      <w:rFonts w:hint="eastAsia"/>
                    </w:rPr>
                  </w:pPr>
                  <w:r>
                    <w:rPr>
                      <w:rFonts w:hint="eastAsia"/>
                    </w:rPr>
                    <w:t>海上溢油评估</w:t>
                  </w:r>
                </w:p>
              </w:txbxContent>
            </v:textbox>
          </v:shape>
        </w:pict>
      </w:r>
      <w:r>
        <w:pict>
          <v:shape id="文本框 32" o:spid="_x0000_s1055" type="#_x0000_t202" style="position:absolute;left:0;text-align:left;margin-left:346.1pt;margin-top:306.85pt;width:111.2pt;height:27.85pt;z-index:251664896;mso-wrap-style:square">
            <v:textbox>
              <w:txbxContent>
                <w:p w:rsidR="00FC2C4A" w:rsidRDefault="00FC2C4A">
                  <w:pPr>
                    <w:jc w:val="center"/>
                    <w:rPr>
                      <w:rFonts w:hint="eastAsia"/>
                    </w:rPr>
                  </w:pPr>
                  <w:r>
                    <w:rPr>
                      <w:rFonts w:hint="eastAsia"/>
                    </w:rPr>
                    <w:t>海上溢油监视监测</w:t>
                  </w:r>
                </w:p>
              </w:txbxContent>
            </v:textbox>
          </v:shape>
        </w:pict>
      </w:r>
      <w:r>
        <w:pict>
          <v:shape id="文本框 33" o:spid="_x0000_s1056" type="#_x0000_t202" style="position:absolute;left:0;text-align:left;margin-left:346.1pt;margin-top:342.85pt;width:111.2pt;height:27.85pt;z-index:251663872;mso-wrap-style:square">
            <v:textbox>
              <w:txbxContent>
                <w:p w:rsidR="00FC2C4A" w:rsidRDefault="00FC2C4A">
                  <w:pPr>
                    <w:jc w:val="center"/>
                    <w:rPr>
                      <w:rFonts w:hint="eastAsia"/>
                    </w:rPr>
                  </w:pPr>
                  <w:r>
                    <w:rPr>
                      <w:rFonts w:hint="eastAsia"/>
                    </w:rPr>
                    <w:t>重要目标保护</w:t>
                  </w:r>
                </w:p>
              </w:txbxContent>
            </v:textbox>
          </v:shape>
        </w:pict>
      </w:r>
      <w:r>
        <w:pict>
          <v:shape id="文本框 34" o:spid="_x0000_s1057" type="#_x0000_t202" style="position:absolute;left:0;text-align:left;margin-left:346.7pt;margin-top:378.55pt;width:111.2pt;height:27.85pt;z-index:251662848;mso-wrap-style:square">
            <v:textbox>
              <w:txbxContent>
                <w:p w:rsidR="00FC2C4A" w:rsidRDefault="00FC2C4A">
                  <w:pPr>
                    <w:jc w:val="center"/>
                    <w:rPr>
                      <w:rFonts w:hint="eastAsia"/>
                    </w:rPr>
                  </w:pPr>
                  <w:r>
                    <w:rPr>
                      <w:rFonts w:hint="eastAsia"/>
                    </w:rPr>
                    <w:t>海上溢油围控与清除</w:t>
                  </w:r>
                </w:p>
              </w:txbxContent>
            </v:textbox>
          </v:shape>
        </w:pict>
      </w:r>
      <w:r>
        <w:pict>
          <v:shape id="文本框 35" o:spid="_x0000_s1058" type="#_x0000_t202" style="position:absolute;left:0;text-align:left;margin-left:346.4pt;margin-top:414.25pt;width:111.2pt;height:27.85pt;z-index:251661824;mso-wrap-style:square">
            <v:textbox>
              <w:txbxContent>
                <w:p w:rsidR="00FC2C4A" w:rsidRDefault="00FC2C4A">
                  <w:pPr>
                    <w:jc w:val="center"/>
                    <w:rPr>
                      <w:rFonts w:hint="eastAsia"/>
                    </w:rPr>
                  </w:pPr>
                  <w:r>
                    <w:rPr>
                      <w:rFonts w:hint="eastAsia"/>
                    </w:rPr>
                    <w:t>行动管理与信息发布</w:t>
                  </w:r>
                </w:p>
              </w:txbxContent>
            </v:textbox>
          </v:shape>
        </w:pict>
      </w:r>
      <w:r>
        <w:pict>
          <v:shape id="文本框 36" o:spid="_x0000_s1059" type="#_x0000_t202" style="position:absolute;left:0;text-align:left;margin-left:-17.8pt;margin-top:266.95pt;width:111.2pt;height:27.85pt;z-index:251656704;mso-wrap-style:square">
            <v:textbox>
              <w:txbxContent>
                <w:p w:rsidR="00FC2C4A" w:rsidRDefault="00FC2C4A">
                  <w:pPr>
                    <w:jc w:val="center"/>
                    <w:rPr>
                      <w:rFonts w:hint="eastAsia"/>
                    </w:rPr>
                  </w:pPr>
                  <w:r>
                    <w:rPr>
                      <w:rFonts w:hint="eastAsia"/>
                    </w:rPr>
                    <w:t>指导现场指挥部工作</w:t>
                  </w:r>
                </w:p>
              </w:txbxContent>
            </v:textbox>
          </v:shape>
        </w:pict>
      </w:r>
      <w:r>
        <w:pict>
          <v:shape id="文本框 37" o:spid="_x0000_s1060" type="#_x0000_t202" style="position:absolute;left:0;text-align:left;margin-left:-17.5pt;margin-top:303.25pt;width:111.2pt;height:27.85pt;z-index:251657728;mso-wrap-style:square">
            <v:textbox>
              <w:txbxContent>
                <w:p w:rsidR="00FC2C4A" w:rsidRDefault="00FC2C4A">
                  <w:pPr>
                    <w:jc w:val="center"/>
                    <w:rPr>
                      <w:rFonts w:hint="eastAsia"/>
                    </w:rPr>
                  </w:pPr>
                  <w:r>
                    <w:rPr>
                      <w:rFonts w:hint="eastAsia"/>
                    </w:rPr>
                    <w:t>协调应急力量支持</w:t>
                  </w:r>
                </w:p>
              </w:txbxContent>
            </v:textbox>
          </v:shape>
        </w:pict>
      </w:r>
      <w:r>
        <w:pict>
          <v:shape id="文本框 38" o:spid="_x0000_s1061" type="#_x0000_t202" style="position:absolute;left:0;text-align:left;margin-left:-17.5pt;margin-top:341.05pt;width:111.2pt;height:27.85pt;z-index:251658752;mso-wrap-style:square">
            <v:textbox>
              <w:txbxContent>
                <w:p w:rsidR="00FC2C4A" w:rsidRDefault="00FC2C4A">
                  <w:pPr>
                    <w:jc w:val="center"/>
                    <w:rPr>
                      <w:rFonts w:hint="eastAsia"/>
                    </w:rPr>
                  </w:pPr>
                  <w:r>
                    <w:rPr>
                      <w:rFonts w:hint="eastAsia"/>
                    </w:rPr>
                    <w:t>提供应急资源保障</w:t>
                  </w:r>
                </w:p>
              </w:txbxContent>
            </v:textbox>
          </v:shape>
        </w:pict>
      </w:r>
      <w:r>
        <w:pict>
          <v:shape id="文本框 39" o:spid="_x0000_s1062" type="#_x0000_t202" style="position:absolute;left:0;text-align:left;margin-left:-17.5pt;margin-top:377.95pt;width:111.2pt;height:27.85pt;z-index:251659776;mso-wrap-style:square">
            <v:textbox>
              <w:txbxContent>
                <w:p w:rsidR="00FC2C4A" w:rsidRDefault="00FC2C4A">
                  <w:pPr>
                    <w:jc w:val="center"/>
                    <w:rPr>
                      <w:rFonts w:hint="eastAsia"/>
                    </w:rPr>
                  </w:pPr>
                  <w:r>
                    <w:rPr>
                      <w:rFonts w:hint="eastAsia"/>
                    </w:rPr>
                    <w:t>统一发布相关信息</w:t>
                  </w:r>
                </w:p>
              </w:txbxContent>
            </v:textbox>
          </v:shape>
        </w:pict>
      </w:r>
      <w:r>
        <w:pict>
          <v:shape id="文本框 40" o:spid="_x0000_s1063" type="#_x0000_t202" style="position:absolute;left:0;text-align:left;margin-left:-17.5pt;margin-top:413.95pt;width:111.2pt;height:27.85pt;z-index:251660800;mso-wrap-style:square">
            <v:textbox>
              <w:txbxContent>
                <w:p w:rsidR="00FC2C4A" w:rsidRDefault="00FC2C4A">
                  <w:pPr>
                    <w:jc w:val="center"/>
                    <w:rPr>
                      <w:rFonts w:hint="eastAsia"/>
                    </w:rPr>
                  </w:pPr>
                  <w:r>
                    <w:rPr>
                      <w:rFonts w:hint="eastAsia"/>
                    </w:rPr>
                    <w:t>其他重大事项</w:t>
                  </w:r>
                </w:p>
              </w:txbxContent>
            </v:textbox>
          </v:shape>
        </w:pict>
      </w:r>
      <w:r>
        <w:pict>
          <v:shape id="文本框 41" o:spid="_x0000_s1064" type="#_x0000_t202" style="position:absolute;left:0;text-align:left;margin-left:167.45pt;margin-top:519.4pt;width:102.1pt;height:42.45pt;z-index:251655680;mso-wrap-style:square">
            <v:textbox>
              <w:txbxContent>
                <w:p w:rsidR="00FC2C4A" w:rsidRDefault="00FC2C4A">
                  <w:pPr>
                    <w:snapToGrid w:val="0"/>
                    <w:spacing w:beforeLines="50" w:before="156"/>
                    <w:jc w:val="center"/>
                    <w:rPr>
                      <w:rFonts w:hint="eastAsia"/>
                    </w:rPr>
                  </w:pPr>
                  <w:r>
                    <w:rPr>
                      <w:rFonts w:hint="eastAsia"/>
                    </w:rPr>
                    <w:t>国家应急响应终止</w:t>
                  </w:r>
                </w:p>
              </w:txbxContent>
            </v:textbox>
          </v:shape>
        </w:pict>
      </w:r>
      <w:r>
        <w:pict>
          <v:line id="直线 42" o:spid="_x0000_s1065" style="position:absolute;left:0;text-align:left;z-index:251654656;mso-wrap-style:square" from="219.25pt,484.7pt" to="219.3pt,519.05pt">
            <v:stroke endarrow="block"/>
          </v:line>
        </w:pict>
      </w:r>
      <w:r>
        <w:pict>
          <v:shape id="文本框 43" o:spid="_x0000_s1066" type="#_x0000_t202" style="position:absolute;left:0;text-align:left;margin-left:167.15pt;margin-top:442.6pt;width:102.1pt;height:42.45pt;z-index:251653632;mso-wrap-style:square">
            <v:textbox>
              <w:txbxContent>
                <w:p w:rsidR="00FC2C4A" w:rsidRDefault="00FC2C4A">
                  <w:pPr>
                    <w:snapToGrid w:val="0"/>
                    <w:jc w:val="center"/>
                    <w:rPr>
                      <w:rFonts w:hint="eastAsia"/>
                    </w:rPr>
                  </w:pPr>
                  <w:r>
                    <w:rPr>
                      <w:rFonts w:hint="eastAsia"/>
                    </w:rPr>
                    <w:t>评估海上溢油是否得到控制和清除</w:t>
                  </w:r>
                </w:p>
              </w:txbxContent>
            </v:textbox>
          </v:shape>
        </w:pict>
      </w:r>
      <w:r>
        <w:pict>
          <v:line id="直线 44" o:spid="_x0000_s1067" style="position:absolute;left:0;text-align:left;z-index:251652608;mso-wrap-style:square" from="218.95pt,407pt" to="219pt,441.35pt">
            <v:stroke endarrow="block"/>
          </v:line>
        </w:pict>
      </w:r>
      <w:r>
        <w:pict>
          <v:line id="直线 45" o:spid="_x0000_s1068" style="position:absolute;left:0;text-align:left;z-index:251651584;mso-wrap-style:square" from="160.75pt,372.45pt" to="160.8pt,405.9pt"/>
        </w:pict>
      </w:r>
      <w:r>
        <w:pict>
          <v:line id="直线 46" o:spid="_x0000_s1069" style="position:absolute;left:0;text-align:left;z-index:251650560;mso-wrap-style:square" from="281.35pt,373.35pt" to="281.4pt,406.8pt"/>
        </w:pict>
      </w:r>
      <w:r>
        <w:pict>
          <v:line id="直线 47" o:spid="_x0000_s1070" style="position:absolute;left:0;text-align:left;z-index:251649536;mso-wrap-style:square" from="160.55pt,406.8pt" to="280.7pt,406.85pt"/>
        </w:pict>
      </w:r>
      <w:r>
        <w:pict>
          <v:line id="直线 48" o:spid="_x0000_s1071" style="position:absolute;left:0;text-align:left;z-index:251645440;mso-wrap-style:square" from="281.1pt,304.95pt" to="281.15pt,329.35pt">
            <v:stroke endarrow="block"/>
          </v:line>
        </w:pict>
      </w:r>
      <w:r>
        <w:pict>
          <v:line id="直线 49" o:spid="_x0000_s1072" style="position:absolute;left:0;text-align:left;z-index:251648512;mso-wrap-style:square" from="161.15pt,305.7pt" to="281.3pt,305.75pt"/>
        </w:pict>
      </w:r>
      <w:r>
        <w:pict>
          <v:line id="直线 50" o:spid="_x0000_s1073" style="position:absolute;left:0;text-align:left;z-index:251644416;mso-wrap-style:square" from="161.1pt,304.65pt" to="161.15pt,329.05pt">
            <v:stroke endarrow="block"/>
          </v:line>
        </w:pict>
      </w:r>
      <w:r>
        <w:pict>
          <v:shape id="文本框 51" o:spid="_x0000_s1074" type="#_x0000_t202" style="position:absolute;left:0;text-align:left;margin-left:239.55pt;margin-top:331.1pt;width:81.3pt;height:42.45pt;z-index:251647488;mso-wrap-style:square">
            <v:textbox>
              <w:txbxContent>
                <w:p w:rsidR="00FC2C4A" w:rsidRDefault="00FC2C4A">
                  <w:pPr>
                    <w:snapToGrid w:val="0"/>
                    <w:spacing w:beforeLines="50" w:before="156"/>
                    <w:jc w:val="center"/>
                    <w:rPr>
                      <w:rFonts w:hint="eastAsia"/>
                    </w:rPr>
                  </w:pPr>
                  <w:r>
                    <w:rPr>
                      <w:rFonts w:hint="eastAsia"/>
                    </w:rPr>
                    <w:t>地方响应措施</w:t>
                  </w:r>
                </w:p>
              </w:txbxContent>
            </v:textbox>
          </v:shape>
        </w:pict>
      </w:r>
      <w:r>
        <w:pict>
          <v:line id="直线 52" o:spid="_x0000_s1075" style="position:absolute;left:0;text-align:left;z-index:251643392;mso-wrap-style:square" from="218.95pt,271.35pt" to="219pt,304.8pt"/>
        </w:pict>
      </w:r>
      <w:r>
        <w:pict>
          <v:shape id="文本框 53" o:spid="_x0000_s1076" type="#_x0000_t202" style="position:absolute;left:0;text-align:left;margin-left:167.75pt;margin-top:228.1pt;width:102.1pt;height:42.45pt;z-index:251641344;mso-wrap-style:square">
            <v:textbox>
              <w:txbxContent>
                <w:p w:rsidR="00FC2C4A" w:rsidRDefault="00FC2C4A">
                  <w:pPr>
                    <w:snapToGrid w:val="0"/>
                    <w:spacing w:beforeLines="50" w:before="156"/>
                    <w:jc w:val="center"/>
                    <w:rPr>
                      <w:rFonts w:hint="eastAsia"/>
                    </w:rPr>
                  </w:pPr>
                  <w:r>
                    <w:rPr>
                      <w:rFonts w:hint="eastAsia"/>
                    </w:rPr>
                    <w:t>国家应急响应措施</w:t>
                  </w:r>
                </w:p>
              </w:txbxContent>
            </v:textbox>
          </v:shape>
        </w:pict>
      </w:r>
      <w:r>
        <w:pict>
          <v:line id="直线 54" o:spid="_x0000_s1077" style="position:absolute;left:0;text-align:left;z-index:251642368;mso-wrap-style:square" from="218.65pt,192.5pt" to="218.7pt,226.85pt">
            <v:stroke endarrow="block"/>
          </v:line>
        </w:pict>
      </w:r>
      <w:r>
        <w:pict>
          <v:line id="直线 55" o:spid="_x0000_s1078" style="position:absolute;left:0;text-align:left;flip:y;z-index:251637248;mso-wrap-style:square" from="60.85pt,171.1pt" to="168.35pt,171.15pt">
            <v:stroke endarrow="block"/>
          </v:line>
        </w:pict>
      </w:r>
      <w:r>
        <w:pict>
          <v:line id="直线 56" o:spid="_x0000_s1079" style="position:absolute;left:0;text-align:left;flip:x;z-index:251640320;mso-wrap-style:square" from="269.55pt,168.4pt" to="388.85pt,170.2pt">
            <v:stroke endarrow="block"/>
          </v:line>
        </w:pict>
      </w:r>
      <w:r>
        <w:pict>
          <v:line id="直线 57" o:spid="_x0000_s1080" style="position:absolute;left:0;text-align:left;z-index:251639296;mso-wrap-style:square" from="388.75pt,113.6pt" to="388.8pt,166.9pt"/>
        </w:pict>
      </w:r>
      <w:r>
        <w:pict>
          <v:line id="直线 58" o:spid="_x0000_s1081" style="position:absolute;left:0;text-align:left;z-index:251638272;mso-wrap-style:square" from="60.85pt,116.9pt" to="60.9pt,170.2pt"/>
        </w:pict>
      </w:r>
      <w:r>
        <w:pict>
          <v:shape id="文本框 59" o:spid="_x0000_s1082" type="#_x0000_t202" style="position:absolute;left:0;text-align:left;margin-left:168.6pt;margin-top:150.2pt;width:102.1pt;height:42.45pt;z-index:251635200;mso-wrap-style:square">
            <v:textbox>
              <w:txbxContent>
                <w:p w:rsidR="00FC2C4A" w:rsidRDefault="00FC2C4A">
                  <w:pPr>
                    <w:snapToGrid w:val="0"/>
                    <w:spacing w:beforeLines="50" w:before="156"/>
                    <w:jc w:val="center"/>
                    <w:rPr>
                      <w:rFonts w:hint="eastAsia"/>
                    </w:rPr>
                  </w:pPr>
                  <w:r>
                    <w:rPr>
                      <w:rFonts w:hint="eastAsia"/>
                    </w:rPr>
                    <w:t>国家应急响应行动</w:t>
                  </w:r>
                </w:p>
              </w:txbxContent>
            </v:textbox>
          </v:shape>
        </w:pict>
      </w:r>
      <w:r>
        <w:pict>
          <v:line id="直线 60" o:spid="_x0000_s1083" style="position:absolute;left:0;text-align:left;z-index:251636224;mso-wrap-style:square" from="219.25pt,114.8pt" to="219.3pt,149.15pt">
            <v:stroke endarrow="block"/>
          </v:line>
        </w:pict>
      </w:r>
      <w:r>
        <w:pict>
          <v:shape id="文本框 61" o:spid="_x0000_s1084" type="#_x0000_t202" style="position:absolute;left:0;text-align:left;margin-left:168.65pt;margin-top:72.4pt;width:102.1pt;height:42.45pt;z-index:251632128;mso-wrap-style:square">
            <v:textbox>
              <w:txbxContent>
                <w:p w:rsidR="00FC2C4A" w:rsidRDefault="00FC2C4A">
                  <w:pPr>
                    <w:adjustRightInd w:val="0"/>
                    <w:snapToGrid w:val="0"/>
                    <w:spacing w:beforeLines="50" w:before="156"/>
                    <w:jc w:val="center"/>
                    <w:rPr>
                      <w:rFonts w:hint="eastAsia"/>
                    </w:rPr>
                  </w:pPr>
                  <w:r>
                    <w:rPr>
                      <w:rFonts w:hint="eastAsia"/>
                    </w:rPr>
                    <w:t>部际联席会议或</w:t>
                  </w:r>
                </w:p>
                <w:p w:rsidR="00FC2C4A" w:rsidRDefault="00FC2C4A">
                  <w:pPr>
                    <w:adjustRightInd w:val="0"/>
                    <w:snapToGrid w:val="0"/>
                    <w:jc w:val="center"/>
                    <w:rPr>
                      <w:rFonts w:hint="eastAsia"/>
                    </w:rPr>
                  </w:pPr>
                  <w:r>
                    <w:rPr>
                      <w:rFonts w:hint="eastAsia"/>
                    </w:rPr>
                    <w:t>国务院同意</w:t>
                  </w:r>
                </w:p>
              </w:txbxContent>
            </v:textbox>
          </v:shape>
        </w:pict>
      </w:r>
      <w:r>
        <w:rPr>
          <w:b/>
          <w:sz w:val="32"/>
        </w:rPr>
        <w:br w:type="page"/>
      </w:r>
      <w:r>
        <w:rPr>
          <w:rFonts w:hint="eastAsia"/>
          <w:b/>
          <w:sz w:val="32"/>
        </w:rPr>
        <w:lastRenderedPageBreak/>
        <w:t xml:space="preserve">    </w:t>
      </w:r>
      <w:r>
        <w:rPr>
          <w:rFonts w:ascii="黑体" w:eastAsia="黑体" w:hint="eastAsia"/>
          <w:sz w:val="32"/>
          <w:szCs w:val="36"/>
        </w:rPr>
        <w:t xml:space="preserve">5 </w:t>
      </w:r>
      <w:r>
        <w:rPr>
          <w:rFonts w:ascii="黑体" w:eastAsia="黑体"/>
          <w:sz w:val="32"/>
          <w:szCs w:val="36"/>
        </w:rPr>
        <w:t>后期处置</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5.1</w:t>
      </w:r>
      <w:r>
        <w:rPr>
          <w:rFonts w:ascii="楷体" w:eastAsia="楷体" w:hAnsi="楷体" w:hint="eastAsia"/>
          <w:sz w:val="32"/>
        </w:rPr>
        <w:t>回收油、油污和废弃物的处置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现场指挥部应当妥善处置清污作业中回收的海上溢油、油污及其他固体、液体废弃物，避免造成二次污染和次生灾害。必要时，可以通过地方人民政府向上级人民政府申请相关支援。</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5.2</w:t>
      </w:r>
      <w:r>
        <w:rPr>
          <w:rFonts w:ascii="楷体" w:eastAsia="楷体" w:hAnsi="楷体" w:hint="eastAsia"/>
          <w:sz w:val="32"/>
        </w:rPr>
        <w:t>海上溢油应急处置行动后评估</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海上溢油应急处置行动结束后，由部际联席会议委托或者组织相关单位，就事件造成的人员及财产损失、环境污染损害、应急资源投入和使用状况、应急组织与命令执行情况、综合保障情况、应急效果等开展后评估。受委托的单位应当向国家重大海上溢油应急处置部际联席会议提交评估报告。</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5.3</w:t>
      </w:r>
      <w:r>
        <w:rPr>
          <w:rFonts w:ascii="楷体" w:eastAsia="楷体" w:hAnsi="楷体" w:hint="eastAsia"/>
          <w:sz w:val="32"/>
        </w:rPr>
        <w:t>恢复与重建</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海上溢油应急处置工作结束后，受影响地区所在省级人民政府或者国务院行业行政主管部门应当立即组织对事件造成的损失进行评估，制订恢复重建方案，做好清污费用结算与发放、污染损害补偿、环境修复与生态恢复等工作，尽快恢复当地生产生活和社会秩序。必要时，相关省级人民政</w:t>
      </w:r>
      <w:r>
        <w:rPr>
          <w:rFonts w:ascii="仿宋_GB2312" w:eastAsia="仿宋_GB2312" w:hAnsi="仿宋_GB2312" w:hint="eastAsia"/>
          <w:sz w:val="32"/>
          <w:szCs w:val="28"/>
        </w:rPr>
        <w:lastRenderedPageBreak/>
        <w:t>府或者国务院行业行政主管部门可以请求国家重大海上溢油应急处置部际联席会议支援和协助。</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5.4</w:t>
      </w:r>
      <w:r>
        <w:rPr>
          <w:rFonts w:ascii="楷体" w:eastAsia="楷体" w:hAnsi="楷体" w:hint="eastAsia"/>
          <w:sz w:val="32"/>
        </w:rPr>
        <w:t>奖惩机制</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依据有关规定，对海上溢油应急处置工作中贡献突出的先进集体和个人，给予表彰；对在海上溢油应急工作中玩忽职守、虚报瞒报、拒不执行应急指挥命令的人员或者单位，依法追究当事人的责任；构成犯罪的，追究其刑事责任；对负伤和牺牲的人员，按有关规定予以补偿或者追授。</w:t>
      </w:r>
    </w:p>
    <w:p w:rsidR="00FC2C4A" w:rsidRDefault="00FC2C4A">
      <w:pPr>
        <w:widowControl/>
        <w:adjustRightInd w:val="0"/>
        <w:snapToGrid w:val="0"/>
        <w:spacing w:line="360" w:lineRule="auto"/>
        <w:outlineLvl w:val="0"/>
        <w:rPr>
          <w:rFonts w:ascii="黑体" w:eastAsia="黑体"/>
          <w:sz w:val="36"/>
          <w:szCs w:val="36"/>
        </w:rPr>
      </w:pPr>
      <w:r>
        <w:rPr>
          <w:rFonts w:hint="eastAsia"/>
          <w:b/>
          <w:sz w:val="32"/>
        </w:rPr>
        <w:t xml:space="preserve">    </w:t>
      </w:r>
      <w:r>
        <w:rPr>
          <w:rFonts w:ascii="黑体" w:eastAsia="黑体" w:hint="eastAsia"/>
          <w:sz w:val="32"/>
          <w:szCs w:val="36"/>
        </w:rPr>
        <w:t xml:space="preserve">6 </w:t>
      </w:r>
      <w:r>
        <w:rPr>
          <w:rFonts w:ascii="黑体" w:eastAsia="黑体" w:hint="eastAsia"/>
          <w:sz w:val="32"/>
          <w:szCs w:val="36"/>
        </w:rPr>
        <w:t>综合</w:t>
      </w:r>
      <w:r>
        <w:rPr>
          <w:rFonts w:ascii="黑体" w:eastAsia="黑体"/>
          <w:sz w:val="32"/>
          <w:szCs w:val="36"/>
        </w:rPr>
        <w:t>保障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6.1</w:t>
      </w:r>
      <w:r>
        <w:rPr>
          <w:rFonts w:ascii="楷体" w:eastAsia="楷体" w:hAnsi="楷体" w:hint="eastAsia"/>
          <w:sz w:val="32"/>
        </w:rPr>
        <w:t>人力资源保障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海上溢油应急队伍主要由政府应急队伍、相关企业应急队伍和军队、武警部队、民兵组织等组成。国务院有关部门和相关地方人民政府应当根据海上溢油应急工作的需要加强政府所属的溢油应急专业队伍、公用事业队伍及相关专家库的建设，形成政府综合性溢油应急队伍。专业清污单位、船舶污染物接收处理单位、港航企业和大型石油公司是社会应急队伍的骨干。政府机构应当建立广泛参与的岸线清污社</w:t>
      </w:r>
      <w:r>
        <w:rPr>
          <w:rFonts w:ascii="仿宋_GB2312" w:eastAsia="仿宋_GB2312" w:hAnsi="仿宋_GB2312" w:hint="eastAsia"/>
          <w:sz w:val="32"/>
          <w:szCs w:val="28"/>
        </w:rPr>
        <w:lastRenderedPageBreak/>
        <w:t>会动员机制。必要时，可以请求军队、武警部队和民兵组织参与国家重大海上溢油应急处置工作。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6.2</w:t>
      </w:r>
      <w:r>
        <w:rPr>
          <w:rFonts w:ascii="楷体" w:eastAsia="楷体" w:hAnsi="楷体" w:hint="eastAsia"/>
          <w:sz w:val="32"/>
        </w:rPr>
        <w:t>应急资金保障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中所需的应急资金应当由海上溢油事件相关责任方承担。对于无法找到或追索相关责任方，需要由财政经费负担的，应当按照事权划分原则，依法依规分级负担。各级人民政府应当协调解决重大海上溢油应急处置工作中的临时资金需求，保障海上溢油应急所需经费足额到位。</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6.3</w:t>
      </w:r>
      <w:r>
        <w:rPr>
          <w:rFonts w:ascii="楷体" w:eastAsia="楷体" w:hAnsi="楷体" w:hint="eastAsia"/>
          <w:sz w:val="32"/>
        </w:rPr>
        <w:t>技术与装备保障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家重大海上溢油应急处置部际联席会议成员单位应当建立健全海上溢油应急物资储备制度和调拨及紧急配送体系，保障海上溢油应急所需的相关物资、装备、材料的供应和生产。地方政府和相关企事业单位应当依法依责做好海上溢油应急物资的储备工作，并通过与有关生产经营企业签订协议等方式，保障应急物资和生活必需品的生产供应。</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lastRenderedPageBreak/>
        <w:t>国家重大海上溢油应急处置部际联席会议成员单位应当鼓励和扶持科研机构有针对性地研发海上溢油应急相关技术，扶持在海上溢油应急技术领域拥有自主知识产权和核心技术的企业，增强海上溢油应急关键技术研发能力，推广先进科研成果。</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6.4</w:t>
      </w:r>
      <w:r>
        <w:rPr>
          <w:rFonts w:ascii="楷体" w:eastAsia="楷体" w:hAnsi="楷体" w:hint="eastAsia"/>
          <w:sz w:val="32"/>
        </w:rPr>
        <w:t>通信保障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交通运输部、工业和信息化部应当会同有关部门，建立健全海上溢油应急通讯保障体系，综合利用各种定位、通信和动态监管手段，确保船舶与船舶、岸船、机船、平台与陆地之间的通信畅通。</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必要时，可按照相关通信保障应急预案的要求予以支持。</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6.5</w:t>
      </w:r>
      <w:r>
        <w:rPr>
          <w:rFonts w:ascii="楷体" w:eastAsia="楷体" w:hAnsi="楷体" w:hint="eastAsia"/>
          <w:sz w:val="32"/>
        </w:rPr>
        <w:t>医疗卫生救援保障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卫生计生委应当会同有关部门按照相关应急预案组织开展重大海上溢油伤员医疗救治和心理干预工作，为处置海上溢油作业人员提供医疗卫生保障，并提出重大海上溢油可</w:t>
      </w:r>
      <w:r>
        <w:rPr>
          <w:rFonts w:ascii="仿宋_GB2312" w:eastAsia="仿宋_GB2312" w:hAnsi="仿宋_GB2312" w:hint="eastAsia"/>
          <w:sz w:val="32"/>
          <w:szCs w:val="28"/>
        </w:rPr>
        <w:lastRenderedPageBreak/>
        <w:t>能造成的公共卫生危害和防护建议，减少对公众和作业人员身心健康造成的损害。</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6.6</w:t>
      </w:r>
      <w:r>
        <w:rPr>
          <w:rFonts w:ascii="楷体" w:eastAsia="楷体" w:hAnsi="楷体" w:hint="eastAsia"/>
          <w:sz w:val="32"/>
        </w:rPr>
        <w:t>决策支持保障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交通运输部应当会同有关部门和地方人民政府、相关企事业单位，依托现有资源，整合各方力量，建立国家海上溢油信息共享平台，实现信息汇集与传输、信息存储与管理、分析预测与决策支持等。</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6.7</w:t>
      </w:r>
      <w:r>
        <w:rPr>
          <w:rFonts w:ascii="楷体" w:eastAsia="楷体" w:hAnsi="楷体" w:hint="eastAsia"/>
          <w:sz w:val="32"/>
        </w:rPr>
        <w:t>交通运输保障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启动应急响应后，现场指挥部负责协调政府部门、企事业单位等所属的交通运输工具，保障应急人员、装备物资、回收油和油污废弃物等的快速、安全运输。现场指挥部根据应急需要协调当地交通运输、公安等部门，制定应急运输路线，优先保障应急运输物资的通过。必要时，由国家重大海上溢油应急处置部际联席会议调动成员单位和其他地区、大型企事业单位的运输工具和人员予以支援。</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6.8</w:t>
      </w:r>
      <w:r>
        <w:rPr>
          <w:rFonts w:ascii="楷体" w:eastAsia="楷体" w:hAnsi="楷体" w:hint="eastAsia"/>
          <w:sz w:val="32"/>
        </w:rPr>
        <w:t>应急资源的临时征用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根据国家重大海上溢油应急处置工作的需要，现场指挥部可以依据有关法律法规向相关企事业单位和个人临时征</w:t>
      </w:r>
      <w:r>
        <w:rPr>
          <w:rFonts w:ascii="仿宋_GB2312" w:eastAsia="仿宋_GB2312" w:hAnsi="仿宋_GB2312" w:hint="eastAsia"/>
          <w:sz w:val="32"/>
          <w:szCs w:val="28"/>
        </w:rPr>
        <w:lastRenderedPageBreak/>
        <w:t>用应急救援所需设备、设施、场地、交通工具和其他物资。被征用的财产在使用完毕或者国家重大海上溢油应急处置工作结束后应当及时返还。财产被征用或者征用后毁损、灭失的，征用方应当给予补偿。</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6.9</w:t>
      </w:r>
      <w:r>
        <w:rPr>
          <w:rFonts w:ascii="楷体" w:eastAsia="楷体" w:hAnsi="楷体" w:hint="eastAsia"/>
          <w:sz w:val="32"/>
        </w:rPr>
        <w:t>治安保障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划分治安区域，保护应急人员和物资安全，维护应急现场和相关区域内的治安环境；组织实施重点单位、重要部位和重要基础设施的安全保卫工作。协调和调解因国家重大海上溢油造成的运输企业、船东、捕捞渔民、养殖户、相关企业的矛盾或者纠纷，维护社会稳定。必要时，由国家重大海上溢油应急处置部际联席会议协调周边地区公安、武警等力量予以支援。</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6.10</w:t>
      </w:r>
      <w:r>
        <w:rPr>
          <w:rFonts w:ascii="楷体" w:eastAsia="楷体" w:hAnsi="楷体" w:hint="eastAsia"/>
          <w:sz w:val="32"/>
        </w:rPr>
        <w:t>宣传、培训与演练</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国务院有关部门、相关地方人民政府和企事业单位应当建立健全海上溢油应急管理和培训制度；加强海上溢油应急宣教和专业人才培养。国家重大海上溢油应急处置部际联席会议成员单位按照职责分工，负责组织预案的宣传，定期开</w:t>
      </w:r>
      <w:r>
        <w:rPr>
          <w:rFonts w:ascii="仿宋_GB2312" w:eastAsia="仿宋_GB2312" w:hAnsi="仿宋_GB2312" w:hint="eastAsia"/>
          <w:sz w:val="32"/>
          <w:szCs w:val="28"/>
        </w:rPr>
        <w:lastRenderedPageBreak/>
        <w:t>展海上溢油应急演练，并负责组织对从事海上溢油应急管理和作业的人员进行海上溢油应急管理和技术培训。</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6.11</w:t>
      </w:r>
      <w:r>
        <w:rPr>
          <w:rFonts w:ascii="楷体" w:eastAsia="楷体" w:hAnsi="楷体" w:hint="eastAsia"/>
          <w:sz w:val="32"/>
        </w:rPr>
        <w:t>其他保障</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现场指挥部应当协调相关政府部门和企事业单位，为应急人员和受灾群众提供基本生活保障，为清污力量提供物资补给；应当协调有关部门，监督各方力量按照现场指挥部的指令开展应急行动，并开展记录取证工作。必要时，现场指挥部可以请求国家重大海上溢油应急处置部际联席会议给予其他相关支援。</w:t>
      </w:r>
    </w:p>
    <w:p w:rsidR="00FC2C4A" w:rsidRDefault="00FC2C4A">
      <w:pPr>
        <w:widowControl/>
        <w:adjustRightInd w:val="0"/>
        <w:snapToGrid w:val="0"/>
        <w:spacing w:line="360" w:lineRule="auto"/>
        <w:outlineLvl w:val="0"/>
        <w:rPr>
          <w:rFonts w:ascii="黑体" w:eastAsia="黑体"/>
          <w:sz w:val="32"/>
          <w:szCs w:val="36"/>
        </w:rPr>
      </w:pPr>
      <w:r>
        <w:rPr>
          <w:rFonts w:ascii="黑体" w:eastAsia="黑体" w:hint="eastAsia"/>
          <w:sz w:val="32"/>
          <w:szCs w:val="36"/>
        </w:rPr>
        <w:t xml:space="preserve">    7 </w:t>
      </w:r>
      <w:r>
        <w:rPr>
          <w:rFonts w:ascii="黑体" w:eastAsia="黑体"/>
          <w:sz w:val="32"/>
          <w:szCs w:val="36"/>
        </w:rPr>
        <w:t>附则</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7.1</w:t>
      </w:r>
      <w:r>
        <w:rPr>
          <w:rFonts w:ascii="楷体" w:eastAsia="楷体" w:hAnsi="楷体" w:hint="eastAsia"/>
          <w:sz w:val="32"/>
        </w:rPr>
        <w:t>名词、术语和定义</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7.1.1</w:t>
      </w:r>
      <w:r>
        <w:rPr>
          <w:rFonts w:ascii="仿宋_GB2312" w:eastAsia="仿宋_GB2312" w:hAnsi="仿宋_GB2312" w:hint="eastAsia"/>
          <w:sz w:val="32"/>
          <w:szCs w:val="28"/>
        </w:rPr>
        <w:t>海上溢油</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是指通过任何方式溢出并进入海洋的任何形式的油类，包括原油、燃料油、润滑油、油泥、油渣和炼制品等。</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7.1.2</w:t>
      </w:r>
      <w:r>
        <w:rPr>
          <w:rFonts w:ascii="仿宋_GB2312" w:eastAsia="仿宋_GB2312" w:hAnsi="仿宋_GB2312" w:hint="eastAsia"/>
          <w:sz w:val="32"/>
          <w:szCs w:val="28"/>
        </w:rPr>
        <w:t>海上溢油应急处置</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是指发生海上溢油后，为控制、减轻、消除溢出的油类物质造成海洋环境污染损害而采取的应急行动的总称（不含预防等过程）。包括任何旨在防止、减缓、清除、监视、预</w:t>
      </w:r>
      <w:r>
        <w:rPr>
          <w:rFonts w:ascii="仿宋_GB2312" w:eastAsia="仿宋_GB2312" w:hAnsi="仿宋_GB2312" w:hint="eastAsia"/>
          <w:sz w:val="32"/>
          <w:szCs w:val="28"/>
        </w:rPr>
        <w:lastRenderedPageBreak/>
        <w:t>测或者其他抵御溢出的油类污染所采取的任何行动，也包含为降低海上溢油影响而采取的宣传、戒严、疏散和外交等相关行动。</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7.1.3</w:t>
      </w:r>
      <w:r>
        <w:rPr>
          <w:rFonts w:ascii="仿宋_GB2312" w:eastAsia="仿宋_GB2312" w:hAnsi="仿宋_GB2312" w:hint="eastAsia"/>
          <w:sz w:val="32"/>
          <w:szCs w:val="28"/>
        </w:rPr>
        <w:t>省级相关预案</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是指由省级人民政府编制或者发布的，与海上溢油应急处置相关的预案，包括省级的专项预案和部门预案。</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7.1.4</w:t>
      </w:r>
      <w:r>
        <w:rPr>
          <w:rFonts w:ascii="仿宋_GB2312" w:eastAsia="仿宋_GB2312" w:hAnsi="仿宋_GB2312" w:hint="eastAsia"/>
          <w:sz w:val="32"/>
          <w:szCs w:val="28"/>
        </w:rPr>
        <w:t>敏感区域</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本预案所称之敏感区域是指在遭受海上溢油污染之后，易在政治、经济、文化、旅游等方面，或者在外交、社会舆论、生态环境等领域，引起较大的不良影响的海域，也包括其他依法设立的涉海的敏感区域。</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7.1.5</w:t>
      </w:r>
      <w:r>
        <w:rPr>
          <w:rFonts w:ascii="仿宋_GB2312" w:eastAsia="仿宋_GB2312" w:hAnsi="仿宋_GB2312" w:hint="eastAsia"/>
          <w:sz w:val="32"/>
          <w:szCs w:val="28"/>
        </w:rPr>
        <w:t>以上、以下的含义</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本预案所称的以上包括本数，以下不包括本数。</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7.2 </w:t>
      </w:r>
      <w:r>
        <w:rPr>
          <w:rFonts w:ascii="楷体" w:eastAsia="楷体" w:hAnsi="楷体" w:hint="eastAsia"/>
          <w:sz w:val="32"/>
        </w:rPr>
        <w:t>预案的管理与更新</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各相关部门和省级人民政府应根据本预案和所承担的应急处置任务，制定相应的应急预案。各相关部门预案及省</w:t>
      </w:r>
      <w:r>
        <w:rPr>
          <w:rFonts w:ascii="仿宋_GB2312" w:eastAsia="仿宋_GB2312" w:hAnsi="仿宋_GB2312" w:hint="eastAsia"/>
          <w:sz w:val="32"/>
          <w:szCs w:val="28"/>
        </w:rPr>
        <w:lastRenderedPageBreak/>
        <w:t>级预案应当与本预案衔接。本预案应当根据实际情况适时组织评估和修订。</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7.3 </w:t>
      </w:r>
      <w:r>
        <w:rPr>
          <w:rFonts w:ascii="楷体" w:eastAsia="楷体" w:hAnsi="楷体" w:hint="eastAsia"/>
          <w:sz w:val="32"/>
        </w:rPr>
        <w:t>预案的解释</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本预案由国家重大海上溢油应急处置部际联席会议负责解释。</w:t>
      </w:r>
    </w:p>
    <w:p w:rsidR="00FC2C4A" w:rsidRDefault="00FC2C4A">
      <w:pPr>
        <w:widowControl/>
        <w:adjustRightInd w:val="0"/>
        <w:snapToGrid w:val="0"/>
        <w:spacing w:line="360" w:lineRule="auto"/>
        <w:jc w:val="left"/>
        <w:rPr>
          <w:rFonts w:ascii="楷体" w:eastAsia="楷体" w:hAnsi="楷体" w:hint="eastAsia"/>
          <w:sz w:val="32"/>
        </w:rPr>
      </w:pPr>
      <w:r>
        <w:rPr>
          <w:rFonts w:ascii="楷体" w:eastAsia="楷体" w:hAnsi="楷体" w:hint="eastAsia"/>
          <w:sz w:val="32"/>
        </w:rPr>
        <w:t xml:space="preserve">    7.4 </w:t>
      </w:r>
      <w:r>
        <w:rPr>
          <w:rFonts w:ascii="楷体" w:eastAsia="楷体" w:hAnsi="楷体" w:hint="eastAsia"/>
          <w:sz w:val="32"/>
        </w:rPr>
        <w:t>预案实施时间</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r>
        <w:rPr>
          <w:rFonts w:ascii="仿宋_GB2312" w:eastAsia="仿宋_GB2312" w:hAnsi="仿宋_GB2312" w:hint="eastAsia"/>
          <w:sz w:val="32"/>
          <w:szCs w:val="28"/>
        </w:rPr>
        <w:t>本预案自发布之日起实施。</w:t>
      </w:r>
    </w:p>
    <w:p w:rsidR="00FC2C4A" w:rsidRDefault="00FC2C4A">
      <w:pPr>
        <w:widowControl/>
        <w:adjustRightInd w:val="0"/>
        <w:snapToGrid w:val="0"/>
        <w:spacing w:line="360" w:lineRule="auto"/>
        <w:ind w:firstLineChars="200" w:firstLine="640"/>
        <w:rPr>
          <w:rFonts w:ascii="仿宋_GB2312" w:eastAsia="仿宋_GB2312" w:hAnsi="仿宋_GB2312" w:hint="eastAsia"/>
          <w:sz w:val="32"/>
          <w:szCs w:val="28"/>
        </w:rPr>
      </w:pPr>
    </w:p>
    <w:p w:rsidR="00FC2C4A" w:rsidRDefault="00FC2C4A">
      <w:pPr>
        <w:spacing w:beforeLines="20" w:before="62" w:afterLines="20" w:after="62"/>
        <w:rPr>
          <w:rFonts w:hint="eastAsia"/>
          <w:sz w:val="28"/>
          <w:szCs w:val="28"/>
        </w:rPr>
      </w:pPr>
    </w:p>
    <w:p w:rsidR="00FC2C4A" w:rsidRDefault="00FC2C4A">
      <w:pPr>
        <w:jc w:val="left"/>
        <w:rPr>
          <w:rFonts w:ascii="仿宋_GB2312" w:eastAsia="仿宋_GB2312" w:hAnsi="仿宋_GB2312" w:hint="eastAsia"/>
          <w:kern w:val="0"/>
          <w:u w:color="000000"/>
        </w:rPr>
      </w:pPr>
    </w:p>
    <w:sectPr w:rsidR="00000000">
      <w:footerReference w:type="default" r:id="rId6"/>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C2C4A" w:rsidRDefault="00FC2C4A">
      <w:r>
        <w:separator/>
      </w:r>
    </w:p>
  </w:endnote>
  <w:endnote w:type="continuationSeparator" w:id="0">
    <w:p w:rsidR="00FC2C4A" w:rsidRDefault="00FC2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00000001" w:usb1="080E0000" w:usb2="00000000" w:usb3="00000000" w:csb0="00040000" w:csb1="00000000"/>
  </w:font>
  <w:font w:name="楷体_GB2312">
    <w:altName w:val="微软雅黑"/>
    <w:charset w:val="86"/>
    <w:family w:val="auto"/>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_GBK">
    <w:altName w:val="宋体"/>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C2C4A" w:rsidRDefault="00FC2C4A">
    <w:pPr>
      <w:pStyle w:val="a4"/>
    </w:pPr>
    <w:r>
      <w:pict>
        <v:shapetype id="_x0000_t202" coordsize="21600,21600" o:spt="202" path="m,l,21600r21600,l21600,xe">
          <v:stroke joinstyle="miter"/>
          <v:path gradientshapeok="t" o:connecttype="rect"/>
        </v:shapetype>
        <v:shape id="文本框 1" o:spid="_x0000_s2049" type="#_x0000_t202" style="position:absolute;margin-left:0;margin-top:0;width:2in;height:2in;z-index:251657728;mso-wrap-style:none;mso-position-horizontal:center;mso-position-horizontal-relative:margin;v-text-anchor:top" filled="f" stroked="f" strokeweight="1.25pt">
          <v:fill o:detectmouseclick="t"/>
          <v:textbox style="mso-fit-shape-to-text:t" inset="0,0,0,0">
            <w:txbxContent>
              <w:p w:rsidR="00FC2C4A" w:rsidRDefault="00FC2C4A">
                <w:pPr>
                  <w:pStyle w:val="a4"/>
                  <w:rPr>
                    <w:rFonts w:hint="eastAsia"/>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C2C4A" w:rsidRDefault="00FC2C4A">
      <w:r>
        <w:separator/>
      </w:r>
    </w:p>
  </w:footnote>
  <w:footnote w:type="continuationSeparator" w:id="0">
    <w:p w:rsidR="00FC2C4A" w:rsidRDefault="00FC2C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3074"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FC2C4A"/>
    <w:rsid w:val="27C71808"/>
    <w:rsid w:val="44325697"/>
    <w:rsid w:val="47CE1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7DE0BDED-236A-4430-A3F9-64D74D19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qFormat/>
    <w:pPr>
      <w:keepNext/>
      <w:keepLines/>
      <w:spacing w:before="260" w:after="260" w:line="413" w:lineRule="auto"/>
      <w:outlineLvl w:val="1"/>
    </w:pPr>
    <w:rPr>
      <w:rFonts w:ascii="Cambria" w:hAnsi="Cambria"/>
      <w:b/>
      <w:bCs/>
      <w:sz w:val="32"/>
      <w:szCs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styleId="a5">
    <w:name w:val="Balloon Text"/>
    <w:basedOn w:val="a"/>
    <w:semiHidden/>
    <w:rPr>
      <w:sz w:val="18"/>
      <w:szCs w:val="18"/>
    </w:rPr>
  </w:style>
  <w:style w:type="paragraph" w:styleId="a6">
    <w:name w:val="Normal (Web)"/>
    <w:basedOn w:val="a"/>
    <w:pPr>
      <w:widowControl/>
      <w:spacing w:before="100" w:beforeAutospacing="1" w:after="100" w:afterAutospacing="1"/>
      <w:jc w:val="left"/>
    </w:pPr>
    <w:rPr>
      <w:rFonts w:ascii="宋体" w:hAnsi="宋体"/>
      <w:kern w:val="0"/>
      <w:sz w:val="24"/>
    </w:rPr>
  </w:style>
  <w:style w:type="paragraph" w:styleId="a7">
    <w:name w:val="Revision"/>
    <w:hidden/>
    <w:uiPriority w:val="99"/>
    <w:unhideWhenUsed/>
    <w:rsid w:val="00FC2C4A"/>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9254</Words>
  <Characters>9424</Characters>
  <Application>Microsoft Office Word</Application>
  <DocSecurity>0</DocSecurity>
  <PresentationFormat/>
  <Lines>474</Lines>
  <Paragraphs>186</Paragraphs>
  <Slides>0</Slides>
  <Notes>0</Notes>
  <HiddenSlides>0</HiddenSlides>
  <MMClips>0</MMClips>
  <ScaleCrop>false</ScaleCrop>
  <Manager/>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交通运输部关于印发</dc:title>
  <dc:subject/>
  <dc:creator>user</dc:creator>
  <cp:keywords/>
  <dc:description/>
  <cp:lastModifiedBy>喆元 纪</cp:lastModifiedBy>
  <cp:revision>2</cp:revision>
  <dcterms:created xsi:type="dcterms:W3CDTF">2025-12-17T12:53:00Z</dcterms:created>
  <dcterms:modified xsi:type="dcterms:W3CDTF">2025-12-17T12:53:00Z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