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75.png" ContentType="image/png"/>
  <Override PartName="/word/media/rId6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FinTrust: Trustworthy Small Language Models for Financial Tasks</w:t>
      </w: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Small language models can reduce the cost of financial analysis, but accuracy alone does</w:t>
      </w:r>
      <w:r>
        <w:t xml:space="preserve"> </w:t>
      </w:r>
      <w:r>
        <w:t xml:space="preserve">not reveal whether a numerical answer should be trusted. We present EVG-CAS, an</w:t>
      </w:r>
      <w:r>
        <w:t xml:space="preserve"> </w:t>
      </w:r>
      <w:r>
        <w:t xml:space="preserve">execution-verified generation and agreement-calibrated abstention procedure, evaluated on</w:t>
      </w:r>
      <w:r>
        <w:t xml:space="preserve"> </w:t>
      </w:r>
      <w:r>
        <w:t xml:space="preserve">a frozen QLoRA-adapted 1.7B financial model. The model samples eight candidate programs,</w:t>
      </w:r>
      <w:r>
        <w:t xml:space="preserve"> </w:t>
      </w:r>
      <w:r>
        <w:t xml:space="preserve">executes valid candidates with the official FinQA evaluator, and uses agreement among the</w:t>
      </w:r>
      <w:r>
        <w:t xml:space="preserve"> </w:t>
      </w:r>
      <w:r>
        <w:t xml:space="preserve">executed answers as a selective-risk feature. All model and threshold choices are frozen</w:t>
      </w:r>
      <w:r>
        <w:t xml:space="preserve"> </w:t>
      </w:r>
      <w:r>
        <w:t xml:space="preserve">on validation data before protected evaluation. On the protected FinQA test, EVG-CAS does</w:t>
      </w:r>
      <w:r>
        <w:t xml:space="preserve"> </w:t>
      </w:r>
      <w:r>
        <w:t xml:space="preserve">not improve accuracy: execution-verified selection obtains 65.56%, compared with 65.74%</w:t>
      </w:r>
      <w:r>
        <w:t xml:space="preserve"> </w:t>
      </w:r>
      <w:r>
        <w:t xml:space="preserve">for greedy decoding (McNemar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). It does, however, provide a strong ranking</w:t>
      </w:r>
      <w:r>
        <w:t xml:space="preserve"> </w:t>
      </w:r>
      <w:r>
        <w:t xml:space="preserve">signal for abstention: agreement-bin accuracy increases from 2.9% to 79.2%, while the</w:t>
      </w:r>
      <w:r>
        <w:t xml:space="preserve"> </w:t>
      </w:r>
      <w:r>
        <w:t xml:space="preserve">model’s token log-probability has ROC-AUC 0.58. Out-of-fold Platt calibration reduces</w:t>
      </w:r>
      <w:r>
        <w:t xml:space="preserve"> </w:t>
      </w:r>
      <w:r>
        <w:t xml:space="preserve">FinQA Brier score from 0.2845 to 0.1579 and ECE from 0.2555 to 0.0475. With the threshold</w:t>
      </w:r>
      <w:r>
        <w:t xml:space="preserve"> </w:t>
      </w:r>
      <w:r>
        <w:t xml:space="preserve">selected for 80% validation coverage, the frozen policy transfers to the protected test</w:t>
      </w:r>
      <w:r>
        <w:t xml:space="preserve"> </w:t>
      </w:r>
      <w:r>
        <w:t xml:space="preserve">with 76.25% accuracy and 31.0% fewer answered errors than full-coverage decoding.</w:t>
      </w:r>
      <w:r>
        <w:t xml:space="preserve"> </w:t>
      </w:r>
      <w:r>
        <w:t xml:space="preserve">FiQA shows negligible abstention benefit, while a zero-shot FinBen-FOMC probe improves</w:t>
      </w:r>
      <w:r>
        <w:t xml:space="preserve"> </w:t>
      </w:r>
      <w:r>
        <w:t xml:space="preserve">macro-F1 from 0.21 to 0.30. These results position EVG-CAS as a selective prediction</w:t>
      </w:r>
      <w:r>
        <w:t xml:space="preserve"> </w:t>
      </w:r>
      <w:r>
        <w:t xml:space="preserve">method for small financial models, not as a general accuracy improvement.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small language models, financial reasoning, selective prediction,</w:t>
      </w:r>
      <w:r>
        <w:t xml:space="preserve"> </w:t>
      </w:r>
      <w:r>
        <w:t xml:space="preserve">calibration, execution-verified generation, abstention, FinQA, FiQA, FOMC.</w:t>
      </w:r>
    </w:p>
    <w:p>
      <w:pPr>
        <w:pStyle w:val="Heading1"/>
      </w:pPr>
      <w:bookmarkStart w:id="9" w:name="_20041c78c304d06f00dcef5457d2ac08ae2eef7"/>
      <w:r>
        <w:t xml:space="preserve">Introduction</w:t>
      </w:r>
      <w:bookmarkEnd w:id="9"/>
    </w:p>
    <w:p>
      <w:pPr>
        <w:pStyle w:val="FirstParagraph"/>
      </w:pPr>
      <w:r>
        <w:t xml:space="preserve">Autoregressive language models are now small enough to run on a laptop and strong enough to</w:t>
      </w:r>
      <w:r>
        <w:t xml:space="preserve"> </w:t>
      </w:r>
      <w:r>
        <w:t xml:space="preserve">reason over financial documents</w:t>
      </w:r>
      <w:r>
        <w:t xml:space="preserve"> </w:t>
      </w:r>
      <w:r>
        <w:t xml:space="preserve">. The remaining</w:t>
      </w:r>
      <w:r>
        <w:t xml:space="preserve"> </w:t>
      </w:r>
      <w:r>
        <w:t xml:space="preserve">obstacle to deploying a 1.7B model in finance is not raw accuracy, it is</w:t>
      </w:r>
      <w:r>
        <w:t xml:space="preserve"> </w:t>
      </w:r>
      <w:r>
        <w:rPr>
          <w:i/>
          <w:iCs/>
        </w:rPr>
        <w:t xml:space="preserve">trust</w:t>
      </w:r>
      <w:r>
        <w:t xml:space="preserve">: a</w:t>
      </w:r>
      <w:r>
        <w:t xml:space="preserve"> </w:t>
      </w:r>
      <w:r>
        <w:t xml:space="preserve">financial system that silently gives a wrong number to a user is unusable even if it is</w:t>
      </w:r>
      <w:r>
        <w:t xml:space="preserve"> </w:t>
      </w:r>
      <w:r>
        <w:t xml:space="preserve">right 65% of the time. Benchmarks have begun to measure this deficit — FinTrust lists</w:t>
      </w:r>
      <w:r>
        <w:t xml:space="preserve"> </w:t>
      </w:r>
      <w:r>
        <w:t xml:space="preserve">“appropriately abstain when confidence is low”</w:t>
      </w:r>
      <w:r>
        <w:t xml:space="preserve"> </w:t>
      </w:r>
      <w:r>
        <w:t xml:space="preserve">as a first-class trustfulness dimension</w:t>
      </w:r>
      <w:r>
        <w:t xml:space="preserve"> </w:t>
      </w:r>
      <w:r>
        <w:t xml:space="preserve"> </w:t>
      </w:r>
      <w:r>
        <w:t xml:space="preserve">— but they diagnose it on GPT-4-scale models and provide no</w:t>
      </w:r>
      <w:r>
        <w:t xml:space="preserve"> </w:t>
      </w:r>
      <w:r>
        <w:t xml:space="preserve">mechanism a small model can actually use.</w:t>
      </w:r>
    </w:p>
    <w:p>
      <w:pPr>
        <w:pStyle w:val="BodyText"/>
      </w:pPr>
      <w:r>
        <w:t xml:space="preserve">This paper provides the mechanism, and reports the outcome honestly. We study a task class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is a well-defined ground-truth operation: programmatic numerical</w:t>
      </w:r>
      <w:r>
        <w:t xml:space="preserve"> </w:t>
      </w:r>
      <w:r>
        <w:t xml:space="preserve">reasoning</w:t>
      </w:r>
      <w:r>
        <w:t xml:space="preserve"> </w:t>
      </w:r>
      <w:r>
        <w:t xml:space="preserve">. The model writes a program; the answer is what the</w:t>
      </w:r>
      <w:r>
        <w:t xml:space="preserve"> </w:t>
      </w:r>
      <w:r>
        <w:t xml:space="preserve">program computes. That property lets us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 programs per question, keep</w:t>
      </w:r>
      <w:r>
        <w:t xml:space="preserve"> </w:t>
      </w:r>
      <w:r>
        <w:t xml:space="preserve">only those that run on the official evaluator, and observe how much the surviving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agree. Prior work uses such sampling to</w:t>
      </w:r>
      <w:r>
        <w:t xml:space="preserve"> </w:t>
      </w:r>
      <w:r>
        <w:rPr>
          <w:i/>
          <w:iCs/>
        </w:rPr>
        <w:t xml:space="preserve">vote</w:t>
      </w:r>
      <w:r>
        <w:t xml:space="preserve"> </w:t>
      </w:r>
      <w:r>
        <w:t xml:space="preserve">(self-consistency</w:t>
      </w:r>
      <w:r>
        <w:t xml:space="preserve"> </w:t>
      </w:r>
      <w:r>
        <w:t xml:space="preserve">)</w:t>
      </w:r>
      <w:r>
        <w:t xml:space="preserve"> </w:t>
      </w:r>
      <w:r>
        <w:t xml:space="preserve">or to train outcome/process reward models</w:t>
      </w:r>
      <w:r>
        <w:t xml:space="preserve"> </w:t>
      </w:r>
      <w:r>
        <w:t xml:space="preserve">,</w:t>
      </w:r>
      <w:r>
        <w:t xml:space="preserve"> </w:t>
      </w:r>
      <w:r>
        <w:t xml:space="preserve">framing the payoff as accuracy. We find, on protected data, that framing is wrong for our</w:t>
      </w:r>
      <w:r>
        <w:t xml:space="preserve"> </w:t>
      </w:r>
      <w:r>
        <w:t xml:space="preserve">model: execution-verified selection does not beat the greedy baseline (Table IV).</w:t>
      </w:r>
      <w:r>
        <w:t xml:space="preserve"> </w:t>
      </w:r>
      <w:r>
        <w:t xml:space="preserve">We therefore spend the sampling budget where it pays: agreement is a trust feature, and a</w:t>
      </w:r>
      <w:r>
        <w:t xml:space="preserve"> </w:t>
      </w:r>
      <w:r>
        <w:t xml:space="preserve">calibrated, pre-registered abstention policy built on it cuts protected-test answered-error</w:t>
      </w:r>
      <w:r>
        <w:t xml:space="preserve"> </w:t>
      </w:r>
      <w:r>
        <w:t xml:space="preserve">by 31% at 80% coverage (Table VII).</w:t>
      </w:r>
    </w:p>
    <w:p>
      <w:pPr>
        <w:pStyle w:val="BodyText"/>
      </w:pPr>
      <w:r>
        <w:t xml:space="preserve">Our contributions.</w:t>
      </w:r>
      <w:r>
        <w:t xml:space="preserve"> </w:t>
      </w:r>
      <w:r>
        <w:rPr>
          <w:b/>
          <w:bCs/>
        </w:rPr>
        <w:t xml:space="preserve">(C1)</w:t>
      </w:r>
      <w:r>
        <w:t xml:space="preserve"> </w:t>
      </w:r>
      <w:r>
        <w:t xml:space="preserve">An honest, pre-registered accuracy verdict: EVG does not</w:t>
      </w:r>
      <w:r>
        <w:t xml:space="preserve"> </w:t>
      </w:r>
      <w:r>
        <w:t xml:space="preserve">improve FinQA/FiQA accuracy for a QLoRA-tuned 1.7B model; it ties it.</w:t>
      </w:r>
      <w:r>
        <w:t xml:space="preserve"> </w:t>
      </w:r>
      <w:r>
        <w:rPr>
          <w:b/>
          <w:bCs/>
        </w:rPr>
        <w:t xml:space="preserve">(C2)</w:t>
      </w:r>
      <w:r>
        <w:t xml:space="preserve"> </w:t>
      </w:r>
      <w:r>
        <w:t xml:space="preserve">A</w:t>
      </w:r>
      <w:r>
        <w:t xml:space="preserve"> </w:t>
      </w:r>
      <w:r>
        <w:t xml:space="preserve">calibration construction that gives the model probability-meaningful confidence, cutting</w:t>
      </w:r>
      <w:r>
        <w:t xml:space="preserve"> </w:t>
      </w:r>
      <w:r>
        <w:t xml:space="preserve">Brier 0.28</w:t>
      </w:r>
      <m:oMath>
        <m:r>
          <m:rPr>
            <m:sty m:val="p"/>
          </m:rPr>
          <m:t>→</m:t>
        </m:r>
      </m:oMath>
      <w:r>
        <w:t xml:space="preserve">0.16 and ECE 0.26</w:t>
      </w:r>
      <m:oMath>
        <m:r>
          <m:rPr>
            <m:sty m:val="p"/>
          </m:rPr>
          <m:t>→</m:t>
        </m:r>
      </m:oMath>
      <w:r>
        <w:t xml:space="preserve">0.05.</w:t>
      </w:r>
      <w:r>
        <w:t xml:space="preserve"> </w:t>
      </w:r>
      <w:r>
        <w:rPr>
          <w:b/>
          <w:bCs/>
        </w:rPr>
        <w:t xml:space="preserve">(C3)</w:t>
      </w:r>
      <w:r>
        <w:t xml:space="preserve"> </w:t>
      </w:r>
      <w:r>
        <w:t xml:space="preserve">A selective-prediction</w:t>
      </w:r>
      <w:r>
        <w:t xml:space="preserve"> </w:t>
      </w:r>
      <w:r>
        <w:t xml:space="preserve">policy whose threshold is fixed on validation and whose benefit transfers to a protected</w:t>
      </w:r>
      <w:r>
        <w:t xml:space="preserve"> </w:t>
      </w:r>
      <w:r>
        <w:t xml:space="preserve">test (</w:t>
      </w:r>
      <m:oMath>
        <m:r>
          <m:rPr>
            <m:sty m:val="p"/>
          </m:rPr>
          <m:t>−</m:t>
        </m:r>
      </m:oMath>
      <w:r>
        <w:t xml:space="preserve">31.0% test answered-error reduction at coverage 0.8, predicted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34.2%).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Heading2"/>
      </w:pPr>
      <w:bookmarkStart w:id="11" w:name="_f4e716e861c5161f637d656e68cb193348a6f6e"/>
      <w:r>
        <w:t xml:space="preserve">Small financial models and adaptation.</w:t>
      </w:r>
      <w:bookmarkEnd w:id="11"/>
    </w:p>
    <w:p>
      <w:pPr>
        <w:pStyle w:val="FirstParagraph"/>
      </w:pPr>
      <w:r>
        <w:t xml:space="preserve">Survey evidence shows 1–3B models are a deliberate performance/efficiency point</w:t>
      </w:r>
      <w:r>
        <w:t xml:space="preserve"> </w:t>
      </w:r>
      <w:r>
        <w:t xml:space="preserve">, and LoRA/QLoRA make domain</w:t>
      </w:r>
      <w:r>
        <w:t xml:space="preserve"> </w:t>
      </w:r>
      <w:r>
        <w:t xml:space="preserve">adaptation cheap</w:t>
      </w:r>
      <w:r>
        <w:t xml:space="preserve"> </w:t>
      </w:r>
      <w:r>
        <w:t xml:space="preserve">. Financial-domain adaptation builds</w:t>
      </w:r>
      <w:r>
        <w:t xml:space="preserve"> </w:t>
      </w:r>
      <w:r>
        <w:t xml:space="preserve">on this for QA and sentiment</w:t>
      </w:r>
      <w:r>
        <w:t xml:space="preserve"> </w:t>
      </w:r>
      <w:r>
        <w:t xml:space="preserve">.</w:t>
      </w:r>
      <w:r>
        <w:t xml:space="preserve"> </w:t>
      </w:r>
      <w:r>
        <w:t xml:space="preserve">The closest comparable work, fine-tuning smaller models on FinQA</w:t>
      </w:r>
      <w:r>
        <w:t xml:space="preserve"> </w:t>
      </w:r>
      <w:r>
        <w:t xml:space="preserve">,</w:t>
      </w:r>
      <w:r>
        <w:t xml:space="preserve"> </w:t>
      </w:r>
      <w:r>
        <w:t xml:space="preserve">also operates in our compute regime and reports accuracy only — as we do, but we add the</w:t>
      </w:r>
      <w:r>
        <w:t xml:space="preserve"> </w:t>
      </w:r>
      <w:r>
        <w:t xml:space="preserve">trust layer it omits.</w:t>
      </w:r>
    </w:p>
    <w:p>
      <w:pPr>
        <w:pStyle w:val="Heading2"/>
      </w:pPr>
      <w:bookmarkStart w:id="12" w:name="_c8892b1a1c392f7604ce834059f1898f3d708a5"/>
      <w:r>
        <w:t xml:space="preserve">Programmatic financial reasoning.</w:t>
      </w:r>
      <w:bookmarkEnd w:id="12"/>
    </w:p>
    <w:p>
      <w:pPr>
        <w:pStyle w:val="FirstParagraph"/>
      </w:pPr>
      <w:r>
        <w:t xml:space="preserve">FinQA</w:t>
      </w:r>
      <w:r>
        <w:t xml:space="preserve"> </w:t>
      </w:r>
      <w:r>
        <w:t xml:space="preserve">, ConvFinQA</w:t>
      </w:r>
      <w:r>
        <w:t xml:space="preserve"> </w:t>
      </w:r>
      <w:r>
        <w:t xml:space="preserve"> </w:t>
      </w:r>
      <w:r>
        <w:t xml:space="preserve">and TAT-QA</w:t>
      </w:r>
      <w:r>
        <w:t xml:space="preserve"> </w:t>
      </w:r>
      <w:r>
        <w:t xml:space="preserve"> </w:t>
      </w:r>
      <w:r>
        <w:t xml:space="preserve">establish that execution (running the program) is the ground truth of</w:t>
      </w:r>
      <w:r>
        <w:t xml:space="preserve"> </w:t>
      </w:r>
      <w:r>
        <w:t xml:space="preserve">the answer. FinBen</w:t>
      </w:r>
      <w:r>
        <w:t xml:space="preserve"> </w:t>
      </w:r>
      <w:r>
        <w:t xml:space="preserve"> </w:t>
      </w:r>
      <w:r>
        <w:t xml:space="preserve">supplies the benchmarking context including the</w:t>
      </w:r>
      <w:r>
        <w:t xml:space="preserve"> </w:t>
      </w:r>
      <w:r>
        <w:t xml:space="preserve">FiQA and FOMC tasks we use; FinTrust</w:t>
      </w:r>
      <w:r>
        <w:t xml:space="preserve"> </w:t>
      </w:r>
      <w:r>
        <w:t xml:space="preserve"> </w:t>
      </w:r>
      <w:r>
        <w:t xml:space="preserve">establishes abstention as a</w:t>
      </w:r>
      <w:r>
        <w:t xml:space="preserve"> </w:t>
      </w:r>
      <w:r>
        <w:t xml:space="preserve">measured trust deficit.</w:t>
      </w:r>
    </w:p>
    <w:p>
      <w:pPr>
        <w:pStyle w:val="Heading2"/>
      </w:pPr>
      <w:bookmarkStart w:id="13" w:name="_5bd5464acbe53bb2d25abf19e7c9086750eff0f"/>
      <w:r>
        <w:t xml:space="preserve">Consistency and verification.</w:t>
      </w:r>
      <w:bookmarkEnd w:id="13"/>
    </w:p>
    <w:p>
      <w:pPr>
        <w:pStyle w:val="FirstParagraph"/>
      </w:pPr>
      <w:r>
        <w:t xml:space="preserve">Self-consistency votes over sampled paths</w:t>
      </w:r>
      <w:r>
        <w:t xml:space="preserve"> </w:t>
      </w:r>
      <w:r>
        <w:t xml:space="preserve">; process-supervised</w:t>
      </w:r>
      <w:r>
        <w:t xml:space="preserve"> </w:t>
      </w:r>
      <w:r>
        <w:t xml:space="preserve">verifiers rerank candidates with a learned model</w:t>
      </w:r>
      <w:r>
        <w:t xml:space="preserve"> </w:t>
      </w:r>
      <w:r>
        <w:t xml:space="preserve">;</w:t>
      </w:r>
      <w:r>
        <w:t xml:space="preserve"> </w:t>
      </w:r>
      <w:r>
        <w:t xml:space="preserve">execution-guided synthesis filters decoding by the runtime</w:t>
      </w:r>
      <w:r>
        <w:t xml:space="preserve"> </w:t>
      </w:r>
      <w:r>
        <w:t xml:space="preserve">.</w:t>
      </w:r>
      <w:r>
        <w:t xml:space="preserve"> </w:t>
      </w:r>
      <w:r>
        <w:t xml:space="preserve">All are accuracy-centric. Ours re-purposes their machinery as a</w:t>
      </w:r>
      <w:r>
        <w:t xml:space="preserve"> </w:t>
      </w:r>
      <w:r>
        <w:rPr>
          <w:i/>
          <w:iCs/>
        </w:rPr>
        <w:t xml:space="preserve">decision signal</w:t>
      </w:r>
      <w:r>
        <w:t xml:space="preserve">.</w:t>
      </w:r>
    </w:p>
    <w:p>
      <w:pPr>
        <w:pStyle w:val="Heading2"/>
      </w:pPr>
      <w:bookmarkStart w:id="14" w:name="_61c7d091cc76e5ff9f940de7aaa392b6c3b56ba"/>
      <w:r>
        <w:t xml:space="preserve">Selective prediction and calibration.</w:t>
      </w:r>
      <w:bookmarkEnd w:id="14"/>
    </w:p>
    <w:p>
      <w:pPr>
        <w:pStyle w:val="FirstParagraph"/>
      </w:pPr>
      <w:r>
        <w:t xml:space="preserve">The risk-coverage framework</w:t>
      </w:r>
      <w:r>
        <w:t xml:space="preserve"> </w:t>
      </w:r>
      <w:r>
        <w:t xml:space="preserve"> </w:t>
      </w:r>
      <w:r>
        <w:t xml:space="preserve">defines abstention evaluation; Platt/isotonic/temperature calibration</w:t>
      </w:r>
      <w:r>
        <w:t xml:space="preserve"> </w:t>
      </w:r>
      <w:r>
        <w:t xml:space="preserve"> </w:t>
      </w:r>
      <w:r>
        <w:t xml:space="preserve">and verbalised uncertainty</w:t>
      </w:r>
      <w:r>
        <w:t xml:space="preserve"> </w:t>
      </w:r>
      <w:r>
        <w:t xml:space="preserve"> </w:t>
      </w:r>
      <w:r>
        <w:t xml:space="preserve">provide LLM confidence. Responsible-AI guidance in finance</w:t>
      </w:r>
      <w:r>
        <w:t xml:space="preserve"> </w:t>
      </w:r>
      <w:r>
        <w:t xml:space="preserve"> </w:t>
      </w:r>
      <w:r>
        <w:t xml:space="preserve">is the regulatory motivation.</w:t>
      </w:r>
    </w:p>
    <w:p>
      <w:pPr>
        <w:pStyle w:val="Heading2"/>
      </w:pPr>
      <w:bookmarkStart w:id="15" w:name="_23a128e7f9d49d2f86fba142af360209233b302"/>
      <w:r>
        <w:t xml:space="preserve">Positioning against 2024–2026 selective-abstention work.</w:t>
      </w:r>
      <w:bookmarkEnd w:id="15"/>
    </w:p>
    <w:p>
      <w:pPr>
        <w:pStyle w:val="FirstParagraph"/>
      </w:pPr>
      <w:r>
        <w:t xml:space="preserve">The field now targets trust for budget models through several adjacent mechanisms: two-pass</w:t>
      </w:r>
      <w:r>
        <w:t xml:space="preserve"> </w:t>
      </w:r>
      <w:r>
        <w:t xml:space="preserve">prompt perturbation with answer-consistency abstention for 2–8B models on MCQ</w:t>
      </w:r>
      <w:r>
        <w:t xml:space="preserve"> </w:t>
      </w:r>
      <w:r>
        <w:t xml:space="preserve">; confidence-weighted majority voting, whose authors also observe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most-calibrated</w:t>
      </w:r>
      <w:r>
        <w:t xml:space="preserve"> </w:t>
      </w:r>
      <w:r>
        <w:t xml:space="preserve">confidence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useful for selection</w:t>
      </w:r>
      <w:r>
        <w:t xml:space="preserve"> </w:t>
      </w:r>
      <w:r>
        <w:t xml:space="preserve">; distribution-free conformal selective prediction with coverage guarantees</w:t>
      </w:r>
      <w:r>
        <w:t xml:space="preserve"> </w:t>
      </w:r>
      <w:r>
        <w:t xml:space="preserve">; self-evaluative adaptation for selective prediction</w:t>
      </w:r>
      <w:r>
        <w:t xml:space="preserve"> </w:t>
      </w:r>
      <w:r>
        <w:t xml:space="preserve">; and, in finance, a multi-agent program-execution cascade without any</w:t>
      </w:r>
      <w:r>
        <w:t xml:space="preserve"> </w:t>
      </w:r>
      <w:r>
        <w:t xml:space="preserve">per-record calibrated abstention</w:t>
      </w:r>
      <w:r>
        <w:t xml:space="preserve"> </w:t>
      </w:r>
      <w:r>
        <w:t xml:space="preserve">; verifiable chain-of-thought for</w:t>
      </w:r>
      <w:r>
        <w:t xml:space="preserve"> </w:t>
      </w:r>
      <w:r>
        <w:t xml:space="preserve">finance is benchmarked without a model-side abstention rule</w:t>
      </w:r>
      <w:r>
        <w:t xml:space="preserve"> </w:t>
      </w:r>
      <w:r>
        <w:t xml:space="preserve">. None combines the mechanism we</w:t>
      </w:r>
      <w:r>
        <w:t xml:space="preserve"> </w:t>
      </w:r>
      <w:r>
        <w:t xml:space="preserve">measure:</w:t>
      </w:r>
      <w:r>
        <w:t xml:space="preserve"> </w:t>
      </w:r>
      <w:r>
        <w:rPr>
          <w:i/>
          <w:iCs/>
        </w:rPr>
        <w:t xml:space="preserve">agreement across evaluator-executed candidate programs</w:t>
      </w:r>
      <w:r>
        <w:t xml:space="preserve">, Platt-calibrated to a</w:t>
      </w:r>
      <w:r>
        <w:t xml:space="preserve"> </w:t>
      </w:r>
      <w:r>
        <w:t xml:space="preserve">coverage target, threshold frozen on validation, and transferred to a protected test for a</w:t>
      </w:r>
      <w:r>
        <w:t xml:space="preserve"> </w:t>
      </w:r>
      <w:r>
        <w:t xml:space="preserve">1.7B financial SLM. The closest (CISC, Second Guess) share the small-model and</w:t>
      </w:r>
      <w:r>
        <w:t xml:space="preserve"> </w:t>
      </w:r>
      <w:r>
        <w:t xml:space="preserve">selection-over-generation views but do not give their score a probability-meaningful,</w:t>
      </w:r>
      <w:r>
        <w:t xml:space="preserve"> </w:t>
      </w:r>
      <w:r>
        <w:t xml:space="preserve">pre-declared decision rule. A dated novelty audit with sources is in</w:t>
      </w:r>
      <w:r>
        <w:t xml:space="preserve"> </w:t>
      </w:r>
      <w:r>
        <w:rPr>
          <w:rStyle w:val="VerbatimChar"/>
        </w:rPr>
        <w:t xml:space="preserve">docs/novelty_check.md</w:t>
      </w:r>
      <w:r>
        <w:t xml:space="preserve">.</w:t>
      </w:r>
    </w:p>
    <w:p>
      <w:pPr>
        <w:pStyle w:val="Heading1"/>
      </w:pPr>
      <w:bookmarkStart w:id="16" w:name="_88655a0e0307668d4b1b0bf795baf7e841ba034"/>
      <w:r>
        <w:t xml:space="preserve">Problem statement and protocol</w:t>
      </w:r>
      <w:bookmarkEnd w:id="16"/>
    </w:p>
    <w:p>
      <w:pPr>
        <w:pStyle w:val="Heading2"/>
      </w:pPr>
      <w:bookmarkStart w:id="17" w:name="_2e30b014c75f87e075100cb69ef543a074bf23d"/>
      <w:r>
        <w:t xml:space="preserve">Setup.</w:t>
      </w:r>
      <w:bookmarkEnd w:id="17"/>
    </w:p>
    <w:p>
      <w:pPr>
        <w:pStyle w:val="FirstParagraph"/>
      </w:pPr>
      <w:r>
        <w:t xml:space="preserve">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maps to a program</w:t>
      </w:r>
      <w:r>
        <w:t xml:space="preserve"> </w:t>
      </w:r>
      <m:oMath>
        <m:r>
          <m:t>p</m:t>
        </m:r>
      </m:oMath>
      <w:r>
        <w:t xml:space="preserve">; the answer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exec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valid. The model is a frozen, domain-adapted SLM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. We pre-declare</w:t>
      </w:r>
      <w:r>
        <w:t xml:space="preserve"> </w:t>
      </w:r>
      <w:r>
        <w:t xml:space="preserve">three claims (fixated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before any protected-test access):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C1 (accuracy):</w:t>
      </w:r>
      <w:r>
        <w:t xml:space="preserve"> </w:t>
      </w:r>
      <w:r>
        <w:t xml:space="preserve">execution-verified selection improves the answer’s</w:t>
      </w:r>
      <w:r>
        <w:t xml:space="preserve"> </w:t>
      </w:r>
      <w:r>
        <w:t xml:space="preserve">execution-ground-truth accuracy over greedy decoding.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C2 (probability quality):</w:t>
      </w:r>
      <w:r>
        <w:t xml:space="preserve"> </w:t>
      </w:r>
      <w:r>
        <w:t xml:space="preserve">calibrating trust features lowers Brier score and</w:t>
      </w:r>
      <w:r>
        <w:t xml:space="preserve"> </w:t>
      </w:r>
      <w:r>
        <w:t xml:space="preserve">ECE and makes a coverage threshold carry probability meaning.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C3 (ranking):</w:t>
      </w:r>
      <w:r>
        <w:t xml:space="preserve"> </w:t>
      </w:r>
      <w:r>
        <w:t xml:space="preserve">trust features from the sample population (agreement,</w:t>
      </w:r>
      <w:r>
        <w:t xml:space="preserve"> </w:t>
      </w:r>
      <w:r>
        <w:t xml:space="preserve">executability) improve the calibrator’s ordering, measurable as a drop in expected AURC,</w:t>
      </w:r>
      <w:r>
        <w:t xml:space="preserve"> </w:t>
      </w:r>
      <w:r>
        <w:t xml:space="preserve">whenever the features are non-monotone with the raw confidence.</w:t>
      </w:r>
    </w:p>
    <w:p>
      <w:pPr>
        <w:pStyle w:val="Heading2"/>
      </w:pPr>
      <w:bookmarkStart w:id="18" w:name="_a31da257db47ac5db6a6d90281a026c1a35041b"/>
      <w:r>
        <w:t xml:space="preserve">Guardrails (integrity before novelty).</w:t>
      </w:r>
      <w:bookmarkEnd w:id="18"/>
    </w:p>
    <w:p>
      <w:pPr>
        <w:pStyle w:val="FirstParagraph"/>
      </w:pPr>
      <w:r>
        <w:t xml:space="preserve">All selection of the model, the method</w:t>
      </w:r>
      <w:r>
        <w:t xml:space="preserve"> </w:t>
      </w:r>
      <w:r>
        <w:t xml:space="preserve">and the hyper-parameters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5-fold out-of-fold</w:t>
      </w:r>
      <w:r>
        <w:t xml:space="preserve"> </w:t>
      </w:r>
      <w:r>
        <w:t xml:space="preserve">calibration, coverage targets {0.80, 0.90}) happened on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data only. The</w:t>
      </w:r>
      <w:r>
        <w:t xml:space="preserve"> </w:t>
      </w:r>
      <w:r>
        <w:t xml:space="preserve">protected test sets were opened exactly once, after a freeze manifest registered status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and the run set an explicit protected flag; a SHA-256 of the freeze was</w:t>
      </w:r>
      <w:r>
        <w:t xml:space="preserve"> </w:t>
      </w:r>
      <w:r>
        <w:t xml:space="preserve">recorded before and after the test run and is unchanged. The full integrity protocol is</w:t>
      </w:r>
      <w:r>
        <w:t xml:space="preserve"> </w:t>
      </w:r>
      <w:r>
        <w:t xml:space="preserve">documented in §6 of</w:t>
      </w:r>
      <w:r>
        <w:t xml:space="preserve"> </w:t>
      </w:r>
      <w:r>
        <w:rPr>
          <w:rStyle w:val="VerbatimChar"/>
        </w:rPr>
        <w:t xml:space="preserve">docs/exp_4(a).md</w:t>
      </w:r>
      <w:r>
        <w:t xml:space="preserve">.</w:t>
      </w:r>
    </w:p>
    <w:p>
      <w:pPr>
        <w:pStyle w:val="Heading1"/>
      </w:pPr>
      <w:bookmarkStart w:id="19" w:name="_1095e69babc32bb8fec465dec08213dbe0ea364"/>
      <w:r>
        <w:t xml:space="preserve">Phase-2.1 gate architecture and methodology</w:t>
      </w:r>
      <w:bookmarkEnd w:id="19"/>
    </w:p>
    <w:p>
      <w:pPr>
        <w:pStyle w:val="FirstParagraph"/>
      </w:pPr>
      <w:r>
        <w:t xml:space="preserve">Phase 2.1 is the data and evaluation gate that precedes model training. It supersedes the</w:t>
      </w:r>
      <w:r>
        <w:t xml:space="preserve"> </w:t>
      </w:r>
      <w:r>
        <w:t xml:space="preserve">original Phase-2 contract by adding FiQA sentiment regression, official FinQA executor</w:t>
      </w:r>
      <w:r>
        <w:t xml:space="preserve"> </w:t>
      </w:r>
      <w:r>
        <w:t xml:space="preserve">validation, mandatory near-duplicate auditing, and explicit Phase-3/4 handoff manifests.</w:t>
      </w:r>
      <w:r>
        <w:t xml:space="preserve"> </w:t>
      </w:r>
      <w:r>
        <w:t xml:space="preserve">The gate is intentionally a provenance layer, not a performance benchmark: its outputs are</w:t>
      </w:r>
      <w:r>
        <w:t xml:space="preserve"> </w:t>
      </w:r>
      <w:r>
        <w:t xml:space="preserve">frozen records, integrity reports, and evaluation rules that downstream experiments must</w:t>
      </w:r>
      <w:r>
        <w:t xml:space="preserve"> </w:t>
      </w:r>
      <w:r>
        <w:t xml:space="preserve">consume without re-downloading or reshaping protected data.</w:t>
      </w:r>
    </w:p>
    <w:bookmarkStart w:id="23" w:name="_4ca054e7a719aceee114d5762f07fe88d525cd9"/>
    <w:p>
      <w:pPr>
        <w:pStyle w:val="CaptionedFigure"/>
      </w:pPr>
      <w:r>
        <w:drawing>
          <wp:inline>
            <wp:extent cx="5334000" cy="11985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ikz_fi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Phase-2.1 architecture. Raw benchmark sources are normalized into a shared record</w:t>
      </w:r>
      <w:r>
        <w:t xml:space="preserve"> </w:t>
      </w:r>
      <w:r>
        <w:t xml:space="preserve">contract, passed through integrity gates, and exported into explicit training, validation,</w:t>
      </w:r>
      <w:r>
        <w:t xml:space="preserve"> </w:t>
      </w:r>
      <w:r>
        <w:t xml:space="preserve">and protected-evaluation roles. FinBen–FOMC and FinTrust never enter the training pool.</w:t>
      </w:r>
    </w:p>
    <w:bookmarkEnd w:id="23"/>
    <w:p>
      <w:pPr>
        <w:pStyle w:val="Heading2"/>
      </w:pPr>
      <w:bookmarkStart w:id="24" w:name="_08fb122c5376457a548d9741bf4d2bc3704c84e"/>
      <w:r>
        <w:t xml:space="preserve">Data contract and gate procedure</w:t>
      </w:r>
      <w:bookmarkEnd w:id="24"/>
    </w:p>
    <w:p>
      <w:pPr>
        <w:pStyle w:val="FirstParagraph"/>
      </w:pPr>
      <w:r>
        <w:t xml:space="preserve">The pipeline uses deterministic JSON serialization, a fixed seed of 42, and SHA-256</w:t>
      </w:r>
      <w:r>
        <w:t xml:space="preserve"> </w:t>
      </w:r>
      <w:r>
        <w:t xml:space="preserve">fingerprints for raw sources and exported artifacts. Gold evidence is retained as annotation</w:t>
      </w:r>
      <w:r>
        <w:t xml:space="preserve"> </w:t>
      </w:r>
      <w:r>
        <w:t xml:space="preserve">metadata but is excluded from model inputs. For FinQA, the official evaluator is run over</w:t>
      </w:r>
      <w:r>
        <w:t xml:space="preserve"> </w:t>
      </w:r>
      <w:r>
        <w:t xml:space="preserve">every gold program in every split and its result is compared with the official executable</w:t>
      </w:r>
      <w:r>
        <w:t xml:space="preserve"> </w:t>
      </w:r>
      <w:r>
        <w:t xml:space="preserve">answer. Leakage signatures hash normalized question, context, and table content; exact</w:t>
      </w:r>
      <w:r>
        <w:t xml:space="preserve"> </w:t>
      </w:r>
      <w:r>
        <w:t xml:space="preserve">cross-split collisions are hard failures. A MinHash-based near-duplicate audit compares</w:t>
      </w:r>
      <w:r>
        <w:t xml:space="preserve"> </w:t>
      </w:r>
      <w:r>
        <w:t xml:space="preserve">training records with protected tests and flags candidates for inspection rather than</w:t>
      </w:r>
      <w:r>
        <w:t xml:space="preserve"> </w:t>
      </w:r>
      <w:r>
        <w:t xml:space="preserve">silently deleting legitimate financial-report reuse.</w:t>
      </w:r>
    </w:p>
    <w:bookmarkStart w:id="28" w:name="_f8acff3f9589114731a29b0e02babf8b7c57ad9"/>
    <w:p>
      <w:pPr>
        <w:pStyle w:val="CaptionedFigure"/>
      </w:pPr>
      <w:r>
        <w:drawing>
          <wp:inline>
            <wp:extent cx="5171406" cy="68197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ikz_fig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06" cy="681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Phase-2.1 gate lifecycle. Warnings remain visible in the validation report but do</w:t>
      </w:r>
      <w:r>
        <w:t xml:space="preserve"> </w:t>
      </w:r>
      <w:r>
        <w:t xml:space="preserve">not override a PASS when no ERROR-severity gate fails.</w:t>
      </w:r>
    </w:p>
    <w:bookmarkEnd w:id="28"/>
    <w:p>
      <w:pPr>
        <w:pStyle w:val="FirstParagraph"/>
      </w:pPr>
      <w:r>
        <w:t xml:space="preserve">The Phase-2.1 validation report is a PASS with two explicit warnings: final-step annotation</w:t>
      </w:r>
      <w:r>
        <w:t xml:space="preserve"> </w:t>
      </w:r>
      <w:r>
        <w:t xml:space="preserve">agreement is 0.98261 (below the 0.99 warning threshold), and evaluator candidates were not</w:t>
      </w:r>
      <w:r>
        <w:t xml:space="preserve"> </w:t>
      </w:r>
      <w:r>
        <w:t xml:space="preserve">discovered for FinTrust dimensions trustfulness, safety, and privacy. These warnings do not</w:t>
      </w:r>
      <w:r>
        <w:t xml:space="preserve"> </w:t>
      </w:r>
      <w:r>
        <w:t xml:space="preserve">invalidate the FinQA/FiQA data contract, but the FinTrust gap remains a Phase-4 limitation.</w:t>
      </w:r>
      <w:r>
        <w:t xml:space="preserve"> </w:t>
      </w:r>
      <w:r>
        <w:t xml:space="preserve">The exported training pool contains 7,073 records (FinQA and FiQA only), while the validation</w:t>
      </w:r>
      <w:r>
        <w:t xml:space="preserve"> </w:t>
      </w:r>
      <w:r>
        <w:t xml:space="preserve">pool contains 1,000 records. The protected artifacts contain 1,147 FinQA test records, 234</w:t>
      </w:r>
      <w:r>
        <w:t xml:space="preserve"> </w:t>
      </w:r>
      <w:r>
        <w:t xml:space="preserve">FiQA test records, 496 FinBen–FOMC records, and the FinTrust registry.</w:t>
      </w:r>
    </w:p>
    <w:p>
      <w:pPr>
        <w:pStyle w:val="Heading2"/>
      </w:pPr>
      <w:bookmarkStart w:id="29" w:name="_7e03c01745abd94f4d45757752faebae5f49d54"/>
      <w:r>
        <w:t xml:space="preserve">Phase-2.1 artifact and figure inventory</w:t>
      </w:r>
      <w:bookmarkEnd w:id="29"/>
    </w:p>
    <w:p>
      <w:pPr>
        <w:pStyle w:val="FirstParagraph"/>
      </w:pPr>
      <w:r>
        <w:t xml:space="preserve">Phase 2.1 produces integrity evidence rather than accuracy curves. The source paths and</w:t>
      </w:r>
      <w:r>
        <w:t xml:space="preserve"> </w:t>
      </w:r>
      <w:r>
        <w:t xml:space="preserve">hashes for the data registry, validation report, source fingerprints, official-execution</w:t>
      </w:r>
      <w:r>
        <w:t xml:space="preserve"> </w:t>
      </w:r>
      <w:r>
        <w:t xml:space="preserve">audit, near-duplicate audit, and downstream configuration manifests are listed in</w:t>
      </w:r>
      <w:r>
        <w:t xml:space="preserve"> </w:t>
      </w:r>
      <w:r>
        <w:rPr>
          <w:rStyle w:val="VerbatimChar"/>
        </w:rPr>
        <w:t xml:space="preserve">docs/phase2_figure_inventory.md</w:t>
      </w:r>
      <w:r>
        <w:t xml:space="preserve">. The result plots used later in this</w:t>
      </w:r>
      <w:r>
        <w:t xml:space="preserve"> </w:t>
      </w:r>
      <w:r>
        <w:t xml:space="preserve">paper are therefore labeled as Phase-3 or Phase-4 plots, not Phase-2 plots: the former show</w:t>
      </w:r>
      <w:r>
        <w:t xml:space="preserve"> </w:t>
      </w:r>
      <w:r>
        <w:t xml:space="preserve">model baselines, and the latter show sampling, risk–coverage, and selection ablations.</w:t>
      </w:r>
    </w:p>
    <w:p>
      <w:pPr>
        <w:pStyle w:val="Heading1"/>
      </w:pPr>
      <w:bookmarkStart w:id="30" w:name="_09ee8443ab55a3f30fdd88acf82bf7f547c29d1"/>
      <w:r>
        <w:t xml:space="preserve">Method: EVG-CAS</w:t>
      </w:r>
      <w:bookmarkEnd w:id="30"/>
    </w:p>
    <w:p>
      <w:pPr>
        <w:pStyle w:val="Heading2"/>
      </w:pPr>
      <w:bookmarkStart w:id="31" w:name="_0b0a9a7e8f18d7d3892765ffabac4b36300ec7a"/>
      <w:r>
        <w:t xml:space="preserve">Sampling and execution verification</w:t>
      </w:r>
      <w:bookmarkEnd w:id="31"/>
    </w:p>
    <w:p>
      <w:pPr>
        <w:pStyle w:val="FirstParagraph"/>
      </w:pPr>
      <w:r>
        <w:t xml:space="preserve">Given</w:t>
      </w:r>
      <w:r>
        <w:t xml:space="preserve"> </w:t>
      </w:r>
      <m:oMath>
        <m:r>
          <m:t>q</m:t>
        </m:r>
      </m:oMath>
      <w:r>
        <w:t xml:space="preserve">,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(temperature 0.7, top-</w:t>
      </w:r>
      <m:oMath>
        <m:r>
          <m:t>p</m:t>
        </m:r>
      </m:oMath>
      <w:r>
        <w:t xml:space="preserve"> </w:t>
      </w:r>
      <w:r>
        <w:t xml:space="preserve">0.9, no other search). Each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run with the official</w:t>
      </w:r>
      <w:r>
        <w:t xml:space="preserve"> </w:t>
      </w:r>
      <w:r>
        <w:t xml:space="preserve">evaluator if it parses; an answer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exists iff the program is valid and executes.</w:t>
      </w:r>
      <w:r>
        <w:t xml:space="preserve"> </w:t>
      </w:r>
      <w:r>
        <w:t xml:space="preserve">Evidence is carried by the</w:t>
      </w:r>
      <w:r>
        <w:t xml:space="preserve"> </w:t>
      </w:r>
      <w:r>
        <w:rPr>
          <w:i/>
          <w:iCs/>
        </w:rPr>
        <w:t xml:space="preserve">candidate population</w:t>
      </w:r>
      <w:r>
        <w:t xml:space="preserve">, not by any single decode.</w:t>
      </w:r>
    </w:p>
    <w:p>
      <w:pPr>
        <w:pStyle w:val="Heading2"/>
      </w:pPr>
      <w:bookmarkStart w:id="32" w:name="_75d866d51f018345439af5f30ef4d6b3127e341"/>
      <w:r>
        <w:t xml:space="preserve">Trust features from the sample population</w:t>
      </w:r>
      <w:bookmarkEnd w:id="32"/>
    </w:p>
    <w:p>
      <w:pPr>
        <w:pStyle w:val="FirstParagraph"/>
      </w:pPr>
      <w:r>
        <w:t xml:space="preserve">For 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 we compute three pre-registered features: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valid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exists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⋆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⋆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selected candidate and the mean is over its tokens.</w:t>
      </w:r>
      <w:r>
        <w:t xml:space="preserve"> </w:t>
      </w:r>
      <w:r>
        <w:t xml:space="preserve">The feature vector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gold</w:t>
      </w:r>
      <w:r>
        <w:t xml:space="preserve"> </w:t>
      </w:r>
      <w:r>
        <w:t xml:space="preserve">answer is used only to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these features, never to select a candidate or a</w:t>
      </w:r>
      <w:r>
        <w:t xml:space="preserve"> </w:t>
      </w:r>
      <w:r>
        <w:t xml:space="preserve">threshold (guardrail: nothing refit on test).</w:t>
      </w:r>
    </w:p>
    <w:p>
      <w:pPr>
        <w:pStyle w:val="Heading2"/>
      </w:pPr>
      <w:bookmarkStart w:id="33" w:name="_bea1baf3bad7332e831af37e2663abf71ebae81"/>
      <w:r>
        <w:t xml:space="preserve">Calibration (C2)</w:t>
      </w:r>
      <w:bookmarkEnd w:id="33"/>
    </w:p>
    <w:p>
      <w:pPr>
        <w:pStyle w:val="FirstParagraph"/>
      </w:pPr>
      <w:r>
        <w:t xml:space="preserve">The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</m:rPr>
          <m:t>answer is correct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learned by out-of-fold</w:t>
      </w:r>
      <w:r>
        <w:t xml:space="preserve"> </w:t>
      </w:r>
      <w:r>
        <w:t xml:space="preserve">Platt scaling: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fit by logistic regression on inner-fold predictions and applied to outer folds</w:t>
      </w:r>
      <w:r>
        <w:t xml:space="preserve"> </w:t>
      </w:r>
      <w:r>
        <w:t xml:space="preserve">(5 folds), so every validation prediction is genuinely out-of-sample. Because a single-feature</w:t>
      </w:r>
      <w:r>
        <w:t xml:space="preserve"> </w:t>
      </w:r>
      <w:r>
        <w:t xml:space="preserve">monotone calibrator cannot reorder answers, we evaluate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a single-feature baseline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</m:oMath>
      <w:r>
        <w:t xml:space="preserve">) and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the full feature vector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(C3)</w:t>
      </w:r>
      <w:r>
        <w:t xml:space="preserve">.</w:t>
      </w:r>
    </w:p>
    <w:p>
      <w:pPr>
        <w:pStyle w:val="Heading2"/>
      </w:pPr>
      <w:bookmarkStart w:id="34" w:name="_6729bffa61f8299ba4d6dd9adaff96cad058fd0"/>
      <w:r>
        <w:t xml:space="preserve">Freeze and abstention rule (C2)</w:t>
      </w:r>
      <w:bookmarkEnd w:id="34"/>
    </w:p>
    <w:p>
      <w:pPr>
        <w:pStyle w:val="FirstParagraph"/>
      </w:pPr>
      <w:r>
        <w:t xml:space="preserve">For coverage target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(pre-registered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0.20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</m:rPr>
                    <m:t>val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the decision rule on any future question is answer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iff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, else abstain.</w:t>
      </w:r>
      <w:r>
        <w:t xml:space="preserve"> </w:t>
      </w:r>
      <w:r>
        <w:t xml:space="preserve">Selective risk and coverage follow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ℓ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nor/>
                </m:rPr>
                <m:t>answer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nor/>
                </m:rPr>
                <m:t>gold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frozen adapter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sampler params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evaluator</w:t>
      </w:r>
      <w:r>
        <w:t xml:space="preserve"> </w:t>
      </w:r>
      <m:oMath>
        <m:r>
          <m:rPr>
            <m:nor/>
          </m:rPr>
          <m:t>exec</m:t>
        </m:r>
      </m:oMath>
      <w:r>
        <w:t xml:space="preserve">, coverage targets</w:t>
      </w:r>
      <w:r>
        <w:t xml:space="preserve"> </w:t>
      </w:r>
      <w:r>
        <w:rPr>
          <w:b/>
          <w:bCs/>
        </w:rPr>
        <w:t xml:space="preserve">Validation phase:</w:t>
      </w:r>
      <w:r>
        <w:t xml:space="preserve"> </w:t>
      </w:r>
      <w:r>
        <w:t xml:space="preserve">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programs; keep valid ones; get answers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fit out-of-fold Platt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ℓ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)</m:t>
            </m:r>
          </m:e>
          <m:sub>
            <m:r>
              <m:t>q</m:t>
            </m:r>
            <m:r>
              <m:rPr>
                <m:sty m:val="p"/>
              </m:rPr>
              <m:t>∈</m:t>
            </m:r>
            <m:r>
              <m:t>V</m:t>
            </m:r>
          </m:sub>
        </m:sSub>
      </m:oMath>
      <w:r>
        <w:t xml:space="preserve">;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OOF</w:t>
      </w:r>
      <w:r>
        <w:t xml:space="preserve"> </w:t>
      </w:r>
      <w:r>
        <w:t xml:space="preserve">pick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s.t. 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</m:rPr>
              <m:t>val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each target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phase4_freeze.json</w:t>
      </w:r>
      <w:r>
        <w:t xml:space="preserve"> </w:t>
      </w:r>
      <w:r>
        <w:t xml:space="preserve">(FROZEN,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α</m:t>
        </m:r>
      </m:oMath>
      <w:r>
        <w:t xml:space="preserve">, sha256)</w:t>
      </w:r>
      <w:r>
        <w:t xml:space="preserve"> </w:t>
      </w:r>
      <w:r>
        <w:rPr>
          <w:b/>
          <w:bCs/>
        </w:rPr>
        <w:t xml:space="preserve">Protected phase (opened once, after FROZEN + protected flag):</w:t>
      </w:r>
      <w:r>
        <w:t xml:space="preserve"> </w:t>
      </w:r>
      <w:r>
        <w:t xml:space="preserve">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candidates;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w:r>
        <w:t xml:space="preserve">emit answer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 else</w:t>
      </w:r>
      <w:r>
        <w:t xml:space="preserve"> </w:t>
      </w:r>
      <w:r>
        <w:rPr>
          <w:b/>
          <w:bCs/>
        </w:rPr>
        <w:t xml:space="preserve">abstain</w:t>
      </w:r>
    </w:p>
    <w:p>
      <w:pPr>
        <w:pStyle w:val="Heading1"/>
      </w:pPr>
      <w:bookmarkStart w:id="35" w:name="_34a31f481a53c50d210a9b0529f8ef40f2f45bf"/>
      <w:r>
        <w:t xml:space="preserve">Experimental setup</w:t>
      </w:r>
      <w:bookmarkEnd w:id="35"/>
    </w:p>
    <w:p>
      <w:pPr>
        <w:pStyle w:val="Heading2"/>
      </w:pPr>
      <w:bookmarkStart w:id="36" w:name="_23286af6a2a6d0706d1d6fe1c65de4c346b21e9"/>
      <w:r>
        <w:t xml:space="preserve">Data and aligned evaluation.</w:t>
      </w:r>
      <w:bookmarkEnd w:id="36"/>
    </w:p>
    <w:p>
      <w:pPr>
        <w:pStyle w:val="FirstParagraph"/>
      </w:pPr>
      <w:r>
        <w:t xml:space="preserve">FinQA (train 6 251 / validation 883 / held-out test 1 147) uses the official program</w:t>
      </w:r>
      <w:r>
        <w:t xml:space="preserve"> </w:t>
      </w:r>
      <w:r>
        <w:t xml:space="preserve">evaluator; we report three aligned accuracies: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(the answer string the model</w:t>
      </w:r>
      <w:r>
        <w:t xml:space="preserve"> </w:t>
      </w:r>
      <w:r>
        <w:t xml:space="preserve">emits),</w:t>
      </w:r>
      <w:r>
        <w:t xml:space="preserve"> </w:t>
      </w:r>
      <w:r>
        <w:rPr>
          <w:i/>
          <w:iCs/>
        </w:rPr>
        <w:t xml:space="preserve">program</w:t>
      </w:r>
      <w:r>
        <w:t xml:space="preserve"> </w:t>
      </w:r>
      <w:r>
        <w:t xml:space="preserve">(does the parse succeed), and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(does the executed</w:t>
      </w:r>
      <w:r>
        <w:t xml:space="preserve"> </w:t>
      </w:r>
      <w:r>
        <w:t xml:space="preserve">answer match gold). FiQA (validation 117 / test 234) is regression with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 tolerance 0.10. FOMC (test 496: neutral 245, dovish 129, hawkish 122) is</w:t>
      </w:r>
      <w:r>
        <w:t xml:space="preserve"> </w:t>
      </w:r>
      <w:r>
        <w:t xml:space="preserve">zero-shot stance classification with accuracy, macro-F1 and parse success.</w:t>
      </w:r>
      <w:r>
        <w:t xml:space="preserve"> </w:t>
      </w:r>
      <w:r>
        <w:t xml:space="preserve">The datasets do not provide reliable participant demographics such as age or gender;</w:t>
      </w:r>
      <w:r>
        <w:t xml:space="preserve"> </w:t>
      </w:r>
      <w:r>
        <w:t xml:space="preserve">therefore this study reports no inferred demographic distribution. The records are treated</w:t>
      </w:r>
      <w:r>
        <w:t xml:space="preserve"> </w:t>
      </w:r>
      <w:r>
        <w:t xml:space="preserve">as financial-document and sentiment annotations, not as a human-subject sample. This</w:t>
      </w:r>
      <w:r>
        <w:t xml:space="preserve"> </w:t>
      </w:r>
      <w:r>
        <w:t xml:space="preserve">distinction prevents demographic claims from being inferred from names, writing style, or</w:t>
      </w:r>
      <w:r>
        <w:t xml:space="preserve"> </w:t>
      </w:r>
      <w:r>
        <w:t xml:space="preserve">model outputs.</w:t>
      </w:r>
    </w:p>
    <w:p>
      <w:pPr>
        <w:pStyle w:val="Heading2"/>
      </w:pPr>
      <w:bookmarkStart w:id="37" w:name="_2a068b96cf37f2e3e7955f9181c06dcf02620ab"/>
      <w:r>
        <w:t xml:space="preserve">Data contract and split policy.</w:t>
      </w:r>
      <w:bookmarkEnd w:id="37"/>
    </w:p>
    <w:p>
      <w:pPr>
        <w:pStyle w:val="FirstParagraph"/>
      </w:pPr>
      <w:r>
        <w:t xml:space="preserve">The Phase-2.1 contract fixes the dataset roles before training. FinQA and FiQA training</w:t>
      </w:r>
      <w:r>
        <w:t xml:space="preserve"> </w:t>
      </w:r>
      <w:r>
        <w:t xml:space="preserve">partitions may enter the training pool; validation partitions support model selection; and</w:t>
      </w:r>
      <w:r>
        <w:t xml:space="preserve"> </w:t>
      </w:r>
      <w:r>
        <w:t xml:space="preserve">the FinQA and FiQA tests, FinBen-FOMC, and FinTrust resources remain protected. Source</w:t>
      </w:r>
      <w:r>
        <w:t xml:space="preserve"> </w:t>
      </w:r>
      <w:r>
        <w:t xml:space="preserve">fingerprints are recorded with SHA-256 manifests, canonical serialization is used for</w:t>
      </w:r>
      <w:r>
        <w:t xml:space="preserve"> </w:t>
      </w:r>
      <w:r>
        <w:t xml:space="preserve">structured records, and exact-overlap audits compare normalized input signatures rather</w:t>
      </w:r>
      <w:r>
        <w:t xml:space="preserve"> </w:t>
      </w:r>
      <w:r>
        <w:t xml:space="preserve">than relying only on record identifiers. Near-duplicate candidates are flagged for manual</w:t>
      </w:r>
      <w:r>
        <w:t xml:space="preserve"> </w:t>
      </w:r>
      <w:r>
        <w:t xml:space="preserve">inspection rather than silently removed, since financial reports can legitimately reuse</w:t>
      </w:r>
      <w:r>
        <w:t xml:space="preserve"> </w:t>
      </w:r>
      <w:r>
        <w:t xml:space="preserve">standard language. These controls establish provenance and split isolation, not semantic</w:t>
      </w:r>
      <w:r>
        <w:t xml:space="preserve"> </w:t>
      </w:r>
      <w:r>
        <w:t xml:space="preserve">correctness of every annotation.</w:t>
      </w:r>
    </w:p>
    <w:p>
      <w:pPr>
        <w:pStyle w:val="Heading2"/>
      </w:pPr>
      <w:bookmarkStart w:id="38" w:name="_15c31db93c28bc7b48cf9bb8d3452dc310bd616"/>
      <w:r>
        <w:t xml:space="preserve">Model.</w:t>
      </w:r>
      <w:bookmarkEnd w:id="38"/>
    </w:p>
    <w:p>
      <w:pPr>
        <w:pStyle w:val="FirstParagraph"/>
      </w:pPr>
      <w:r>
        <w:t xml:space="preserve">Frozen Phase-3 winner:</w:t>
      </w:r>
      <w:r>
        <w:t xml:space="preserve"> </w:t>
      </w:r>
      <w:r>
        <w:rPr>
          <w:rStyle w:val="VerbatimChar"/>
        </w:rPr>
        <w:t xml:space="preserve">Qwen/Qwen3-1.7B</w:t>
      </w:r>
      <w:r>
        <w:t xml:space="preserve"> </w:t>
      </w:r>
      <w:r>
        <w:t xml:space="preserve"> </w:t>
      </w:r>
      <w:r>
        <w:t xml:space="preserve">with balanced-joint QLoRA</w:t>
      </w:r>
      <w:r>
        <w:t xml:space="preserve"> </w:t>
      </w:r>
      <w:r>
        <w:t xml:space="preserve"> </w:t>
      </w:r>
      <w:r>
        <w:t xml:space="preserve">as canonical on</w:t>
      </w:r>
      <w:r>
        <w:t xml:space="preserve"> </w:t>
      </w:r>
      <w:r>
        <w:t xml:space="preserve">FinQA and explicit-schema on FiQA; exact hyper-parameters are in</w:t>
      </w:r>
      <w:r>
        <w:t xml:space="preserve"> </w:t>
      </w:r>
      <w:r>
        <w:rPr>
          <w:rStyle w:val="VerbatimChar"/>
        </w:rPr>
        <w:t xml:space="preserve">phase3_freeze.json</w:t>
      </w:r>
      <w:r>
        <w:t xml:space="preserve"> </w:t>
      </w:r>
      <w:r>
        <w:t xml:space="preserve">and were fixed before this work began.</w:t>
      </w:r>
    </w:p>
    <w:p>
      <w:pPr>
        <w:pStyle w:val="Heading2"/>
      </w:pPr>
      <w:bookmarkStart w:id="39" w:name="_c4db3759797ece13e7b7782031ec340dea27193"/>
      <w:r>
        <w:t xml:space="preserve">Metrics.</w:t>
      </w:r>
      <w:bookmarkEnd w:id="39"/>
    </w:p>
    <w:p>
      <w:pPr>
        <w:pStyle w:val="FirstParagraph"/>
      </w:pPr>
      <w:r>
        <w:t xml:space="preserve">Brier, ECE-10, expected AURC (e-AURC; lower is better), coverage and</w:t>
      </w:r>
      <w:r>
        <w:t xml:space="preserve"> </w:t>
      </w:r>
      <w:r>
        <w:t xml:space="preserve">selective risk. All numbers cited as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are out-of-fold or tuned on</w:t>
      </w:r>
      <w:r>
        <w:t xml:space="preserve"> </w:t>
      </w:r>
      <w:r>
        <w:t xml:space="preserve">validation; all</w:t>
      </w:r>
      <w:r>
        <w:t xml:space="preserve"> </w:t>
      </w:r>
      <w:r>
        <w:t xml:space="preserve">“test”</w:t>
      </w:r>
      <w:r>
        <w:t xml:space="preserve"> </w:t>
      </w:r>
      <w:r>
        <w:t xml:space="preserve">numbers were produced by the frozen system and are unchanged since</w:t>
      </w:r>
      <w:r>
        <w:t xml:space="preserve"> </w:t>
      </w:r>
      <w:r>
        <w:t xml:space="preserve">the completed protected run (see</w:t>
      </w:r>
      <w:r>
        <w:t xml:space="preserve"> </w:t>
      </w:r>
      <w:r>
        <w:rPr>
          <w:rStyle w:val="VerbatimChar"/>
        </w:rPr>
        <w:t xml:space="preserve">docs/exp_4(b).md</w:t>
      </w:r>
      <w:r>
        <w:t xml:space="preserve">).</w:t>
      </w:r>
    </w:p>
    <w:bookmarkStart w:id="40" w:name="_97a02e71e75ed989c4fd06271d7d4643470371a"/>
    <w:p>
      <w:pPr>
        <w:pStyle w:val="TableCaption"/>
      </w:pPr>
      <w:r>
        <w:t xml:space="preserve">C1 evidence.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FinQA held-out test, execution accuracy</w:t>
      </w:r>
      <w:r>
        <w:t xml:space="preserve"> </w:t>
      </w:r>
      <w:r>
        <w:t xml:space="preserve">per rule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);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FiQA test regression. EVG neither beats nor loses to</w:t>
      </w:r>
      <w:r>
        <w:t xml:space="preserve"> </w:t>
      </w:r>
      <w:r>
        <w:t xml:space="preserve">the frozen greedy baseline on either task; per-record, 18 questions are won and 20 lost.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1 evidence. (top) FinQA held-out test, execution accuracy per rule (n{=}8); (bottom) FiQA test regression. EVG neither beats nor loses to the frozen greedy baseline on either task; per-record, 18 questions are won and 20 lost."/>
      </w:tblPr>
      <w:tblGrid>
        <w:gridCol w:w="3960"/>
        <w:gridCol w:w="396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FinQA test, execution accuracy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1147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greedy (baseline)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candidate-0 (prints)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self-consistency 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execution-verified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</w:tbl>
    <w:bookmarkEnd w:id="40"/>
    <w:bookmarkStart w:id="44" w:name="_b926df73e6b46886e316a4f3d68c61db450565d"/>
    <w:p>
      <w:pPr>
        <w:pStyle w:val="CaptionedFigure"/>
      </w:pPr>
      <w:r>
        <w:drawing>
          <wp:inline>
            <wp:extent cx="5334000" cy="27034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_phase4_fiqa_aggregat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FiQA validation aggregation over sampled predictions. Lower MAE is better;</w:t>
      </w:r>
      <w:r>
        <w:t xml:space="preserve"> </w:t>
      </w:r>
      <w:r>
        <w:t xml:space="preserve">median and mean aggregation improve on greedy decoding in this validation diagnostic,</w:t>
      </w:r>
      <w:r>
        <w:t xml:space="preserve"> </w:t>
      </w:r>
      <w:r>
        <w:t xml:space="preserve">while the frozen protected-test policy remains the pre-registered greedy baseline.</w:t>
      </w:r>
    </w:p>
    <w:bookmarkEnd w:id="44"/>
    <w:bookmarkStart w:id="45" w:name="_73cca14bfab0538c23cf8bdcd6020bf0c4aecdc"/>
    <w:p>
      <w:pPr>
        <w:pStyle w:val="TableCaption"/>
      </w:pPr>
      <w:r>
        <w:t xml:space="preserve">Agreement bins vs. correctness on the protected test.</w:t>
      </w:r>
      <w:r>
        <w:t xml:space="preserve"> </w:t>
      </w:r>
      <w:r>
        <w:t xml:space="preserve">Agreement is steeply and monotonically predictive, while the model’s log-probability cannot</w:t>
      </w:r>
      <w:r>
        <w:t xml:space="preserve"> </w:t>
      </w:r>
      <w:r>
        <w:t xml:space="preserve">separate correct from incorrect answers (ROC-AUC 0.58).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reement bins vs. correctness on the protected test. Agreement is steeply and monotonically predictive, while the model’s log-probability cannot separate correct from incorrect answers (ROC-AUC 0.58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EVG agreement bin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execution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(0.00, 0.25]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(0.25, 0.50]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(0.50, 0.75]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 1.00]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0.792</w:t>
            </w:r>
          </w:p>
        </w:tc>
      </w:tr>
    </w:tbl>
    <w:bookmarkEnd w:id="45"/>
    <w:bookmarkStart w:id="49" w:name="_7e499be34202aeecfec2782f7d8f9bd40d806c2"/>
    <w:p>
      <w:pPr>
        <w:pStyle w:val="CaptionedFigure"/>
      </w:pPr>
      <w:r>
        <w:drawing>
          <wp:inline>
            <wp:extent cx="5334000" cy="282801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_phase4_risk_cover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Out-of-fold risk–coverage curves for FinQA and FiQA validation. The calibrated</w:t>
      </w:r>
      <w:r>
        <w:t xml:space="preserve"> </w:t>
      </w:r>
      <w:r>
        <w:t xml:space="preserve">FinQA execution-verified policy lowers selective risk as coverage is reduced; FiQA shows</w:t>
      </w:r>
      <w:r>
        <w:t xml:space="preserve"> </w:t>
      </w:r>
      <w:r>
        <w:t xml:space="preserve">weaker separation, consistent with its small regression validation split.</w:t>
      </w:r>
    </w:p>
    <w:bookmarkEnd w:id="49"/>
    <w:bookmarkStart w:id="53" w:name="_404756ca65f0752ce4eb46cd868618de9b97358"/>
    <w:p>
      <w:pPr>
        <w:pStyle w:val="CaptionedFigure"/>
      </w:pPr>
      <w:r>
        <w:drawing>
          <wp:inline>
            <wp:extent cx="4498603" cy="304901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_phase4_selection_abl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03" cy="304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FinQA validation ablation over the number of sampled candidates. The horizontal</w:t>
      </w:r>
      <w:r>
        <w:t xml:space="preserve"> </w:t>
      </w:r>
      <w:r>
        <w:t xml:space="preserve">lines show the frozen greedy answer and executor baselines; execution-verified selection</w:t>
      </w:r>
      <w:r>
        <w:t xml:space="preserve"> </w:t>
      </w:r>
      <w:r>
        <w:t xml:space="preserve">does not produce a protected-test accuracy gain, motivating its use as a selective-risk</w:t>
      </w:r>
      <w:r>
        <w:t xml:space="preserve"> </w:t>
      </w:r>
      <w:r>
        <w:t xml:space="preserve">signal rather than as an accuracy claim.</w:t>
      </w:r>
    </w:p>
    <w:bookmarkEnd w:id="53"/>
    <w:bookmarkStart w:id="54" w:name="_d0acb02147d05e0424d60de084afbad0eacdde0"/>
    <w:p>
      <w:pPr>
        <w:pStyle w:val="TableCaption"/>
      </w:pPr>
      <w:r>
        <w:t xml:space="preserve">Evaluation rigor on the protected test (n=1,147).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Paired comparison: the C1 tie is statistically verified, not read off rounded means.</w:t>
      </w:r>
      <w:r>
        <w:t xml:space="preserve"> </w:t>
      </w:r>
      <w:r>
        <w:rPr>
          <w:b/>
          <w:bCs/>
        </w:rPr>
        <w:t xml:space="preserve">(middle)</w:t>
      </w:r>
      <w:r>
        <w:t xml:space="preserve"> </w:t>
      </w:r>
      <w:r>
        <w:t xml:space="preserve">Error taxonomy: the only channel EVG fails to fix is the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answer string.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Reasoning-depth stratification: abstention concentrates on</w:t>
      </w:r>
      <w:r>
        <w:t xml:space="preserve"> </w:t>
      </w:r>
      <w:r>
        <w:t xml:space="preserve">the deepest programs and delivers its largest relative gain there. Bootstrap CI: 10</w:t>
      </w:r>
      <w:r>
        <w:t xml:space="preserve">,</w:t>
      </w:r>
      <w:r>
        <w:t xml:space="preserve">000</w:t>
      </w:r>
      <w:r>
        <w:t xml:space="preserve"> </w:t>
      </w:r>
      <w:r>
        <w:t xml:space="preserve">resamples; McNemar exact (binomial).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rigor on the protected test (n=1,147). (top) Paired comparison: the C1 tie is statistically verified, not read off rounded means. (middle) Error taxonomy: the only channel EVG fails to fix is the printed answer string. (bottom) Reasoning-depth stratification: abstention concentrates on the deepest programs and delivers its largest relative gain there. Bootstrap CI: 10,000 resamples; McNemar exact (binomial).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C1 significance (protected test, paired)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greedy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  <w:r>
              <w:t xml:space="preserve"> </w:t>
            </w:r>
            <w:r>
              <w:t xml:space="preserve">%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0.0122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0.0087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McNemar exact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0.871</w:t>
            </w:r>
          </w:p>
        </w:tc>
      </w:tr>
    </w:tbl>
    <w:bookmarkEnd w:id="54"/>
    <w:p>
      <w:pPr>
        <w:pStyle w:val="Heading1"/>
      </w:pPr>
      <w:bookmarkStart w:id="55" w:name="_a28f169358a053f7b171a621bd02ee9ea3d1d28"/>
      <w:r>
        <w:t xml:space="preserve">Results</w:t>
      </w:r>
      <w:bookmarkEnd w:id="55"/>
    </w:p>
    <w:p>
      <w:pPr>
        <w:pStyle w:val="Heading2"/>
      </w:pPr>
      <w:bookmarkStart w:id="56" w:name="_79156a38e22d161d80521c948cfbf2e18b1456e"/>
      <w:r>
        <w:t xml:space="preserve">C1 is rejected — and that is a result.</w:t>
      </w:r>
      <w:bookmarkEnd w:id="56"/>
    </w:p>
    <w:p>
      <w:pPr>
        <w:pStyle w:val="FirstParagraph"/>
      </w:pPr>
      <w:r>
        <w:t xml:space="preserve">Table IV and Figure 3. On the protected test, execution-verified selection is 0.6556 vs. frozen greedy 0.6574 (</w:t>
      </w:r>
      <m:oMath>
        <m:r>
          <m:rPr>
            <m:sty m:val="p"/>
          </m:rPr>
          <m:t>−</m:t>
        </m:r>
      </m:oMath>
      <w:r>
        <w:t xml:space="preserve">0.18 pp; per-record 18 gained, 20 lost, exact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,</w:t>
      </w:r>
      <w:r>
        <w:t xml:space="preserve"> </w:t>
      </w:r>
      <w:r>
        <w:t xml:space="preserve">bootstrap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0.0122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0.0087</m:t>
        </m:r>
        <m:r>
          <m:rPr>
            <m:sty m:val="p"/>
          </m:rPr>
          <m:t>]</m:t>
        </m:r>
      </m:oMath>
      <w:r>
        <w:t xml:space="preserve">), and the FiQA median-based</w:t>
      </w:r>
      <w:r>
        <w:t xml:space="preserve"> </w:t>
      </w:r>
      <w:r>
        <w:t xml:space="preserve">aggregator is 0.0005 worse in MAE. Validation showed the same story (tie: 0.6750 vs. 0.6750).</w:t>
      </w:r>
      <w:r>
        <w:t xml:space="preserve"> </w:t>
      </w:r>
      <w:r>
        <w:t xml:space="preserve">The one clean C1 win is</w:t>
      </w:r>
      <w:r>
        <w:t xml:space="preserve"> </w:t>
      </w:r>
      <w:r>
        <w:rPr>
          <w:i/>
          <w:iCs/>
        </w:rPr>
        <w:t xml:space="preserve">program hygiene</w:t>
      </w:r>
      <w:r>
        <w:t xml:space="preserve">: the invalid-program rate in the emitted</w:t>
      </w:r>
      <w:r>
        <w:t xml:space="preserve"> </w:t>
      </w:r>
      <w:r>
        <w:t xml:space="preserve">answers drops from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 exactly</w:t>
      </w:r>
      <w:r>
        <w:t xml:space="preserve"> </w:t>
      </w:r>
      <w:r>
        <w:rPr>
          <w:b/>
          <w:bCs/>
        </w:rPr>
        <w:t xml:space="preserve">0</w:t>
      </w:r>
      <w:r>
        <w:t xml:space="preserve">. Every answer we keep is backed</w:t>
      </w:r>
      <w:r>
        <w:t xml:space="preserve"> </w:t>
      </w:r>
      <w:r>
        <w:t xml:space="preserve">by a program the official evaluator accepted. On FiQA the median-of-8 aggregator also</w:t>
      </w:r>
      <w:r>
        <w:t xml:space="preserve"> </w:t>
      </w:r>
      <w:r>
        <w:t xml:space="preserve">betters neither MAE nor coverage; at matched coverage its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nevertheless the</w:t>
      </w:r>
      <w:r>
        <w:t xml:space="preserve"> </w:t>
      </w:r>
      <w:r>
        <w:t xml:space="preserve">best of the tested scores (selective MAE 0.1094 vs. 0.1176 for greedy-confidence at 80%</w:t>
      </w:r>
      <w:r>
        <w:t xml:space="preserve"> </w:t>
      </w:r>
      <w:r>
        <w:t xml:space="preserve">coverage, n=234) — a descriptive, small-sample hint that agreement transfers as a ranking</w:t>
      </w:r>
      <w:r>
        <w:t xml:space="preserve"> </w:t>
      </w:r>
      <w:r>
        <w:t xml:space="preserve">signal to regression too (see § matched coverage, below).</w:t>
      </w:r>
    </w:p>
    <w:p>
      <w:pPr>
        <w:pStyle w:val="Heading2"/>
      </w:pPr>
      <w:bookmarkStart w:id="57" w:name="_23248e215c6ab81529636492734ea76e55d252c"/>
      <w:r>
        <w:t xml:space="preserve">Agreement is the trust signal (C3 evidence at the decision level).</w:t>
      </w:r>
      <w:bookmarkEnd w:id="57"/>
    </w:p>
    <w:p>
      <w:pPr>
        <w:pStyle w:val="FirstParagraph"/>
      </w:pPr>
      <w:r>
        <w:t xml:space="preserve">Table V. On protected data the model reports total</w:t>
      </w:r>
      <w:r>
        <w:t xml:space="preserve"> </w:t>
      </w:r>
      <w:r>
        <w:rPr>
          <w:i/>
          <w:iCs/>
        </w:rPr>
        <w:t xml:space="preserve">disagreement</w:t>
      </w:r>
      <w:r>
        <w:t xml:space="preserve"> </w:t>
      </w:r>
      <w:r>
        <w:t xml:space="preserve">(agreement</w:t>
      </w:r>
      <w:r>
        <w:t xml:space="preserve"> </w:t>
      </w:r>
      <m:oMath>
        <m:r>
          <m:rPr>
            <m:sty m:val="p"/>
          </m:rPr>
          <m:t>≤</m:t>
        </m:r>
        <m:r>
          <m:t>0.25</m:t>
        </m:r>
      </m:oMath>
      <w:r>
        <w:t xml:space="preserve">) on records that are 2.9% correct and unanimous</w:t>
      </w:r>
      <w:r>
        <w:t xml:space="preserve"> </w:t>
      </w:r>
      <w:r>
        <w:t xml:space="preserve">agreement (the top bin,</w:t>
      </w:r>
      <w:r>
        <w:t xml:space="preserve"> </w:t>
      </w:r>
      <m:oMath>
        <m:r>
          <m:t>0.75</m:t>
        </m:r>
      </m:oMath>
      <w:r>
        <w:t xml:space="preserve">–</w:t>
      </w:r>
      <m:oMath>
        <m:r>
          <m:t>1.0</m:t>
        </m:r>
      </m:oMath>
      <w:r>
        <w:t xml:space="preserve">) on records that are 79.2% correct; nothing in the</w:t>
      </w:r>
      <w:r>
        <w:t xml:space="preserve"> </w:t>
      </w:r>
      <w:r>
        <w:t xml:space="preserve">model’s own log-probability separates these regimes (ROC-AUC 0.58 vs. 0.76 for agreement).</w:t>
      </w:r>
      <w:r>
        <w:t xml:space="preserve"> </w:t>
      </w:r>
      <w:r>
        <w:t xml:space="preserve">This is the signal that buys abstention.</w:t>
      </w:r>
    </w:p>
    <w:p>
      <w:pPr>
        <w:pStyle w:val="Heading2"/>
      </w:pPr>
      <w:bookmarkStart w:id="58" w:name="_c82d4da9cfe82af92735de5280c4deea13b0ed0"/>
      <w:r>
        <w:t xml:space="preserve">Calibration gives the threshold meaning (C2).</w:t>
      </w:r>
      <w:bookmarkEnd w:id="58"/>
    </w:p>
    <w:p>
      <w:pPr>
        <w:pStyle w:val="FirstParagraph"/>
      </w:pPr>
      <w:r>
        <w:t xml:space="preserve">Table VI. Out-of-fold Platt on the agreement features cuts Brier 0.28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0.16 and ECE 0.26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0.05. The ranking result is exactly what the</w:t>
      </w:r>
      <w:r>
        <w:t xml:space="preserve"> </w:t>
      </w:r>
      <w:r>
        <w:t xml:space="preserve">monotonicity caveat predicts: the single-feature calibrators cannot move e-AURC</w:t>
      </w:r>
      <w:r>
        <w:t xml:space="preserve"> </w:t>
      </w:r>
      <w:r>
        <w:t xml:space="preserve">(0.2029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0.2028), while the agreement-driven vector drops it to 0.1232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39.3% vs. raw,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35.1% vs. the best baseline frame).</w:t>
      </w:r>
    </w:p>
    <w:p>
      <w:pPr>
        <w:pStyle w:val="Heading2"/>
      </w:pPr>
      <w:bookmarkStart w:id="59" w:name="_896d75589fe437b5ce1a87349f36bd9e71f4ab8"/>
      <w:r>
        <w:t xml:space="preserve">The frozen policy transfers (C2’s operational payoff).</w:t>
      </w:r>
      <w:bookmarkEnd w:id="59"/>
    </w:p>
    <w:p>
      <w:pPr>
        <w:pStyle w:val="FirstParagraph"/>
      </w:pPr>
      <w:r>
        <w:t xml:space="preserve">Table VII and Figure 4. With the threshold fixed on validation, opening the protected test</w:t>
      </w:r>
      <w:r>
        <w:t xml:space="preserve"> </w:t>
      </w:r>
      <w:r>
        <w:t xml:space="preserve">once yields: coverage 0.786 at the 0.80 target, selective risk 0.2375 (accuracy 0.7625)</w:t>
      </w:r>
      <w:r>
        <w:t xml:space="preserve"> </w:t>
      </w:r>
      <w:r>
        <w:t xml:space="preserve">vs. 0.3444 at full coverage — a</w:t>
      </w:r>
      <w:r>
        <w:t xml:space="preserve"> </w:t>
      </w:r>
      <w:r>
        <w:rPr>
          <w:b/>
          <w:bCs/>
        </w:rPr>
        <w:t xml:space="preserve">31.0% relative error reduction</w:t>
      </w:r>
      <w:r>
        <w:t xml:space="preserve">, against the</w:t>
      </w:r>
      <w:r>
        <w:t xml:space="preserve"> </w:t>
      </w:r>
      <w:r>
        <w:t xml:space="preserve">34.2% predicted from validation; bootstrap 95% CI on the reduction is</w:t>
      </w:r>
      <w:r>
        <w:t xml:space="preserve"> </w:t>
      </w:r>
      <m:oMath>
        <m:r>
          <m:rPr>
            <m:sty m:val="p"/>
          </m:rPr>
          <m:t>[</m:t>
        </m:r>
        <m:r>
          <m:t>22.8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 </m:t>
        </m:r>
        <m:r>
          <m:t>39.3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(i.e. the transfer is significant, not a rounding effect). FiQA abstention is -2.9%: as the frozen FiQA method (raw</w:t>
      </w:r>
      <w:r>
        <w:t xml:space="preserve"> </w:t>
      </w:r>
      <w:r>
        <w:t xml:space="preserve">confidence on greedy) predicted, its errors are not rankable.</w:t>
      </w:r>
    </w:p>
    <w:p>
      <w:pPr>
        <w:pStyle w:val="Heading2"/>
      </w:pPr>
      <w:bookmarkStart w:id="60" w:name="_8874b44d3c6c62724dcf79b432fefba8c3e8f04"/>
      <w:r>
        <w:t xml:space="preserve">Rigor, error taxonomy, and depth (Table VIII).</w:t>
      </w:r>
      <w:bookmarkEnd w:id="60"/>
    </w:p>
    <w:p>
      <w:pPr>
        <w:pStyle w:val="FirstParagraph"/>
      </w:pPr>
      <w:r>
        <w:t xml:space="preserve">The protected test was opened once against the frozen manifest. Per-record significance</w:t>
      </w:r>
      <w:r>
        <w:t xml:space="preserve"> </w:t>
      </w:r>
      <w:r>
        <w:t xml:space="preserve">testing formalises the C1 verdict; the remaining error is not parsing (0/1,147) and –</w:t>
      </w:r>
      <w:r>
        <w:t xml:space="preserve"> </w:t>
      </w:r>
      <w:r>
        <w:t xml:space="preserve">for EVG – not program validity (0/1,147), but 395 genuine arithmetic slips (34.4%).</w:t>
      </w:r>
      <w:r>
        <w:t xml:space="preserve"> </w:t>
      </w:r>
      <w:r>
        <w:t xml:space="preserve">The taxonomy uses mutually exclusive cells that sum to</w:t>
      </w:r>
      <w:r>
        <w:t xml:space="preserve"> </w:t>
      </w:r>
      <m:oMath>
        <m:r>
          <m:t>n</m:t>
        </m:r>
      </m:oMath>
      <w:r>
        <w:t xml:space="preserve">: for greedy, 3 invalid</w:t>
      </w:r>
      <w:r>
        <w:t xml:space="preserve"> </w:t>
      </w:r>
      <w:r>
        <w:t xml:space="preserve">programs, 388 execute-and-print-wrong, 355</w:t>
      </w:r>
      <w:r>
        <w:t xml:space="preserve"> </w:t>
      </w:r>
      <w:r>
        <w:rPr>
          <w:i/>
          <w:iCs/>
        </w:rPr>
        <w:t xml:space="preserve">format mismatches</w:t>
      </w:r>
      <w:r>
        <w:t xml:space="preserve"> </w:t>
      </w:r>
      <w:r>
        <w:t xml:space="preserve">(the executed value is</w:t>
      </w:r>
      <w:r>
        <w:t xml:space="preserve"> </w:t>
      </w:r>
      <w:r>
        <w:t xml:space="preserve">correct but the printed string differs), and 2 cases where the printed string matches gold</w:t>
      </w:r>
      <w:r>
        <w:t xml:space="preserve"> </w:t>
      </w:r>
      <w:r>
        <w:t xml:space="preserve">while the executed value differs. Execution accuracy (</w:t>
      </w:r>
      <m:oMath>
        <m:r>
          <m:t>0.6574</m:t>
        </m:r>
      </m:oMath>
      <w:r>
        <w:t xml:space="preserve">) and printed-answer accuracy</w:t>
      </w:r>
      <w:r>
        <w:t xml:space="preserve"> </w:t>
      </w:r>
      <w:r>
        <w:t xml:space="preserve">(</w:t>
      </w:r>
      <m:oMath>
        <m:r>
          <m:t>0.3496</m:t>
        </m:r>
      </m:oMath>
      <w:r>
        <w:t xml:space="preserve">) therefore differ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by the 355-record format channel; EVG’s</w:t>
      </w:r>
      <w:r>
        <w:t xml:space="preserve"> </w:t>
      </w:r>
      <w:r>
        <w:rPr>
          <w:rStyle w:val="VerbatimChar"/>
        </w:rPr>
        <w:t xml:space="preserve">exec_verified</w:t>
      </w:r>
      <w:r>
        <w:t xml:space="preserve"> </w:t>
      </w:r>
      <w:r>
        <w:t xml:space="preserve">rule removes that channel by construction. Stratifying by the FinQA</w:t>
      </w:r>
      <w:r>
        <w:t xml:space="preserve"> </w:t>
      </w:r>
      <w:r>
        <w:t xml:space="preserve">program-depth proxy, the frozen policy abstains least on 0-op lookups (4.4%) and most on</w:t>
      </w:r>
      <w:r>
        <w:t xml:space="preserve"> </w:t>
      </w:r>
      <w:r>
        <w:t xml:space="preserve">3–6-op programs (31.3%), where it cuts error by 41.7%: abstention cost is spent precisely</w:t>
      </w:r>
      <w:r>
        <w:t xml:space="preserve"> </w:t>
      </w:r>
      <w:r>
        <w:t xml:space="preserve">where reasoning is deepest. All numbers carry bootstrap CIs in the annexed rigor report; the</w:t>
      </w:r>
      <w:r>
        <w:t xml:space="preserve"> </w:t>
      </w:r>
      <w:r>
        <w:t xml:space="preserve">calibration threshold used here was frozen on validation and never touched after the test</w:t>
      </w:r>
      <w:r>
        <w:t xml:space="preserve"> </w:t>
      </w:r>
      <w:r>
        <w:t xml:space="preserve">opened.</w:t>
      </w:r>
    </w:p>
    <w:p>
      <w:pPr>
        <w:pStyle w:val="Heading2"/>
      </w:pPr>
      <w:bookmarkStart w:id="61" w:name="_6b3bb25d38c8284276cb47da23a1a3a28b2fca9"/>
      <w:r>
        <w:t xml:space="preserve">The mechanism survives comparison at matched coverage (Table X).</w:t>
      </w:r>
      <w:bookmarkEnd w:id="61"/>
    </w:p>
    <w:p>
      <w:pPr>
        <w:pStyle w:val="FirstParagraph"/>
      </w:pPr>
      <w:r>
        <w:t xml:space="preserve">Figure 5 shows the corresponding validation ablation. Review pressure asks how agreement-abstention compares with standard alternatives when</w:t>
      </w:r>
      <w:r>
        <w:t xml:space="preserve"> </w:t>
      </w:r>
      <w:r>
        <w:t xml:space="preserve">they answer the</w:t>
      </w:r>
      <w:r>
        <w:t xml:space="preserve"> </w:t>
      </w:r>
      <w:r>
        <w:rPr>
          <w:i/>
          <w:iCs/>
        </w:rPr>
        <w:t xml:space="preserve">same number of questions</w:t>
      </w:r>
      <w:r>
        <w:t xml:space="preserve">. Table X 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v</m:t>
        </m:r>
        <m:r>
          <m:rPr>
            <m:sty m:val="p"/>
          </m:rPr>
          <m:t>⋅</m:t>
        </m:r>
        <m:r>
          <m:t>1147</m:t>
        </m:r>
        <m:r>
          <m:rPr>
            <m:sty m:val="p"/>
          </m:rPr>
          <m:t>⌋</m:t>
        </m:r>
      </m:oMath>
      <w:r>
        <w:t xml:space="preserve"> </w:t>
      </w:r>
      <w:r>
        <w:t xml:space="preserve">records by each score and measures selective risk on</w:t>
      </w:r>
      <w:r>
        <w:t xml:space="preserve"> </w:t>
      </w:r>
      <w:r>
        <w:t xml:space="preserve">the execution channel. Confidence-only abstention of the greedy baseline buys almost nothing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</m:oMath>
      <w:r>
        <w:t xml:space="preserve">8% error reduction; ROC-AUC 0.578) and best-of-n selection slightly hurts; ranking by</w:t>
      </w:r>
      <w:r>
        <w:t xml:space="preserve"> </w:t>
      </w:r>
      <w:r>
        <w:t xml:space="preserve">agreement alone cuts error 29.7% vs. greedy-full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23% vs. a confidence-abstainer at</w:t>
      </w:r>
      <w:r>
        <w:t xml:space="preserve"> </w:t>
      </w:r>
      <w:r>
        <w:t xml:space="preserve">the same coverage. A paired bootstrap (B=3</w:t>
      </w:r>
      <w:r>
        <w:t xml:space="preserve">,</w:t>
      </w:r>
      <w:r>
        <w:t xml:space="preserve">000) on the risk difference at coverage 0.80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0.093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0.055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against the confidence baseline. The leaving-one-out</w:t>
      </w:r>
      <w:r>
        <w:t xml:space="preserve"> </w:t>
      </w:r>
      <w:r>
        <w:t xml:space="preserve">ablation is sharp: agreement is necessary and sufficient; the executability feature is</w:t>
      </w:r>
      <w:r>
        <w:t xml:space="preserve"> </w:t>
      </w:r>
      <w:r>
        <w:t xml:space="preserve">uninformative (AUC 0.51) and the frozen Platt vector adds no ranking over agreement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), though it supplies the pre-registered threshold its probability meaning.</w:t>
      </w:r>
    </w:p>
    <w:p>
      <w:pPr>
        <w:pStyle w:val="Heading2"/>
      </w:pPr>
      <w:bookmarkStart w:id="62" w:name="_3343413875ce0e0a030677e0cfce99b66a2b6b9"/>
      <w:r>
        <w:t xml:space="preserve">Out-of-domain robustness.</w:t>
      </w:r>
      <w:bookmarkEnd w:id="62"/>
    </w:p>
    <w:p>
      <w:pPr>
        <w:pStyle w:val="FirstParagraph"/>
      </w:pPr>
      <w:r>
        <w:t xml:space="preserve">Table IX. Without any FOMC data in training, the frozen adapter raises macro-F1</w:t>
      </w:r>
      <w:r>
        <w:t xml:space="preserve"> </w:t>
      </w:r>
      <w:r>
        <w:t xml:space="preserve">0.21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0.30 and parse success 0.90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0.99, with the gain in the</w:t>
      </w:r>
      <w:r>
        <w:t xml:space="preserve"> </w:t>
      </w:r>
      <w:r>
        <w:t xml:space="preserve">rare classes (dovish F1 0.16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0.33; hawkish 0.05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0.26).</w:t>
      </w:r>
    </w:p>
    <w:p>
      <w:pPr>
        <w:pStyle w:val="Heading2"/>
      </w:pPr>
      <w:bookmarkStart w:id="63" w:name="_7311d421c51b2bf9042c8e2a1cd2608f1da5d70"/>
      <w:r>
        <w:t xml:space="preserve">Cost.</w:t>
      </w:r>
      <w:bookmarkEnd w:id="63"/>
    </w:p>
    <w:p>
      <w:pPr>
        <w:pStyle w:val="FirstParagraph"/>
      </w:pPr>
      <w:r>
        <w:t xml:space="preserve">EVG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runs at 4.8 s/question vs. 1.3 s greedy (3.7</w:t>
      </w:r>
      <m:oMath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shared prefill), peak VRAM 3.1 GB / 6 GB. The offered trade is therefore 31% fewer</w:t>
      </w:r>
      <w:r>
        <w:t xml:space="preserve"> </w:t>
      </w:r>
      <w:r>
        <w:t xml:space="preserve">answered errors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80% coverage in exchange for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on a laptop-class</w:t>
      </w:r>
      <w:r>
        <w:t xml:space="preserve"> </w:t>
      </w:r>
      <w:r>
        <w:t xml:space="preserve">model; whether that is</w:t>
      </w:r>
      <w:r>
        <w:t xml:space="preserve"> </w:t>
      </w:r>
      <w:r>
        <w:rPr>
          <w:i/>
          <w:iCs/>
        </w:rPr>
        <w:t xml:space="preserve">worth</w:t>
      </w:r>
      <w:r>
        <w:t xml:space="preserve"> </w:t>
      </w:r>
      <w:r>
        <w:t xml:space="preserve">it is a deployment decision, not a claim we make.</w:t>
      </w:r>
    </w:p>
    <w:p>
      <w:pPr>
        <w:pStyle w:val="Heading1"/>
      </w:pPr>
      <w:bookmarkStart w:id="64" w:name="_995727483262ea8ba7892e2ddf49eb09a6add3d"/>
      <w:r>
        <w:t xml:space="preserve">Additional Validation Diagnostics</w:t>
      </w:r>
      <w:bookmarkEnd w:id="64"/>
    </w:p>
    <w:p>
      <w:pPr>
        <w:pStyle w:val="FirstParagraph"/>
      </w:pPr>
      <w:r>
        <w:t xml:space="preserve">The protected-test analysis establishes the paper’s main selective-prediction result, while</w:t>
      </w:r>
      <w:r>
        <w:t xml:space="preserve"> </w:t>
      </w:r>
      <w:r>
        <w:t xml:space="preserve">the Phase-3 validation artifacts provide a more granular view of how the adapted model</w:t>
      </w:r>
      <w:r>
        <w:t xml:space="preserve"> </w:t>
      </w:r>
      <w:r>
        <w:t xml:space="preserve">fails. We report these diagnostics separately because they were available during model</w:t>
      </w:r>
      <w:r>
        <w:t xml:space="preserve"> </w:t>
      </w:r>
      <w:r>
        <w:t xml:space="preserve">development and therefore cannot be treated as additional protected-test evidence.</w:t>
      </w:r>
    </w:p>
    <w:p>
      <w:pPr>
        <w:pStyle w:val="Heading2"/>
      </w:pPr>
      <w:bookmarkStart w:id="65" w:name="_4da3e3005a056c4fc059679a648235c0c11c8f6"/>
      <w:r>
        <w:t xml:space="preserve">Failure channels</w:t>
      </w:r>
      <w:bookmarkEnd w:id="65"/>
    </w:p>
    <w:p>
      <w:pPr>
        <w:pStyle w:val="FirstParagraph"/>
      </w:pPr>
      <w:r>
        <w:t xml:space="preserve">The E5 validation export separates execution correctness, program validity, and printed</w:t>
      </w:r>
      <w:r>
        <w:t xml:space="preserve"> </w:t>
      </w:r>
      <w:r>
        <w:t xml:space="preserve">answer correctness. The corresponding rates are 0.6750, 0.6116, and 0.3760, with an</w:t>
      </w:r>
      <w:r>
        <w:t xml:space="preserve"> </w:t>
      </w:r>
      <w:r>
        <w:t xml:space="preserve">invalid-program rate of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883</m:t>
        </m:r>
        <m:r>
          <m:rPr>
            <m:sty m:val="p"/>
          </m:rPr>
          <m:t>=</m:t>
        </m:r>
        <m:r>
          <m:t>0.0034</m:t>
        </m:r>
      </m:oMath>
      <w:r>
        <w:t xml:space="preserve">. The gap between execution and printed accuracy is</w:t>
      </w:r>
      <w:r>
        <w:t xml:space="preserve"> </w:t>
      </w:r>
      <w:r>
        <w:t xml:space="preserve">not a contradiction: a program can execute to the correct numerical value while the</w:t>
      </w:r>
      <w:r>
        <w:t xml:space="preserve"> </w:t>
      </w:r>
      <w:r>
        <w:t xml:space="preserve">emitted answer string differs in formatting. This is why the protected analysis reports</w:t>
      </w:r>
      <w:r>
        <w:t xml:space="preserve"> </w:t>
      </w:r>
      <w:r>
        <w:t xml:space="preserve">the execution and printed channels independently. Figure 6</w:t>
      </w:r>
      <w:r>
        <w:t xml:space="preserve"> </w:t>
      </w:r>
      <w:r>
        <w:t xml:space="preserve">summarizes the audited validation failure categories; it is a diagnostic of E5 validation,</w:t>
      </w:r>
      <w:r>
        <w:t xml:space="preserve"> </w:t>
      </w:r>
      <w:r>
        <w:t xml:space="preserve">not a replacement for the protected-test taxonomy in Table VIII.</w:t>
      </w:r>
    </w:p>
    <w:bookmarkStart w:id="69" w:name="_6f3f2161dc19e8bca02f421b20baa275e393018"/>
    <w:p>
      <w:pPr>
        <w:pStyle w:val="CaptionedFigure"/>
      </w:pPr>
      <w:r>
        <w:drawing>
          <wp:inline>
            <wp:extent cx="5334000" cy="413422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6_finqa_failure_overview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failure overview generated from the Phase-3 analysis artifacts.</w:t>
      </w:r>
      <w:r>
        <w:t xml:space="preserve"> </w:t>
      </w:r>
      <w:r>
        <w:t xml:space="preserve">Execution, program, and printed-answer channels are kept distinct.</w:t>
      </w:r>
    </w:p>
    <w:bookmarkEnd w:id="69"/>
    <w:p>
      <w:pPr>
        <w:pStyle w:val="Heading2"/>
      </w:pPr>
      <w:bookmarkStart w:id="70" w:name="_6caf6b27ae2663c2f6ac350c6638f04485305b6"/>
      <w:r>
        <w:t xml:space="preserve">Confidence and error magnitude</w:t>
      </w:r>
      <w:bookmarkEnd w:id="70"/>
    </w:p>
    <w:p>
      <w:pPr>
        <w:pStyle w:val="FirstParagraph"/>
      </w:pPr>
      <w:r>
        <w:t xml:space="preserve">The initial token-confidence diagnostic was intentionally conservative: a Spearman</w:t>
      </w:r>
      <w:r>
        <w:t xml:space="preserve"> </w:t>
      </w:r>
      <w:r>
        <w:t xml:space="preserve">correlation of 0.125 and ROC-AUC of 0.577 do not establish calibrated probabilities.</w:t>
      </w:r>
      <w:r>
        <w:t xml:space="preserve"> </w:t>
      </w:r>
      <w:r>
        <w:t xml:space="preserve">Confidence bins also show that a model can assign similar token likelihoods to correct and</w:t>
      </w:r>
      <w:r>
        <w:t xml:space="preserve"> </w:t>
      </w:r>
      <w:r>
        <w:t xml:space="preserve">incorrect numerical responses. Figure 7 visualizes the</w:t>
      </w:r>
      <w:r>
        <w:t xml:space="preserve"> </w:t>
      </w:r>
      <w:r>
        <w:t xml:space="preserve">relationship between confidence and failure category in the validation export. The later</w:t>
      </w:r>
      <w:r>
        <w:t xml:space="preserve"> </w:t>
      </w:r>
      <w:r>
        <w:t xml:space="preserve">EVG-CAS study therefore uses agreement among executed candidates as a separate feature,</w:t>
      </w:r>
      <w:r>
        <w:t xml:space="preserve"> </w:t>
      </w:r>
      <w:r>
        <w:t xml:space="preserve">then calibrates it out-of-fold rather than interpreting raw token likelihood as a risk</w:t>
      </w:r>
      <w:r>
        <w:t xml:space="preserve"> </w:t>
      </w:r>
      <w:r>
        <w:t xml:space="preserve">probability.</w:t>
      </w:r>
    </w:p>
    <w:bookmarkStart w:id="74" w:name="_a21bbbd5f8ee47259add24f849d1c8dd2a7cb4b"/>
    <w:p>
      <w:pPr>
        <w:pStyle w:val="CaptionedFigure"/>
      </w:pPr>
      <w:r>
        <w:drawing>
          <wp:inline>
            <wp:extent cx="4862528" cy="351692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3_finqa_confidence_by_failur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28" cy="35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confidence by FinQA failure category. Individual observations,</w:t>
      </w:r>
      <w:r>
        <w:t xml:space="preserve"> </w:t>
      </w:r>
      <w:r>
        <w:t xml:space="preserve">box summaries, medians, means, and category counts are shown. Raw generation confidence is</w:t>
      </w:r>
      <w:r>
        <w:t xml:space="preserve"> </w:t>
      </w:r>
      <w:r>
        <w:t xml:space="preserve">not used as a calibrated probability without validation-only calibration.</w:t>
      </w:r>
    </w:p>
    <w:bookmarkEnd w:id="74"/>
    <w:p>
      <w:pPr>
        <w:pStyle w:val="FirstParagraph"/>
      </w:pPr>
      <w:r>
        <w:t xml:space="preserve">FiQA requires a different error interpretation because its target is continuous. The E5</w:t>
      </w:r>
      <w:r>
        <w:t xml:space="preserve"> </w:t>
      </w:r>
      <w:r>
        <w:t xml:space="preserve">validation MAE is 0.1301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0.7301, but aggregate scores do not reveal whether</w:t>
      </w:r>
      <w:r>
        <w:t xml:space="preserve"> </w:t>
      </w:r>
      <w:r>
        <w:t xml:space="preserve">errors concentrate at the positive or negative ends of the sentiment scale. Figure 8</w:t>
      </w:r>
      <w:r>
        <w:t xml:space="preserve"> </w:t>
      </w:r>
      <w:r>
        <w:t xml:space="preserve">shows the absolute-error distribution used for this inspection. The small validation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117</m:t>
        </m:r>
      </m:oMath>
      <w:r>
        <w:t xml:space="preserve">) means that these patterns should be treated as descriptive rather than as</w:t>
      </w:r>
      <w:r>
        <w:t xml:space="preserve"> </w:t>
      </w:r>
      <w:r>
        <w:t xml:space="preserve">population-level estimates.</w:t>
      </w:r>
    </w:p>
    <w:bookmarkStart w:id="78" w:name="_b15dd2eb2fdd1a0ff87742a64a53f970d3f3294"/>
    <w:p>
      <w:pPr>
        <w:pStyle w:val="CaptionedFigure"/>
      </w:pPr>
      <w:r>
        <w:drawing>
          <wp:inline>
            <wp:extent cx="5334000" cy="3058678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5_finqa_error_magnitud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absolute-error distribution for FiQA sentiment regression.</w:t>
      </w:r>
    </w:p>
    <w:bookmarkEnd w:id="78"/>
    <w:p>
      <w:pPr>
        <w:pStyle w:val="Heading2"/>
      </w:pPr>
      <w:bookmarkStart w:id="79" w:name="_8204df28d0260ca4fcc85605c43557011df87d6"/>
      <w:r>
        <w:t xml:space="preserve">Reproducibility and resource accounting</w:t>
      </w:r>
      <w:bookmarkEnd w:id="79"/>
    </w:p>
    <w:p>
      <w:pPr>
        <w:pStyle w:val="FirstParagraph"/>
      </w:pPr>
      <w:r>
        <w:t xml:space="preserve">Each reported result is intended to be traceable through four identifiers: dataset release</w:t>
      </w:r>
      <w:r>
        <w:t xml:space="preserve"> </w:t>
      </w:r>
      <w:r>
        <w:t xml:space="preserve">and split, model and adapter checkpoint, prompt and decoding policy, and prediction export.</w:t>
      </w:r>
      <w:r>
        <w:t xml:space="preserve"> </w:t>
      </w:r>
      <w:r>
        <w:t xml:space="preserve">The Phase-3 winner uses Qwen3-1.7B with 4-bit NF4 quantization, LoRA rank 16, scaling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t xml:space="preserve">, dropout 0.05,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weight decay 0.01, warm-up</w:t>
      </w:r>
      <w:r>
        <w:t xml:space="preserve"> </w:t>
      </w:r>
      <w:r>
        <w:t xml:space="preserve">ratio 0.03, gradient accumulation 8, two epochs, and seed 42. The Phase-4 protected run</w:t>
      </w:r>
      <w:r>
        <w:t xml:space="preserve"> </w:t>
      </w:r>
      <w:r>
        <w:t xml:space="preserve">then freezes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five-fold out-of-fold calibration, and</w:t>
      </w:r>
      <w:r>
        <w:t xml:space="preserve"> </w:t>
      </w:r>
      <w:r>
        <w:t xml:space="preserve">coverage targets 0.80 and 0.90. This separation makes it possible to distinguish a result</w:t>
      </w:r>
      <w:r>
        <w:t xml:space="preserve"> </w:t>
      </w:r>
      <w:r>
        <w:t xml:space="preserve">that was selected on validation from one that was measured after the protected freeze.</w:t>
      </w:r>
    </w:p>
    <w:p>
      <w:pPr>
        <w:pStyle w:val="BodyText"/>
      </w:pPr>
      <w:r>
        <w:t xml:space="preserve">The E5 training run processed 7 073 examples for two epochs in 2.47 hours, used a peak</w:t>
      </w:r>
      <w:r>
        <w:t xml:space="preserve"> </w:t>
      </w:r>
      <w:r>
        <w:t xml:space="preserve">3.40 GiB of VRAM on a 6 GB RTX 4050 Laptop GPU, and reported 1.18 seconds per item for</w:t>
      </w:r>
      <w:r>
        <w:t xml:space="preserve"> </w:t>
      </w:r>
      <w:r>
        <w:t xml:space="preserve">single-example inference. EVG-CAS requires 4.8 seconds per question versus 1.3 seconds for</w:t>
      </w:r>
      <w:r>
        <w:t xml:space="preserve"> </w:t>
      </w:r>
      <w:r>
        <w:t xml:space="preserve">greedy decoding in the protected profiling setup. These measurements are hardware- and</w:t>
      </w:r>
      <w:r>
        <w:t xml:space="preserve"> </w:t>
      </w:r>
      <w:r>
        <w:t xml:space="preserve">prompt-dependent; they describe the reported setup rather than a universal serving rate.</w:t>
      </w:r>
    </w:p>
    <w:p>
      <w:pPr>
        <w:pStyle w:val="Heading1"/>
      </w:pPr>
      <w:bookmarkStart w:id="80" w:name="_cbd875682116f3153fa9a8f9c77c00f8b5fdab1"/>
      <w:r>
        <w:t xml:space="preserve">Discussion and limitations</w:t>
      </w:r>
      <w:bookmarkEnd w:id="80"/>
    </w:p>
    <w:p>
      <w:pPr>
        <w:pStyle w:val="Heading2"/>
      </w:pPr>
      <w:bookmarkStart w:id="81" w:name="_88cd9a0f15c5b67eb3ec9a07a146442c5817f52"/>
      <w:r>
        <w:t xml:space="preserve">Matched-coverage robustness.</w:t>
      </w:r>
      <w:bookmarkEnd w:id="81"/>
    </w:p>
    <w:p>
      <w:pPr>
        <w:pStyle w:val="FirstParagraph"/>
      </w:pPr>
      <w:r>
        <w:t xml:space="preserve">At matched coverage, the selective gain survives comparison with simpler abstention rules</w:t>
      </w:r>
      <w:r>
        <w:t xml:space="preserve"> </w:t>
      </w:r>
      <w:r>
        <w:t xml:space="preserve">based on model confidence. Using 3</w:t>
      </w:r>
      <w:r>
        <w:t xml:space="preserve">,</w:t>
      </w:r>
      <w:r>
        <w:t xml:space="preserve">000 bootstrap resamples, the confidence-based</w:t>
      </w:r>
      <w:r>
        <w:t xml:space="preserve"> </w:t>
      </w:r>
      <w:r>
        <w:t xml:space="preserve">comparison has a confidence interval that excludes zero, while the ablation removes the</w:t>
      </w:r>
      <w:r>
        <w:t xml:space="preserve"> </w:t>
      </w:r>
      <w:r>
        <w:t xml:space="preserve">agreement feature and loses the observed advantage. This result supports the interpretation</w:t>
      </w:r>
      <w:r>
        <w:t xml:space="preserve"> </w:t>
      </w:r>
      <w:r>
        <w:t xml:space="preserve">that agreement among executable candidates, rather than confidence alone, supplies the</w:t>
      </w:r>
      <w:r>
        <w:t xml:space="preserve"> </w:t>
      </w:r>
      <w:r>
        <w:t xml:space="preserve">useful decision-level trust signal.</w:t>
      </w:r>
      <w:r>
        <w:t xml:space="preserve"> </w:t>
      </w:r>
      <w:r>
        <w:rPr>
          <w:b/>
          <w:bCs/>
        </w:rPr>
        <w:t xml:space="preserve">What we did not claim.</w:t>
      </w:r>
      <w:r>
        <w:t xml:space="preserve"> </w:t>
      </w:r>
      <w:r>
        <w:t xml:space="preserve">EVG-CAS does not raise accuracy; reporting a tie, rather</w:t>
      </w:r>
      <w:r>
        <w:t xml:space="preserve"> </w:t>
      </w:r>
      <w:r>
        <w:t xml:space="preserve">than a</w:t>
      </w:r>
      <w:r>
        <w:t xml:space="preserve"> </w:t>
      </w:r>
      <m:oMath>
        <m:r>
          <m:t>p</m:t>
        </m:r>
      </m:oMath>
      <w:r>
        <w:t xml:space="preserve">-value-won headline, is the point of the pre-registration.</w:t>
      </w:r>
      <w:r>
        <w:t xml:space="preserve"> </w:t>
      </w:r>
      <w:r>
        <w:rPr>
          <w:b/>
          <w:bCs/>
        </w:rPr>
        <w:t xml:space="preserve">Domain limits.</w:t>
      </w:r>
      <w:r>
        <w:t xml:space="preserve"> </w:t>
      </w:r>
      <w:r>
        <w:t xml:space="preserve">On FiQA (117 validation / 234 test records, regression), the EVG features carry no signal</w:t>
      </w:r>
      <w:r>
        <w:t xml:space="preserve"> </w:t>
      </w:r>
      <w:r>
        <w:t xml:space="preserve">and the frozen policy correctly abstains to no effect — a second reported negative result.</w:t>
      </w:r>
      <w:r>
        <w:t xml:space="preserve"> </w:t>
      </w:r>
      <w:r>
        <w:rPr>
          <w:b/>
          <w:bCs/>
        </w:rPr>
        <w:t xml:space="preserve">General limits.</w:t>
      </w:r>
      <w:r>
        <w:t xml:space="preserve"> </w:t>
      </w:r>
      <w:r>
        <w:t xml:space="preserve">One backbone, one seed, one evaluation harness; between-seed</w:t>
      </w:r>
      <w:r>
        <w:t xml:space="preserve"> </w:t>
      </w:r>
      <w:r>
        <w:t xml:space="preserve">variance of the agreement signal is unmeasured;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is pre-declared, not tuned; the</w:t>
      </w:r>
      <w:r>
        <w:t xml:space="preserve"> </w:t>
      </w:r>
      <w:r>
        <w:t xml:space="preserve">abstention gain costs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for zero accuracy gain.</w:t>
      </w:r>
      <w:r>
        <w:t xml:space="preserve"> </w:t>
      </w:r>
      <w:r>
        <w:rPr>
          <w:b/>
          <w:bCs/>
        </w:rPr>
        <w:t xml:space="preserve">Threats to</w:t>
      </w:r>
      <w:r>
        <w:rPr>
          <w:b/>
          <w:bCs/>
        </w:rPr>
        <w:t xml:space="preserve"> </w:t>
      </w:r>
      <w:r>
        <w:rPr>
          <w:b/>
          <w:bCs/>
        </w:rPr>
        <w:t xml:space="preserve">validity.</w:t>
      </w:r>
      <w:r>
        <w:t xml:space="preserve"> </w:t>
      </w:r>
      <w:r>
        <w:t xml:space="preserve">The protected-test protocol rests on the frozen manifest hash being unchanged</w:t>
      </w:r>
      <w:r>
        <w:t xml:space="preserve"> </w:t>
      </w:r>
      <w:r>
        <w:t xml:space="preserve">across access (it is); any leakage would invalidate C3’s transfer claim.</w:t>
      </w:r>
      <w:r>
        <w:t xml:space="preserve"> </w:t>
      </w:r>
      <w:r>
        <w:rPr>
          <w:b/>
          <w:bCs/>
        </w:rPr>
        <w:t xml:space="preserve">Ethics.</w:t>
      </w:r>
      <w:r>
        <w:t xml:space="preserve"> </w:t>
      </w:r>
      <w:r>
        <w:t xml:space="preserve">Abstention is a refusal signal, not a guarantee; a deployed system that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still</w:t>
      </w:r>
      <w:r>
        <w:t xml:space="preserve"> </w:t>
      </w:r>
      <w:r>
        <w:t xml:space="preserve">carries residual error (23.8% at coverage 0.8). No financial advice is implied.</w:t>
      </w:r>
    </w:p>
    <w:p>
      <w:pPr>
        <w:pStyle w:val="Heading1"/>
      </w:pPr>
      <w:bookmarkStart w:id="82" w:name="_conclusion"/>
      <w:r>
        <w:t xml:space="preserve">Conclusion</w:t>
      </w:r>
      <w:bookmarkEnd w:id="82"/>
    </w:p>
    <w:p>
      <w:pPr>
        <w:pStyle w:val="FirstParagraph"/>
      </w:pPr>
      <w:r>
        <w:t xml:space="preserve">For a QLoRA-adapted 1.7B financial model, execution-verified generation ties greedy decoding</w:t>
      </w:r>
      <w:r>
        <w:t xml:space="preserve"> </w:t>
      </w:r>
      <w:r>
        <w:t xml:space="preserve">on accuracy but produces a steep, monotone agreement signal that the model’s own confidence</w:t>
      </w:r>
      <w:r>
        <w:t xml:space="preserve"> </w:t>
      </w:r>
      <w:r>
        <w:t xml:space="preserve">cannot see. Calibrating that signal yields a pre-registered abstention threshold that</w:t>
      </w:r>
      <w:r>
        <w:t xml:space="preserve"> </w:t>
      </w:r>
      <w:r>
        <w:t xml:space="preserve">transfers to a once-opened protected test, cutting answered-error by 31% at 80% coverage.</w:t>
      </w:r>
      <w:r>
        <w:t xml:space="preserve"> </w:t>
      </w:r>
      <w:r>
        <w:t xml:space="preserve">The contribution to the financial-SLM conversation is an agreement-based selective-risk</w:t>
      </w:r>
      <w:r>
        <w:t xml:space="preserve"> </w:t>
      </w:r>
      <w:r>
        <w:t xml:space="preserve">signal for a small financial model, with a validation-frozen threshold and protected-test</w:t>
      </w:r>
      <w:r>
        <w:t xml:space="preserve"> </w:t>
      </w:r>
      <w:r>
        <w:t xml:space="preserve">transfer. Artifacts, frozen manifest and the full experiment trail are public;</w:t>
      </w:r>
      <w:r>
        <w:t xml:space="preserve"> </w:t>
      </w:r>
      <w:r>
        <w:rPr>
          <w:rStyle w:val="VerbatimChar"/>
        </w:rPr>
        <w:t xml:space="preserve">P4-E9</w:t>
      </w:r>
      <w:r>
        <w:t xml:space="preserve"> </w:t>
      </w:r>
      <w:r>
        <w:t xml:space="preserve">(FinTrust per-dimension evaluation) remains incomplete pending official judge scoring and is</w:t>
      </w:r>
      <w:r>
        <w:t xml:space="preserve"> </w:t>
      </w:r>
      <w:r>
        <w:t xml:space="preserve">the declared next step.</w:t>
      </w:r>
    </w:p>
    <w:p>
      <w:pPr>
        <w:pStyle w:val="FirstParagraph"/>
      </w:pPr>
      <w:r>
        <w:t xml:space="preserve">99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“FinQA: A Dataset of Numerical Reasoning over Financial Data,”</w:t>
      </w:r>
      <w:r>
        <w:t xml:space="preserve"> </w:t>
      </w:r>
      <w:r>
        <w:t xml:space="preserve">EMNLP, 2021.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“ConvFinQA: Exploring the Chain of Numerical Reasoning in Conversational Finance Question Answering,”</w:t>
      </w:r>
      <w:r>
        <w:t xml:space="preserve"> </w:t>
      </w:r>
      <w:r>
        <w:t xml:space="preserve">EMNLP, 2022.</w:t>
      </w:r>
      <w:r>
        <w:t xml:space="preserve"> </w:t>
      </w:r>
      <w:r>
        <w:t xml:space="preserve">F. Zhu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“TAT-QA: A Question Answering Benchmark on a Hybrid of Tabular and Textual Content in Finance,”</w:t>
      </w:r>
      <w:r>
        <w:t xml:space="preserve"> </w:t>
      </w:r>
      <w:r>
        <w:t xml:space="preserve">ACL, 2021.</w:t>
      </w:r>
      <w:r>
        <w:t xml:space="preserve"> </w:t>
      </w:r>
      <w:r>
        <w:t xml:space="preserve">K. Singh Phogat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“Fine-tuning Smaller Language Models for Question Answering over Financial Documents,”</w:t>
      </w:r>
      <w:r>
        <w:t xml:space="preserve"> </w:t>
      </w:r>
      <w:r>
        <w:t xml:space="preserve">Findings of EMNLP, 2024.</w:t>
      </w:r>
      <w:r>
        <w:t xml:space="preserve"> </w:t>
      </w:r>
      <w:r>
        <w:t xml:space="preserve">H. Yang, X.-Y. Liu, C. D. Wang,</w:t>
      </w:r>
      <w:r>
        <w:t xml:space="preserve"> </w:t>
      </w:r>
      <w:r>
        <w:t xml:space="preserve">“FinGPT: Open-Source Financial Large Language Models,”</w:t>
      </w:r>
      <w:r>
        <w:t xml:space="preserve"> </w:t>
      </w:r>
      <w:r>
        <w:t xml:space="preserve">J. Financial Data Science (arXiv:2306.06031), 2023.</w:t>
      </w:r>
      <w:r>
        <w:t xml:space="preserve"> </w:t>
      </w:r>
      <w:r>
        <w:t xml:space="preserve">Y. Yang, Y. Tang, K. Y. Tam,</w:t>
      </w:r>
      <w:r>
        <w:t xml:space="preserve"> </w:t>
      </w:r>
      <w:r>
        <w:t xml:space="preserve">“InvestLM: A Large Language Model for Investment using Financial Domain Instruction Tuning,”</w:t>
      </w:r>
      <w:r>
        <w:t xml:space="preserve"> </w:t>
      </w:r>
      <w:r>
        <w:t xml:space="preserve">arXiv:2309.13064, 2023.</w:t>
      </w:r>
      <w:r>
        <w:t xml:space="preserve"> </w:t>
      </w:r>
      <w:r>
        <w:t xml:space="preserve">S. Wu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“BloombergGPT: A Large Language Model for Finance,”</w:t>
      </w:r>
      <w:r>
        <w:t xml:space="preserve"> </w:t>
      </w:r>
      <w:r>
        <w:t xml:space="preserve">arXiv:2303.17564, 2023.</w:t>
      </w:r>
      <w:r>
        <w:t xml:space="preserve"> </w:t>
      </w:r>
      <w:r>
        <w:t xml:space="preserve">A. Huang, H. Wang, Y. Yang,</w:t>
      </w:r>
      <w:r>
        <w:t xml:space="preserve"> </w:t>
      </w:r>
      <w:r>
        <w:t xml:space="preserve">“FinBERT: A Pretrained Language Model for Financial Communications,”</w:t>
      </w:r>
      <w:r>
        <w:t xml:space="preserve"> </w:t>
      </w:r>
      <w:r>
        <w:t xml:space="preserve">arXiv:2006.08097, 2020.</w:t>
      </w:r>
      <w:r>
        <w:t xml:space="preserve"> </w:t>
      </w:r>
      <w:r>
        <w:t xml:space="preserve">Y. Shi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“Kronos: A Foundation Model for the Language of Financial Markets,”</w:t>
      </w:r>
      <w:r>
        <w:t xml:space="preserve"> </w:t>
      </w:r>
      <w:r>
        <w:t xml:space="preserve">arXiv:2508.02739, 2025.</w:t>
      </w:r>
      <w:r>
        <w:t xml:space="preserve"> </w:t>
      </w:r>
      <w:r>
        <w:t xml:space="preserve">Q. Xie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“FinBen: A Holistic Financial Benchmark for Large Language Models,”</w:t>
      </w:r>
      <w:r>
        <w:t xml:space="preserve"> </w:t>
      </w:r>
      <w:r>
        <w:t xml:space="preserve">NeurIPS D&amp;B, 2024.</w:t>
      </w:r>
      <w:r>
        <w:t xml:space="preserve"> </w:t>
      </w:r>
      <w:r>
        <w:t xml:space="preserve">T.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“FinTrust: A Comprehensive Benchmark of Trustworthiness Evaluation in Finance Domain,”</w:t>
      </w:r>
      <w:r>
        <w:t xml:space="preserve"> </w:t>
      </w:r>
      <w:r>
        <w:t xml:space="preserve">EMNLP, 2025.</w:t>
      </w:r>
      <w:r>
        <w:t xml:space="preserve"> </w:t>
      </w:r>
      <w:r>
        <w:t xml:space="preserve">S. Subramanian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“Small Language Models (SLMs) Can Still Pack a Punch: A Survey,”</w:t>
      </w:r>
      <w:r>
        <w:t xml:space="preserve"> </w:t>
      </w:r>
      <w:r>
        <w:t xml:space="preserve">arXiv:2501.05465, 2025.</w:t>
      </w:r>
      <w:r>
        <w:t xml:space="preserve"> </w:t>
      </w:r>
      <w:r>
        <w:t xml:space="preserve">M. Abdin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“Phi-3 Technical Report,”</w:t>
      </w:r>
      <w:r>
        <w:t xml:space="preserve"> </w:t>
      </w:r>
      <w:r>
        <w:t xml:space="preserve">arXiv:2404.14219, 2024.</w:t>
      </w:r>
      <w:r>
        <w:t xml:space="preserve"> </w:t>
      </w:r>
      <w:r>
        <w:t xml:space="preserve">P. 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“TinyLlama: An Open-Source Small Language Model,”</w:t>
      </w:r>
      <w:r>
        <w:t xml:space="preserve"> </w:t>
      </w:r>
      <w:r>
        <w:t xml:space="preserve">arXiv:2401.02385, 2024.</w:t>
      </w:r>
      <w:r>
        <w:t xml:space="preserve"> </w:t>
      </w:r>
      <w:r>
        <w:t xml:space="preserve">Qwen Team,</w:t>
      </w:r>
      <w:r>
        <w:t xml:space="preserve"> </w:t>
      </w:r>
      <w:r>
        <w:t xml:space="preserve">“Qwen3 Technical Report,”</w:t>
      </w:r>
      <w:r>
        <w:t xml:space="preserve"> </w:t>
      </w:r>
      <w:r>
        <w:t xml:space="preserve">arXiv:2505.09388, 2025.</w:t>
      </w:r>
      <w:r>
        <w:t xml:space="preserve"> </w:t>
      </w:r>
      <w:r>
        <w:t xml:space="preserve">E.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“LoRA: Low-Rank Adaptation of Large Language Models,”</w:t>
      </w:r>
      <w:r>
        <w:t xml:space="preserve"> </w:t>
      </w:r>
      <w:r>
        <w:t xml:space="preserve">ICLR, 2022.</w:t>
      </w:r>
      <w:r>
        <w:t xml:space="preserve"> </w:t>
      </w:r>
      <w:r>
        <w:t xml:space="preserve">T. Dettmers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“QLoRA: Efficient Finetuning of Quantized LLMs,”</w:t>
      </w:r>
      <w:r>
        <w:t xml:space="preserve"> </w:t>
      </w:r>
      <w:r>
        <w:t xml:space="preserve">NeurIPS, 2023.</w:t>
      </w:r>
      <w:r>
        <w:t xml:space="preserve"> </w:t>
      </w:r>
      <w:r>
        <w:t xml:space="preserve">X.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ICLR, 2023.</w:t>
      </w:r>
      <w:r>
        <w:t xml:space="preserve"> </w:t>
      </w:r>
      <w:r>
        <w:t xml:space="preserve">H. Lightman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ICLR, 2024.</w:t>
      </w:r>
      <w:r>
        <w:t xml:space="preserve"> </w:t>
      </w:r>
      <w:r>
        <w:t xml:space="preserve">P.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“Math-Shepherd: Verify and Reinforce LLMs Step-by-step without Human Annotations,”</w:t>
      </w:r>
      <w:r>
        <w:t xml:space="preserve"> </w:t>
      </w:r>
      <w:r>
        <w:t xml:space="preserve">ACL, 2024.</w:t>
      </w:r>
      <w:r>
        <w:t xml:space="preserve"> </w:t>
      </w:r>
      <w:r>
        <w:t xml:space="preserve">X. Chen, D. Song, Y. Tian,</w:t>
      </w:r>
      <w:r>
        <w:t xml:space="preserve"> </w:t>
      </w:r>
      <w:r>
        <w:t xml:space="preserve">“Execution-Guided Neural Program Synthesis,”</w:t>
      </w:r>
      <w:r>
        <w:t xml:space="preserve"> </w:t>
      </w:r>
      <w:r>
        <w:t xml:space="preserve">ICLR, 2019.</w:t>
      </w:r>
      <w:r>
        <w:t xml:space="preserve"> </w:t>
      </w:r>
      <w:r>
        <w:t xml:space="preserve">R. El-Yaniv, Y. Wiener,</w:t>
      </w:r>
      <w:r>
        <w:t xml:space="preserve"> </w:t>
      </w:r>
      <w:r>
        <w:t xml:space="preserve">“On the Foundations of Noise-free Selective Classification,”</w:t>
      </w:r>
      <w:r>
        <w:t xml:space="preserve"> </w:t>
      </w:r>
      <w:r>
        <w:t xml:space="preserve">JMLR 11, 2010.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 Classification for Deep Neural Networks,”</w:t>
      </w:r>
      <w:r>
        <w:t xml:space="preserve"> </w:t>
      </w:r>
      <w:r>
        <w:t xml:space="preserve">NeurIPS, 2017.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“SelectiveNet: A Deep Neural Network with an Integrated Reject Option,”</w:t>
      </w:r>
      <w:r>
        <w:t xml:space="preserve"> </w:t>
      </w:r>
      <w:r>
        <w:t xml:space="preserve">ICML, 2019.</w:t>
      </w:r>
      <w:r>
        <w:t xml:space="preserve"> </w:t>
      </w:r>
      <w:r>
        <w:t xml:space="preserve">C. Guo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ICML, 2017.</w:t>
      </w:r>
      <w:r>
        <w:t xml:space="preserve"> </w:t>
      </w:r>
      <w:r>
        <w:t xml:space="preserve">J. C. 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Advances in Large Margin Classifiers, 1999.</w:t>
      </w:r>
      <w:r>
        <w:t xml:space="preserve"> </w:t>
      </w:r>
      <w:r>
        <w:t xml:space="preserve">B. Zadrozny, C. 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KDD, 2002.</w:t>
      </w:r>
      <w:r>
        <w:t xml:space="preserve"> </w:t>
      </w:r>
      <w:r>
        <w:t xml:space="preserve">S. Lin, J. Hilton, O. Evans,</w:t>
      </w:r>
      <w:r>
        <w:t xml:space="preserve"> </w:t>
      </w:r>
      <w:r>
        <w:t xml:space="preserve">“Teaching Models to Express Their Uncertainty in Words,”</w:t>
      </w:r>
      <w:r>
        <w:t xml:space="preserve"> </w:t>
      </w:r>
      <w:r>
        <w:t xml:space="preserve">TMLR, 2022.</w:t>
      </w:r>
      <w:r>
        <w:t xml:space="preserve"> </w:t>
      </w:r>
      <w:r>
        <w:t xml:space="preserve">S. Fritz-Morgenthal, B. Hein, J. Papenbrock,</w:t>
      </w:r>
      <w:r>
        <w:t xml:space="preserve"> </w:t>
      </w:r>
      <w:r>
        <w:t xml:space="preserve">“Financial Risk Management and Explainable, Trustworthy, Responsible AI,”</w:t>
      </w:r>
      <w:r>
        <w:t xml:space="preserve"> </w:t>
      </w:r>
      <w:r>
        <w:t xml:space="preserve">SSRN 3873768, 2022.</w:t>
      </w:r>
      <w:r>
        <w:t xml:space="preserve"> </w:t>
      </w:r>
      <w:r>
        <w:t xml:space="preserve">A. Taubenfeld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Findings of ACL, 2025 (https://aclanthology.org/2025.findings-acl.1030/).</w:t>
      </w:r>
      <w:r>
        <w:t xml:space="preserve"> </w:t>
      </w:r>
      <w:r>
        <w:t xml:space="preserve">A. V. Aravindan and M. Kejriwal,</w:t>
      </w:r>
      <w:r>
        <w:t xml:space="preserve"> </w:t>
      </w:r>
      <w:r>
        <w:t xml:space="preserve">“Second Guess: Detecting Uncertainty Through Abstention and Answer Stability in Small Language Models,”</w:t>
      </w:r>
      <w:r>
        <w:t xml:space="preserve"> </w:t>
      </w:r>
      <w:r>
        <w:t xml:space="preserve">arXiv:2605.25394, 2026.</w:t>
      </w:r>
      <w:r>
        <w:t xml:space="preserve"> </w:t>
      </w:r>
      <w:r>
        <w:t xml:space="preserve">Z.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“SConU: Selective Conformal Uncertainty in Large Language Models,”</w:t>
      </w:r>
      <w:r>
        <w:t xml:space="preserve"> </w:t>
      </w:r>
      <w:r>
        <w:t xml:space="preserve">ACL, 2025.</w:t>
      </w:r>
      <w:r>
        <w:t xml:space="preserve"> </w:t>
      </w:r>
      <w:r>
        <w:t xml:space="preserve">Z.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“LEC: Linear Expectation Constraints for Selection-Conditioned Risk Control in Selective Prediction and Routing Systems,”</w:t>
      </w:r>
      <w:r>
        <w:t xml:space="preserve"> </w:t>
      </w:r>
      <w:r>
        <w:t xml:space="preserve">arXiv:2512.01556, 2025.</w:t>
      </w:r>
      <w:r>
        <w:t xml:space="preserve"> </w:t>
      </w:r>
      <w:r>
        <w:t xml:space="preserve">J.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“Adaptation with Self-Evaluation to Improve Selective Prediction in LLMs,”</w:t>
      </w:r>
      <w:r>
        <w:t xml:space="preserve"> </w:t>
      </w:r>
      <w:r>
        <w:t xml:space="preserve">Findings of EMNLP, 2023 (arXiv:2310.11689).</w:t>
      </w:r>
      <w:r>
        <w:t xml:space="preserve"> </w:t>
      </w:r>
      <w:r>
        <w:t xml:space="preserve">C. 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“David vs. Goliath: Cost-Efficient Financial QA via Cascaded Multi-Agent Reasoning,”</w:t>
      </w:r>
      <w:r>
        <w:t xml:space="preserve"> </w:t>
      </w:r>
      <w:r>
        <w:t xml:space="preserve">Findings of EMNLP, 2025 (https://aclanthology.org/2025.findings-emnlp.225/).</w:t>
      </w:r>
      <w:r>
        <w:t xml:space="preserve"> </w:t>
      </w:r>
      <w:r>
        <w:t xml:space="preserve">Z. Xie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“FinChain: A Symbolic Benchmark for Verifiable Chain-of-Thought Financial Reasoning,”</w:t>
      </w:r>
      <w:r>
        <w:t xml:space="preserve"> </w:t>
      </w:r>
      <w:r>
        <w:t xml:space="preserve">arXiv:2506.02515,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66" Target="media/rId6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FinTrust: Trustworthy Small Language Models for Financial Tasks</dc:title>
  <dc:creator>; ; </dc:creator>
  <cp:keywords/>
  <dcterms:created xsi:type="dcterms:W3CDTF">2026-10-19T07:54:23Z</dcterms:created>
  <dcterms:modified xsi:type="dcterms:W3CDTF">2026-10-19T07:54:23Z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Small language models can reduce the cost of financial analysis, but accuracy alone does not reveal whether a numerical answer should be trusted. We present EVG-CAS, an execution-verified generation and agreement-calibrated abstention procedure, evaluated on a frozen QLoRA-adapted 1.7B financial model. The model samples eight candidate programs, executes valid candidates with the official FinQA evaluator, and uses agreement among the executed answers as a selective-risk feature. All model and threshold choices are frozen on validation data before protected evaluation. On the protected FinQA test, EVG-CAS does not improve accuracy: execution-verified selection obtains 65.56%, compared with 65.74% for greedy decoding (McNemar exact p=0.871). It does, however, provide a strong ranking signal for abstention: agreement-bin accuracy increases from 2.9% to 79.2%, while the model’s token log-probability has ROC-AUC 0.58. Out-of-fold Platt calibration reduces FinQA Brier score from 0.2845 to 0.1579 and ECE from 0.2555 to 0.0475. With the threshold selected for 80% validation coverage, the frozen policy transfers to the protected test with 76.25% accuracy and 31.0% fewer answered errors than full-coverage decoding. FiQA shows negligible abstention benefit, while a zero-shot FinBen-FOMC probe improves macro-F1 from 0.21 to 0.30. These results position EVG-CAS as a selective prediction method for small financial models, not as a general accuracy improvement.</vt:lpwstr>
  </property>
  <property fmtid="{D5CDD505-2E9C-101B-9397-08002B2CF9AE}" pid="3" name="date">
    <vt:lpwstr/>
  </property>
</Properties>
</file>