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left"/>
      </w:pPr>
      <w:r>
        <w:rPr>
          <w:b/>
          <w:color w:val="087C86"/>
          <w:sz w:val="20"/>
        </w:rPr>
        <w:t>TRUSTFIN-SLM  /  RESEARCH METHODS</w:t>
      </w:r>
    </w:p>
    <w:p>
      <w:pPr>
        <w:pStyle w:val="Title"/>
      </w:pPr>
      <w:r>
        <w:t>Phase-3 Results Analysis</w:t>
        <w:br/>
        <w:t>and Why Phase-3.1 Is Required</w:t>
      </w:r>
    </w:p>
    <w:p>
      <w:r>
        <w:rPr>
          <w:color w:val="667387"/>
          <w:sz w:val="28"/>
        </w:rPr>
        <w:t>Student-oriented technical report and execution roadmap</w:t>
      </w:r>
    </w:p>
    <w:p>
      <w:r>
        <w:t>Project: Trustworthy Small Language Models for Financial Tasks</w:t>
      </w:r>
    </w:p>
    <w:p>
      <w:r>
        <w:t>Evidence: Phase3_TrustFin_Deliverable.zip  |  Compiled: 20 October 2026</w:t>
      </w:r>
    </w:p>
    <w:p>
      <w:r>
        <w:t>Evaluation status: Phase-3 E1–E16 completed on validation data; Phase-3.1 audit recommended before Phase-4.</w:t>
      </w:r>
    </w:p>
    <w:tbl>
      <w:tblPr>
        <w:tblW w:type="auto" w:w="0"/>
        <w:tblLayout w:type="fixed"/>
        <w:tblLook w:firstColumn="1" w:firstRow="1" w:lastColumn="0" w:lastRow="0" w:noHBand="0" w:noVBand="1" w:val="04A0"/>
      </w:tblPr>
      <w:tblGrid>
        <w:gridCol w:w="9648"/>
      </w:tblGrid>
      <w:tr>
        <w:tc>
          <w:tcPr>
            <w:tcW w:type="dxa" w:w="9950"/>
            <w:shd w:fill="EAF3F5"/>
            <w:tcMar>
              <w:top w:w="140" w:type="dxa"/>
              <w:start w:w="150" w:type="dxa"/>
              <w:bottom w:w="140" w:type="dxa"/>
              <w:end w:w="150" w:type="dxa"/>
            </w:tcMar>
          </w:tcPr>
          <w:p>
            <w:r>
              <w:rPr>
                <w:b/>
                <w:color w:val="087C86"/>
                <w:sz w:val="19"/>
              </w:rPr>
              <w:t xml:space="preserve">Main takeaway   </w:t>
            </w:r>
            <w:r>
              <w:rPr>
                <w:sz w:val="19"/>
              </w:rPr>
              <w:t>The model often generates a correct executable financial program but an incorrect written answer. Phase-3.1 must verify the reporting, preserve model artifacts, and translate this failure pattern into a defensible Phase-4 methodology.</w:t>
            </w:r>
          </w:p>
        </w:tc>
      </w:tr>
    </w:tbl>
    <w:p>
      <w:pPr>
        <w:spacing w:after="0"/>
      </w:pPr>
    </w:p>
    <w:p>
      <w:r>
        <w:t>This report explains what the students implemented, what the numbers mean, which results are publishable, what needs correction, and the precise checklist for the next phase.</w:t>
      </w:r>
    </w:p>
    <w:p>
      <w:pPr>
        <w:pStyle w:val="Heading2"/>
      </w:pPr>
      <w:r>
        <w:t>Who should read this report?</w:t>
      </w:r>
    </w:p>
    <w:p>
      <w:r>
        <w:t>Students responsible for model training, metrics, data engineering, financial-program verification, trust scoring, ablation studies, and paper writing. No prior knowledge of the complete notebook is assumed.</w:t>
      </w:r>
    </w:p>
    <w:p>
      <w:pPr>
        <w:pStyle w:val="Heading2"/>
      </w:pPr>
      <w:r>
        <w:t>How the report is organized</w:t>
      </w:r>
    </w:p>
    <w:tbl>
      <w:tblPr>
        <w:tblStyle w:val="TableGrid"/>
        <w:tblW w:type="auto" w:w="0"/>
        <w:jc w:val="center"/>
        <w:tblLayout w:type="autofit"/>
        <w:tblLook w:firstColumn="1" w:firstRow="1" w:lastColumn="0" w:lastRow="0" w:noHBand="0" w:noVBand="1" w:val="04A0"/>
      </w:tblPr>
      <w:tblGrid>
        <w:gridCol w:w="4975"/>
        <w:gridCol w:w="4975"/>
      </w:tblGrid>
      <w:tr>
        <w:trPr>
          <w:tblHeader w:val="true"/>
        </w:trPr>
        <w:tc>
          <w:tcPr>
            <w:tcW w:type="dxa" w:w="4975"/>
            <w:shd w:fill="182B49"/>
            <w:tcMar>
              <w:top w:w="90" w:type="dxa"/>
              <w:start w:w="115" w:type="dxa"/>
              <w:bottom w:w="90" w:type="dxa"/>
              <w:end w:w="115" w:type="dxa"/>
            </w:tcMar>
          </w:tcPr>
          <w:p>
            <w:r>
              <w:rPr>
                <w:b/>
                <w:color w:val="FFFFFF"/>
                <w:sz w:val="16"/>
              </w:rPr>
              <w:t>Part</w:t>
            </w:r>
          </w:p>
        </w:tc>
        <w:tc>
          <w:tcPr>
            <w:tcW w:type="dxa" w:w="4975"/>
            <w:shd w:fill="182B49"/>
            <w:tcMar>
              <w:top w:w="90" w:type="dxa"/>
              <w:start w:w="115" w:type="dxa"/>
              <w:bottom w:w="90" w:type="dxa"/>
              <w:end w:w="115" w:type="dxa"/>
            </w:tcMar>
          </w:tcPr>
          <w:p>
            <w:r>
              <w:rPr>
                <w:b/>
                <w:color w:val="FFFFFF"/>
                <w:sz w:val="16"/>
              </w:rPr>
              <w:t>Purpose</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8"/>
              </w:rPr>
              <w:t>A. Context</w:t>
            </w:r>
          </w:p>
        </w:tc>
        <w:tc>
          <w:tcPr>
            <w:tcW w:type="dxa" w:w="4975"/>
            <w:vAlign w:val="center"/>
            <w:tcMar>
              <w:top w:w="90" w:type="dxa"/>
              <w:start w:w="115" w:type="dxa"/>
              <w:bottom w:w="90" w:type="dxa"/>
              <w:end w:w="115" w:type="dxa"/>
            </w:tcMar>
            <w:shd w:fill="F3F6F9"/>
          </w:tcPr>
          <w:p>
            <w:pPr>
              <w:spacing w:after="0" w:line="254" w:lineRule="auto"/>
            </w:pPr>
            <w:r>
              <w:rPr>
                <w:sz w:val="18"/>
              </w:rPr>
              <w:t>Research goal, datasets, and what Phase-3 tested</w:t>
            </w:r>
          </w:p>
        </w:tc>
      </w:tr>
      <w:tr>
        <w:trPr>
          <w:cantSplit/>
        </w:trPr>
        <w:tc>
          <w:tcPr>
            <w:tcW w:type="dxa" w:w="4975"/>
            <w:vAlign w:val="center"/>
            <w:tcMar>
              <w:top w:w="90" w:type="dxa"/>
              <w:start w:w="115" w:type="dxa"/>
              <w:bottom w:w="90" w:type="dxa"/>
              <w:end w:w="115" w:type="dxa"/>
            </w:tcMar>
          </w:tcPr>
          <w:p>
            <w:pPr>
              <w:spacing w:after="0" w:line="254" w:lineRule="auto"/>
            </w:pPr>
            <w:r>
              <w:rPr>
                <w:sz w:val="18"/>
              </w:rPr>
              <w:t>B. Findings</w:t>
            </w:r>
          </w:p>
        </w:tc>
        <w:tc>
          <w:tcPr>
            <w:tcW w:type="dxa" w:w="4975"/>
            <w:vAlign w:val="center"/>
            <w:tcMar>
              <w:top w:w="90" w:type="dxa"/>
              <w:start w:w="115" w:type="dxa"/>
              <w:bottom w:w="90" w:type="dxa"/>
              <w:end w:w="115" w:type="dxa"/>
            </w:tcMar>
          </w:tcPr>
          <w:p>
            <w:pPr>
              <w:spacing w:after="0" w:line="254" w:lineRule="auto"/>
            </w:pPr>
            <w:r>
              <w:rPr>
                <w:sz w:val="18"/>
              </w:rPr>
              <w:t>E1–E16 performance, failures, confidence, efficiency</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8"/>
              </w:rPr>
              <w:t>C. Research audit</w:t>
            </w:r>
          </w:p>
        </w:tc>
        <w:tc>
          <w:tcPr>
            <w:tcW w:type="dxa" w:w="4975"/>
            <w:vAlign w:val="center"/>
            <w:tcMar>
              <w:top w:w="90" w:type="dxa"/>
              <w:start w:w="115" w:type="dxa"/>
              <w:bottom w:w="90" w:type="dxa"/>
              <w:end w:w="115" w:type="dxa"/>
            </w:tcMar>
            <w:shd w:fill="F3F6F9"/>
          </w:tcPr>
          <w:p>
            <w:pPr>
              <w:spacing w:after="0" w:line="254" w:lineRule="auto"/>
            </w:pPr>
            <w:r>
              <w:rPr>
                <w:sz w:val="18"/>
              </w:rPr>
              <w:t>Bugs, limitations, and frozen model interpretation</w:t>
            </w:r>
          </w:p>
        </w:tc>
      </w:tr>
      <w:tr>
        <w:trPr>
          <w:cantSplit/>
        </w:trPr>
        <w:tc>
          <w:tcPr>
            <w:tcW w:type="dxa" w:w="4975"/>
            <w:vAlign w:val="center"/>
            <w:tcMar>
              <w:top w:w="90" w:type="dxa"/>
              <w:start w:w="115" w:type="dxa"/>
              <w:bottom w:w="90" w:type="dxa"/>
              <w:end w:w="115" w:type="dxa"/>
            </w:tcMar>
          </w:tcPr>
          <w:p>
            <w:pPr>
              <w:spacing w:after="0" w:line="254" w:lineRule="auto"/>
            </w:pPr>
            <w:r>
              <w:rPr>
                <w:sz w:val="18"/>
              </w:rPr>
              <w:t>D. Next work</w:t>
            </w:r>
          </w:p>
        </w:tc>
        <w:tc>
          <w:tcPr>
            <w:tcW w:type="dxa" w:w="4975"/>
            <w:vAlign w:val="center"/>
            <w:tcMar>
              <w:top w:w="90" w:type="dxa"/>
              <w:start w:w="115" w:type="dxa"/>
              <w:bottom w:w="90" w:type="dxa"/>
              <w:end w:w="115" w:type="dxa"/>
            </w:tcMar>
          </w:tcPr>
          <w:p>
            <w:pPr>
              <w:spacing w:after="0" w:line="254" w:lineRule="auto"/>
            </w:pPr>
            <w:r>
              <w:rPr>
                <w:sz w:val="18"/>
              </w:rPr>
              <w:t>Phase-3.1 work packages, exit gates, Phase-4 plan</w:t>
            </w:r>
          </w:p>
        </w:tc>
      </w:tr>
    </w:tbl>
    <w:p>
      <w:pPr>
        <w:spacing w:after="20"/>
      </w:pPr>
    </w:p>
    <w:p>
      <w:r>
        <w:br w:type="page"/>
      </w:r>
    </w:p>
    <w:p>
      <w:pPr>
        <w:pStyle w:val="Heading1"/>
      </w:pPr>
      <w:r>
        <w:t>A. Research context and Phase-3 objectives</w:t>
      </w:r>
    </w:p>
    <w:p>
      <w:pPr>
        <w:pStyle w:val="Heading2"/>
      </w:pPr>
      <w:r>
        <w:t>1. What problem are we trying to solve?</w:t>
      </w:r>
    </w:p>
    <w:p>
      <w:r>
        <w:t>A financial Small Language Model (SLM) is expected to read financial evidence, reason over quantities, and return dependable outputs. Accuracy alone is not sufficient: if the model cannot identify when its answer is unreliable, it may produce confident but incorrect financial information.</w:t>
      </w:r>
    </w:p>
    <w:p>
      <w:r>
        <w:t>The proposed paper investigates whether a modest-sized model can perform financial numerical reasoning and financial sentiment prediction, and whether additional verification and risk estimation can make its output more trustworthy.</w:t>
      </w:r>
    </w:p>
    <w:p>
      <w:pPr>
        <w:pStyle w:val="Heading2"/>
      </w:pPr>
      <w:r>
        <w:t>2. How Phase-2.1, Phase-3, Phase-3.1 and Phase-4 fit together</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Stage</w:t>
            </w:r>
          </w:p>
        </w:tc>
        <w:tc>
          <w:tcPr>
            <w:tcW w:type="dxa" w:w="3317"/>
            <w:shd w:fill="182B49"/>
            <w:tcMar>
              <w:top w:w="90" w:type="dxa"/>
              <w:start w:w="115" w:type="dxa"/>
              <w:bottom w:w="90" w:type="dxa"/>
              <w:end w:w="115" w:type="dxa"/>
            </w:tcMar>
          </w:tcPr>
          <w:p>
            <w:r>
              <w:rPr>
                <w:b/>
                <w:color w:val="FFFFFF"/>
                <w:sz w:val="16"/>
              </w:rPr>
              <w:t>Question answered</w:t>
            </w:r>
          </w:p>
        </w:tc>
        <w:tc>
          <w:tcPr>
            <w:tcW w:type="dxa" w:w="3317"/>
            <w:shd w:fill="182B49"/>
            <w:tcMar>
              <w:top w:w="90" w:type="dxa"/>
              <w:start w:w="115" w:type="dxa"/>
              <w:bottom w:w="90" w:type="dxa"/>
              <w:end w:w="115" w:type="dxa"/>
            </w:tcMar>
          </w:tcPr>
          <w:p>
            <w:r>
              <w:rPr>
                <w:b/>
                <w:color w:val="FFFFFF"/>
                <w:sz w:val="16"/>
              </w:rPr>
              <w:t>Output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Phase-2.1: Data</w:t>
            </w:r>
          </w:p>
        </w:tc>
        <w:tc>
          <w:tcPr>
            <w:tcW w:type="dxa" w:w="3317"/>
            <w:vAlign w:val="center"/>
            <w:tcMar>
              <w:top w:w="90" w:type="dxa"/>
              <w:start w:w="115" w:type="dxa"/>
              <w:bottom w:w="90" w:type="dxa"/>
              <w:end w:w="115" w:type="dxa"/>
            </w:tcMar>
            <w:shd w:fill="F3F6F9"/>
          </w:tcPr>
          <w:p>
            <w:pPr>
              <w:spacing w:after="0" w:line="254" w:lineRule="auto"/>
            </w:pPr>
            <w:r>
              <w:rPr>
                <w:sz w:val="16"/>
              </w:rPr>
              <w:t>Are the data and train/validation/test boundaries reliable?</w:t>
            </w:r>
          </w:p>
        </w:tc>
        <w:tc>
          <w:tcPr>
            <w:tcW w:type="dxa" w:w="3317"/>
            <w:vAlign w:val="center"/>
            <w:tcMar>
              <w:top w:w="90" w:type="dxa"/>
              <w:start w:w="115" w:type="dxa"/>
              <w:bottom w:w="90" w:type="dxa"/>
              <w:end w:w="115" w:type="dxa"/>
            </w:tcMar>
            <w:shd w:fill="F3F6F9"/>
          </w:tcPr>
          <w:p>
            <w:pPr>
              <w:spacing w:after="0" w:line="254" w:lineRule="auto"/>
            </w:pPr>
            <w:r>
              <w:rPr>
                <w:sz w:val="16"/>
              </w:rPr>
              <w:t>Frozen data contract and integrity audits</w:t>
            </w:r>
          </w:p>
        </w:tc>
      </w:tr>
      <w:tr>
        <w:trPr>
          <w:cantSplit/>
        </w:trPr>
        <w:tc>
          <w:tcPr>
            <w:tcW w:type="dxa" w:w="3317"/>
            <w:vAlign w:val="center"/>
            <w:tcMar>
              <w:top w:w="90" w:type="dxa"/>
              <w:start w:w="115" w:type="dxa"/>
              <w:bottom w:w="90" w:type="dxa"/>
              <w:end w:w="115" w:type="dxa"/>
            </w:tcMar>
          </w:tcPr>
          <w:p>
            <w:pPr>
              <w:spacing w:after="0" w:line="254" w:lineRule="auto"/>
            </w:pPr>
            <w:r>
              <w:rPr>
                <w:sz w:val="16"/>
              </w:rPr>
              <w:t>Phase-3: Baselines</w:t>
            </w:r>
          </w:p>
        </w:tc>
        <w:tc>
          <w:tcPr>
            <w:tcW w:type="dxa" w:w="3317"/>
            <w:vAlign w:val="center"/>
            <w:tcMar>
              <w:top w:w="90" w:type="dxa"/>
              <w:start w:w="115" w:type="dxa"/>
              <w:bottom w:w="90" w:type="dxa"/>
              <w:end w:w="115" w:type="dxa"/>
            </w:tcMar>
          </w:tcPr>
          <w:p>
            <w:pPr>
              <w:spacing w:after="0" w:line="254" w:lineRule="auto"/>
            </w:pPr>
            <w:r>
              <w:rPr>
                <w:sz w:val="16"/>
              </w:rPr>
              <w:t>How well do small models work before trust interventions?</w:t>
            </w:r>
          </w:p>
        </w:tc>
        <w:tc>
          <w:tcPr>
            <w:tcW w:type="dxa" w:w="3317"/>
            <w:vAlign w:val="center"/>
            <w:tcMar>
              <w:top w:w="90" w:type="dxa"/>
              <w:start w:w="115" w:type="dxa"/>
              <w:bottom w:w="90" w:type="dxa"/>
              <w:end w:w="115" w:type="dxa"/>
            </w:tcMar>
          </w:tcPr>
          <w:p>
            <w:pPr>
              <w:spacing w:after="0" w:line="254" w:lineRule="auto"/>
            </w:pPr>
            <w:r>
              <w:rPr>
                <w:sz w:val="16"/>
              </w:rPr>
              <w:t>E1–E16 results; E5 frozen baseline</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Phase-3.1: Audit</w:t>
            </w:r>
          </w:p>
        </w:tc>
        <w:tc>
          <w:tcPr>
            <w:tcW w:type="dxa" w:w="3317"/>
            <w:vAlign w:val="center"/>
            <w:tcMar>
              <w:top w:w="90" w:type="dxa"/>
              <w:start w:w="115" w:type="dxa"/>
              <w:bottom w:w="90" w:type="dxa"/>
              <w:end w:w="115" w:type="dxa"/>
            </w:tcMar>
            <w:shd w:fill="F3F6F9"/>
          </w:tcPr>
          <w:p>
            <w:pPr>
              <w:spacing w:after="0" w:line="254" w:lineRule="auto"/>
            </w:pPr>
            <w:r>
              <w:rPr>
                <w:sz w:val="16"/>
              </w:rPr>
              <w:t>Are metrics, verification claims, and model assets reproducible?</w:t>
            </w:r>
          </w:p>
        </w:tc>
        <w:tc>
          <w:tcPr>
            <w:tcW w:type="dxa" w:w="3317"/>
            <w:vAlign w:val="center"/>
            <w:tcMar>
              <w:top w:w="90" w:type="dxa"/>
              <w:start w:w="115" w:type="dxa"/>
              <w:bottom w:w="90" w:type="dxa"/>
              <w:end w:w="115" w:type="dxa"/>
            </w:tcMar>
            <w:shd w:fill="F3F6F9"/>
          </w:tcPr>
          <w:p>
            <w:pPr>
              <w:spacing w:after="0" w:line="254" w:lineRule="auto"/>
            </w:pPr>
            <w:r>
              <w:rPr>
                <w:sz w:val="16"/>
              </w:rPr>
              <w:t>Corrected reporting and Phase-4 specification</w:t>
            </w:r>
          </w:p>
        </w:tc>
      </w:tr>
      <w:tr>
        <w:trPr>
          <w:cantSplit/>
        </w:trPr>
        <w:tc>
          <w:tcPr>
            <w:tcW w:type="dxa" w:w="3317"/>
            <w:vAlign w:val="center"/>
            <w:tcMar>
              <w:top w:w="90" w:type="dxa"/>
              <w:start w:w="115" w:type="dxa"/>
              <w:bottom w:w="90" w:type="dxa"/>
              <w:end w:w="115" w:type="dxa"/>
            </w:tcMar>
          </w:tcPr>
          <w:p>
            <w:pPr>
              <w:spacing w:after="0" w:line="254" w:lineRule="auto"/>
            </w:pPr>
            <w:r>
              <w:rPr>
                <w:sz w:val="16"/>
              </w:rPr>
              <w:t>Phase-4: Proposed system</w:t>
            </w:r>
          </w:p>
        </w:tc>
        <w:tc>
          <w:tcPr>
            <w:tcW w:type="dxa" w:w="3317"/>
            <w:vAlign w:val="center"/>
            <w:tcMar>
              <w:top w:w="90" w:type="dxa"/>
              <w:start w:w="115" w:type="dxa"/>
              <w:bottom w:w="90" w:type="dxa"/>
              <w:end w:w="115" w:type="dxa"/>
            </w:tcMar>
          </w:tcPr>
          <w:p>
            <w:pPr>
              <w:spacing w:after="0" w:line="254" w:lineRule="auto"/>
            </w:pPr>
            <w:r>
              <w:rPr>
                <w:sz w:val="16"/>
              </w:rPr>
              <w:t>Can verification and calibrated abstention improve trust?</w:t>
            </w:r>
          </w:p>
        </w:tc>
        <w:tc>
          <w:tcPr>
            <w:tcW w:type="dxa" w:w="3317"/>
            <w:vAlign w:val="center"/>
            <w:tcMar>
              <w:top w:w="90" w:type="dxa"/>
              <w:start w:w="115" w:type="dxa"/>
              <w:bottom w:w="90" w:type="dxa"/>
              <w:end w:w="115" w:type="dxa"/>
            </w:tcMar>
          </w:tcPr>
          <w:p>
            <w:pPr>
              <w:spacing w:after="0" w:line="254" w:lineRule="auto"/>
            </w:pPr>
            <w:r>
              <w:rPr>
                <w:sz w:val="16"/>
              </w:rPr>
              <w:t>TrustFin-SLM ablations and protected-test evaluation</w:t>
            </w:r>
          </w:p>
        </w:tc>
      </w:tr>
    </w:tbl>
    <w:p>
      <w:pPr>
        <w:spacing w:after="20"/>
      </w:pPr>
    </w:p>
    <w:p>
      <w:pPr>
        <w:pStyle w:val="Heading2"/>
      </w:pPr>
      <w:r>
        <w:t>3. Datasets used in Phase-3</w:t>
      </w:r>
    </w:p>
    <w:tbl>
      <w:tblPr>
        <w:tblStyle w:val="TableGrid"/>
        <w:tblW w:type="auto" w:w="0"/>
        <w:jc w:val="center"/>
        <w:tblLayout w:type="autofit"/>
        <w:tblLook w:firstColumn="1" w:firstRow="1" w:lastColumn="0" w:lastRow="0" w:noHBand="0" w:noVBand="1" w:val="04A0"/>
      </w:tblPr>
      <w:tblGrid>
        <w:gridCol w:w="2487"/>
        <w:gridCol w:w="2487"/>
        <w:gridCol w:w="2487"/>
        <w:gridCol w:w="2487"/>
      </w:tblGrid>
      <w:tr>
        <w:trPr>
          <w:tblHeader w:val="true"/>
        </w:trPr>
        <w:tc>
          <w:tcPr>
            <w:tcW w:type="dxa" w:w="2487"/>
            <w:shd w:fill="182B49"/>
            <w:tcMar>
              <w:top w:w="90" w:type="dxa"/>
              <w:start w:w="115" w:type="dxa"/>
              <w:bottom w:w="90" w:type="dxa"/>
              <w:end w:w="115" w:type="dxa"/>
            </w:tcMar>
          </w:tcPr>
          <w:p>
            <w:r>
              <w:rPr>
                <w:b/>
                <w:color w:val="FFFFFF"/>
                <w:sz w:val="16"/>
              </w:rPr>
              <w:t>Dataset</w:t>
            </w:r>
          </w:p>
        </w:tc>
        <w:tc>
          <w:tcPr>
            <w:tcW w:type="dxa" w:w="2487"/>
            <w:shd w:fill="182B49"/>
            <w:tcMar>
              <w:top w:w="90" w:type="dxa"/>
              <w:start w:w="115" w:type="dxa"/>
              <w:bottom w:w="90" w:type="dxa"/>
              <w:end w:w="115" w:type="dxa"/>
            </w:tcMar>
          </w:tcPr>
          <w:p>
            <w:r>
              <w:rPr>
                <w:b/>
                <w:color w:val="FFFFFF"/>
                <w:sz w:val="16"/>
              </w:rPr>
              <w:t>Training</w:t>
            </w:r>
          </w:p>
        </w:tc>
        <w:tc>
          <w:tcPr>
            <w:tcW w:type="dxa" w:w="2487"/>
            <w:shd w:fill="182B49"/>
            <w:tcMar>
              <w:top w:w="90" w:type="dxa"/>
              <w:start w:w="115" w:type="dxa"/>
              <w:bottom w:w="90" w:type="dxa"/>
              <w:end w:w="115" w:type="dxa"/>
            </w:tcMar>
          </w:tcPr>
          <w:p>
            <w:r>
              <w:rPr>
                <w:b/>
                <w:color w:val="FFFFFF"/>
                <w:sz w:val="16"/>
              </w:rPr>
              <w:t>Validation</w:t>
            </w:r>
          </w:p>
        </w:tc>
        <w:tc>
          <w:tcPr>
            <w:tcW w:type="dxa" w:w="2487"/>
            <w:shd w:fill="182B49"/>
            <w:tcMar>
              <w:top w:w="90" w:type="dxa"/>
              <w:start w:w="115" w:type="dxa"/>
              <w:bottom w:w="90" w:type="dxa"/>
              <w:end w:w="115" w:type="dxa"/>
            </w:tcMar>
          </w:tcPr>
          <w:p>
            <w:r>
              <w:rPr>
                <w:b/>
                <w:color w:val="FFFFFF"/>
                <w:sz w:val="16"/>
              </w:rPr>
              <w:t>Role</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8"/>
              </w:rPr>
              <w:t>FinQA</w:t>
            </w:r>
          </w:p>
        </w:tc>
        <w:tc>
          <w:tcPr>
            <w:tcW w:type="dxa" w:w="2487"/>
            <w:vAlign w:val="center"/>
            <w:tcMar>
              <w:top w:w="90" w:type="dxa"/>
              <w:start w:w="115" w:type="dxa"/>
              <w:bottom w:w="90" w:type="dxa"/>
              <w:end w:w="115" w:type="dxa"/>
            </w:tcMar>
            <w:shd w:fill="F3F6F9"/>
          </w:tcPr>
          <w:p>
            <w:pPr>
              <w:spacing w:after="0" w:line="254" w:lineRule="auto"/>
            </w:pPr>
            <w:r>
              <w:rPr>
                <w:sz w:val="18"/>
              </w:rPr>
              <w:t>6,251</w:t>
            </w:r>
          </w:p>
        </w:tc>
        <w:tc>
          <w:tcPr>
            <w:tcW w:type="dxa" w:w="2487"/>
            <w:vAlign w:val="center"/>
            <w:tcMar>
              <w:top w:w="90" w:type="dxa"/>
              <w:start w:w="115" w:type="dxa"/>
              <w:bottom w:w="90" w:type="dxa"/>
              <w:end w:w="115" w:type="dxa"/>
            </w:tcMar>
            <w:shd w:fill="F3F6F9"/>
          </w:tcPr>
          <w:p>
            <w:pPr>
              <w:spacing w:after="0" w:line="254" w:lineRule="auto"/>
            </w:pPr>
            <w:r>
              <w:rPr>
                <w:sz w:val="18"/>
              </w:rPr>
              <w:t>883</w:t>
            </w:r>
          </w:p>
        </w:tc>
        <w:tc>
          <w:tcPr>
            <w:tcW w:type="dxa" w:w="2487"/>
            <w:vAlign w:val="center"/>
            <w:tcMar>
              <w:top w:w="90" w:type="dxa"/>
              <w:start w:w="115" w:type="dxa"/>
              <w:bottom w:w="90" w:type="dxa"/>
              <w:end w:w="115" w:type="dxa"/>
            </w:tcMar>
            <w:shd w:fill="F3F6F9"/>
          </w:tcPr>
          <w:p>
            <w:pPr>
              <w:spacing w:after="0" w:line="254" w:lineRule="auto"/>
            </w:pPr>
            <w:r>
              <w:rPr>
                <w:sz w:val="18"/>
              </w:rPr>
              <w:t>Financial numerical questions, gold programs, executed answers</w:t>
            </w:r>
          </w:p>
        </w:tc>
      </w:tr>
      <w:tr>
        <w:trPr>
          <w:cantSplit/>
        </w:trPr>
        <w:tc>
          <w:tcPr>
            <w:tcW w:type="dxa" w:w="2487"/>
            <w:vAlign w:val="center"/>
            <w:tcMar>
              <w:top w:w="90" w:type="dxa"/>
              <w:start w:w="115" w:type="dxa"/>
              <w:bottom w:w="90" w:type="dxa"/>
              <w:end w:w="115" w:type="dxa"/>
            </w:tcMar>
          </w:tcPr>
          <w:p>
            <w:pPr>
              <w:spacing w:after="0" w:line="254" w:lineRule="auto"/>
            </w:pPr>
            <w:r>
              <w:rPr>
                <w:sz w:val="18"/>
              </w:rPr>
              <w:t>FiQA Sentiment</w:t>
            </w:r>
          </w:p>
        </w:tc>
        <w:tc>
          <w:tcPr>
            <w:tcW w:type="dxa" w:w="2487"/>
            <w:vAlign w:val="center"/>
            <w:tcMar>
              <w:top w:w="90" w:type="dxa"/>
              <w:start w:w="115" w:type="dxa"/>
              <w:bottom w:w="90" w:type="dxa"/>
              <w:end w:w="115" w:type="dxa"/>
            </w:tcMar>
          </w:tcPr>
          <w:p>
            <w:pPr>
              <w:spacing w:after="0" w:line="254" w:lineRule="auto"/>
            </w:pPr>
            <w:r>
              <w:rPr>
                <w:sz w:val="18"/>
              </w:rPr>
              <w:t>822</w:t>
            </w:r>
          </w:p>
        </w:tc>
        <w:tc>
          <w:tcPr>
            <w:tcW w:type="dxa" w:w="2487"/>
            <w:vAlign w:val="center"/>
            <w:tcMar>
              <w:top w:w="90" w:type="dxa"/>
              <w:start w:w="115" w:type="dxa"/>
              <w:bottom w:w="90" w:type="dxa"/>
              <w:end w:w="115" w:type="dxa"/>
            </w:tcMar>
          </w:tcPr>
          <w:p>
            <w:pPr>
              <w:spacing w:after="0" w:line="254" w:lineRule="auto"/>
            </w:pPr>
            <w:r>
              <w:rPr>
                <w:sz w:val="18"/>
              </w:rPr>
              <w:t>117</w:t>
            </w:r>
          </w:p>
        </w:tc>
        <w:tc>
          <w:tcPr>
            <w:tcW w:type="dxa" w:w="2487"/>
            <w:vAlign w:val="center"/>
            <w:tcMar>
              <w:top w:w="90" w:type="dxa"/>
              <w:start w:w="115" w:type="dxa"/>
              <w:bottom w:w="90" w:type="dxa"/>
              <w:end w:w="115" w:type="dxa"/>
            </w:tcMar>
          </w:tcPr>
          <w:p>
            <w:pPr>
              <w:spacing w:after="0" w:line="254" w:lineRule="auto"/>
            </w:pPr>
            <w:r>
              <w:rPr>
                <w:sz w:val="18"/>
              </w:rPr>
              <w:t>Continuous financial sentiment prediction (score from −1 to +1)</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8"/>
              </w:rPr>
              <w:t>Total</w:t>
            </w:r>
          </w:p>
        </w:tc>
        <w:tc>
          <w:tcPr>
            <w:tcW w:type="dxa" w:w="2487"/>
            <w:vAlign w:val="center"/>
            <w:tcMar>
              <w:top w:w="90" w:type="dxa"/>
              <w:start w:w="115" w:type="dxa"/>
              <w:bottom w:w="90" w:type="dxa"/>
              <w:end w:w="115" w:type="dxa"/>
            </w:tcMar>
            <w:shd w:fill="F3F6F9"/>
          </w:tcPr>
          <w:p>
            <w:pPr>
              <w:spacing w:after="0" w:line="254" w:lineRule="auto"/>
            </w:pPr>
            <w:r>
              <w:rPr>
                <w:sz w:val="18"/>
              </w:rPr>
              <w:t>7,073</w:t>
            </w:r>
          </w:p>
        </w:tc>
        <w:tc>
          <w:tcPr>
            <w:tcW w:type="dxa" w:w="2487"/>
            <w:vAlign w:val="center"/>
            <w:tcMar>
              <w:top w:w="90" w:type="dxa"/>
              <w:start w:w="115" w:type="dxa"/>
              <w:bottom w:w="90" w:type="dxa"/>
              <w:end w:w="115" w:type="dxa"/>
            </w:tcMar>
            <w:shd w:fill="F3F6F9"/>
          </w:tcPr>
          <w:p>
            <w:pPr>
              <w:spacing w:after="0" w:line="254" w:lineRule="auto"/>
            </w:pPr>
            <w:r>
              <w:rPr>
                <w:sz w:val="18"/>
              </w:rPr>
              <w:t>1,000</w:t>
            </w:r>
          </w:p>
        </w:tc>
        <w:tc>
          <w:tcPr>
            <w:tcW w:type="dxa" w:w="2487"/>
            <w:vAlign w:val="center"/>
            <w:tcMar>
              <w:top w:w="90" w:type="dxa"/>
              <w:start w:w="115" w:type="dxa"/>
              <w:bottom w:w="90" w:type="dxa"/>
              <w:end w:w="115" w:type="dxa"/>
            </w:tcMar>
            <w:shd w:fill="F3F6F9"/>
          </w:tcPr>
          <w:p>
            <w:pPr>
              <w:spacing w:after="0" w:line="254" w:lineRule="auto"/>
            </w:pPr>
            <w:r>
              <w:rPr>
                <w:sz w:val="18"/>
              </w:rPr>
              <w:t>Combined Phase-3 training and validation only</w:t>
            </w:r>
          </w:p>
        </w:tc>
      </w:tr>
    </w:tbl>
    <w:p>
      <w:pPr>
        <w:spacing w:after="20"/>
      </w:pPr>
    </w:p>
    <w:p>
      <w:r>
        <w:t>FinBen-FOMC and FinTrust were protected evaluation resources and were not part of Phase-3 model selection. Likewise, the protected FinQA and FiQA test splits were not used in these validation comparisons.</w:t>
      </w:r>
    </w:p>
    <w:tbl>
      <w:tblPr>
        <w:tblW w:type="auto" w:w="0"/>
        <w:tblLayout w:type="fixed"/>
        <w:tblLook w:firstColumn="1" w:firstRow="1" w:lastColumn="0" w:lastRow="0" w:noHBand="0" w:noVBand="1" w:val="04A0"/>
      </w:tblPr>
      <w:tblGrid>
        <w:gridCol w:w="9648"/>
      </w:tblGrid>
      <w:tr>
        <w:tc>
          <w:tcPr>
            <w:tcW w:type="dxa" w:w="9950"/>
            <w:shd w:fill="EAF3F5"/>
            <w:tcMar>
              <w:top w:w="140" w:type="dxa"/>
              <w:start w:w="150" w:type="dxa"/>
              <w:bottom w:w="140" w:type="dxa"/>
              <w:end w:w="150" w:type="dxa"/>
            </w:tcMar>
          </w:tcPr>
          <w:p>
            <w:r>
              <w:rPr>
                <w:b/>
                <w:color w:val="087C86"/>
                <w:sz w:val="19"/>
              </w:rPr>
              <w:t xml:space="preserve">Study principle   </w:t>
            </w:r>
            <w:r>
              <w:rPr>
                <w:sz w:val="19"/>
              </w:rPr>
              <w:t>Every comparison in this report is a validation result unless specifically marked otherwise. Do not write “test accuracy” in the manuscript for these values.</w:t>
            </w:r>
          </w:p>
        </w:tc>
      </w:tr>
    </w:tbl>
    <w:p>
      <w:pPr>
        <w:spacing w:after="0"/>
      </w:pPr>
    </w:p>
    <w:p>
      <w:pPr>
        <w:pStyle w:val="Heading1"/>
      </w:pPr>
      <w:r>
        <w:t>B. Experiments completed in Phase-3</w:t>
      </w:r>
    </w:p>
    <w:p>
      <w:pPr>
        <w:pStyle w:val="Heading2"/>
      </w:pPr>
      <w:r>
        <w:t>4. What E1–E16 mean in simple language</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ID</w:t>
            </w:r>
          </w:p>
        </w:tc>
        <w:tc>
          <w:tcPr>
            <w:tcW w:type="dxa" w:w="3317"/>
            <w:shd w:fill="182B49"/>
            <w:tcMar>
              <w:top w:w="90" w:type="dxa"/>
              <w:start w:w="115" w:type="dxa"/>
              <w:bottom w:w="90" w:type="dxa"/>
              <w:end w:w="115" w:type="dxa"/>
            </w:tcMar>
          </w:tcPr>
          <w:p>
            <w:r>
              <w:rPr>
                <w:b/>
                <w:color w:val="FFFFFF"/>
                <w:sz w:val="16"/>
              </w:rPr>
              <w:t>Experiment</w:t>
            </w:r>
          </w:p>
        </w:tc>
        <w:tc>
          <w:tcPr>
            <w:tcW w:type="dxa" w:w="3317"/>
            <w:shd w:fill="182B49"/>
            <w:tcMar>
              <w:top w:w="90" w:type="dxa"/>
              <w:start w:w="115" w:type="dxa"/>
              <w:bottom w:w="90" w:type="dxa"/>
              <w:end w:w="115" w:type="dxa"/>
            </w:tcMar>
          </w:tcPr>
          <w:p>
            <w:r>
              <w:rPr>
                <w:b/>
                <w:color w:val="FFFFFF"/>
                <w:sz w:val="16"/>
              </w:rPr>
              <w:t>Student interpretation</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E1</w:t>
            </w:r>
          </w:p>
        </w:tc>
        <w:tc>
          <w:tcPr>
            <w:tcW w:type="dxa" w:w="3317"/>
            <w:vAlign w:val="center"/>
            <w:tcMar>
              <w:top w:w="90" w:type="dxa"/>
              <w:start w:w="115" w:type="dxa"/>
              <w:bottom w:w="90" w:type="dxa"/>
              <w:end w:w="115" w:type="dxa"/>
            </w:tcMar>
            <w:shd w:fill="F3F6F9"/>
          </w:tcPr>
          <w:p>
            <w:pPr>
              <w:spacing w:after="0" w:line="254" w:lineRule="auto"/>
            </w:pPr>
            <w:r>
              <w:rPr>
                <w:sz w:val="16"/>
              </w:rPr>
              <w:t>Qwen zero-shot</w:t>
            </w:r>
          </w:p>
        </w:tc>
        <w:tc>
          <w:tcPr>
            <w:tcW w:type="dxa" w:w="3317"/>
            <w:vAlign w:val="center"/>
            <w:tcMar>
              <w:top w:w="90" w:type="dxa"/>
              <w:start w:w="115" w:type="dxa"/>
              <w:bottom w:w="90" w:type="dxa"/>
              <w:end w:w="115" w:type="dxa"/>
            </w:tcMar>
            <w:shd w:fill="F3F6F9"/>
          </w:tcPr>
          <w:p>
            <w:pPr>
              <w:spacing w:after="0" w:line="254" w:lineRule="auto"/>
            </w:pPr>
            <w:r>
              <w:rPr>
                <w:sz w:val="16"/>
              </w:rPr>
              <w:t>What the primary model can do without examples or fine-tuning</w:t>
            </w:r>
          </w:p>
        </w:tc>
      </w:tr>
      <w:tr>
        <w:trPr>
          <w:cantSplit/>
        </w:trPr>
        <w:tc>
          <w:tcPr>
            <w:tcW w:type="dxa" w:w="3317"/>
            <w:vAlign w:val="center"/>
            <w:tcMar>
              <w:top w:w="90" w:type="dxa"/>
              <w:start w:w="115" w:type="dxa"/>
              <w:bottom w:w="90" w:type="dxa"/>
              <w:end w:w="115" w:type="dxa"/>
            </w:tcMar>
          </w:tcPr>
          <w:p>
            <w:pPr>
              <w:spacing w:after="0" w:line="254" w:lineRule="auto"/>
            </w:pPr>
            <w:r>
              <w:rPr>
                <w:sz w:val="16"/>
              </w:rPr>
              <w:t>E2</w:t>
            </w:r>
          </w:p>
        </w:tc>
        <w:tc>
          <w:tcPr>
            <w:tcW w:type="dxa" w:w="3317"/>
            <w:vAlign w:val="center"/>
            <w:tcMar>
              <w:top w:w="90" w:type="dxa"/>
              <w:start w:w="115" w:type="dxa"/>
              <w:bottom w:w="90" w:type="dxa"/>
              <w:end w:w="115" w:type="dxa"/>
            </w:tcMar>
          </w:tcPr>
          <w:p>
            <w:pPr>
              <w:spacing w:after="0" w:line="254" w:lineRule="auto"/>
            </w:pPr>
            <w:r>
              <w:rPr>
                <w:sz w:val="16"/>
              </w:rPr>
              <w:t>Qwen few-shot</w:t>
            </w:r>
          </w:p>
        </w:tc>
        <w:tc>
          <w:tcPr>
            <w:tcW w:type="dxa" w:w="3317"/>
            <w:vAlign w:val="center"/>
            <w:tcMar>
              <w:top w:w="90" w:type="dxa"/>
              <w:start w:w="115" w:type="dxa"/>
              <w:bottom w:w="90" w:type="dxa"/>
              <w:end w:w="115" w:type="dxa"/>
            </w:tcMar>
          </w:tcPr>
          <w:p>
            <w:pPr>
              <w:spacing w:after="0" w:line="254" w:lineRule="auto"/>
            </w:pPr>
            <w:r>
              <w:rPr>
                <w:sz w:val="16"/>
              </w:rPr>
              <w:t>Whether demonstrations inside the prompt help</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E3</w:t>
            </w:r>
          </w:p>
        </w:tc>
        <w:tc>
          <w:tcPr>
            <w:tcW w:type="dxa" w:w="3317"/>
            <w:vAlign w:val="center"/>
            <w:tcMar>
              <w:top w:w="90" w:type="dxa"/>
              <w:start w:w="115" w:type="dxa"/>
              <w:bottom w:w="90" w:type="dxa"/>
              <w:end w:w="115" w:type="dxa"/>
            </w:tcMar>
            <w:shd w:fill="F3F6F9"/>
          </w:tcPr>
          <w:p>
            <w:pPr>
              <w:spacing w:after="0" w:line="254" w:lineRule="auto"/>
            </w:pPr>
            <w:r>
              <w:rPr>
                <w:sz w:val="16"/>
              </w:rPr>
              <w:t>FinQA-only QLoRA</w:t>
            </w:r>
          </w:p>
        </w:tc>
        <w:tc>
          <w:tcPr>
            <w:tcW w:type="dxa" w:w="3317"/>
            <w:vAlign w:val="center"/>
            <w:tcMar>
              <w:top w:w="90" w:type="dxa"/>
              <w:start w:w="115" w:type="dxa"/>
              <w:bottom w:w="90" w:type="dxa"/>
              <w:end w:w="115" w:type="dxa"/>
            </w:tcMar>
            <w:shd w:fill="F3F6F9"/>
          </w:tcPr>
          <w:p>
            <w:pPr>
              <w:spacing w:after="0" w:line="254" w:lineRule="auto"/>
            </w:pPr>
            <w:r>
              <w:rPr>
                <w:sz w:val="16"/>
              </w:rPr>
              <w:t>Specialized training for financial program reasoning</w:t>
            </w:r>
          </w:p>
        </w:tc>
      </w:tr>
      <w:tr>
        <w:trPr>
          <w:cantSplit/>
        </w:trPr>
        <w:tc>
          <w:tcPr>
            <w:tcW w:type="dxa" w:w="3317"/>
            <w:vAlign w:val="center"/>
            <w:tcMar>
              <w:top w:w="90" w:type="dxa"/>
              <w:start w:w="115" w:type="dxa"/>
              <w:bottom w:w="90" w:type="dxa"/>
              <w:end w:w="115" w:type="dxa"/>
            </w:tcMar>
          </w:tcPr>
          <w:p>
            <w:pPr>
              <w:spacing w:after="0" w:line="254" w:lineRule="auto"/>
            </w:pPr>
            <w:r>
              <w:rPr>
                <w:sz w:val="16"/>
              </w:rPr>
              <w:t>E4</w:t>
            </w:r>
          </w:p>
        </w:tc>
        <w:tc>
          <w:tcPr>
            <w:tcW w:type="dxa" w:w="3317"/>
            <w:vAlign w:val="center"/>
            <w:tcMar>
              <w:top w:w="90" w:type="dxa"/>
              <w:start w:w="115" w:type="dxa"/>
              <w:bottom w:w="90" w:type="dxa"/>
              <w:end w:w="115" w:type="dxa"/>
            </w:tcMar>
          </w:tcPr>
          <w:p>
            <w:pPr>
              <w:spacing w:after="0" w:line="254" w:lineRule="auto"/>
            </w:pPr>
            <w:r>
              <w:rPr>
                <w:sz w:val="16"/>
              </w:rPr>
              <w:t>FiQA-only QLoRA</w:t>
            </w:r>
          </w:p>
        </w:tc>
        <w:tc>
          <w:tcPr>
            <w:tcW w:type="dxa" w:w="3317"/>
            <w:vAlign w:val="center"/>
            <w:tcMar>
              <w:top w:w="90" w:type="dxa"/>
              <w:start w:w="115" w:type="dxa"/>
              <w:bottom w:w="90" w:type="dxa"/>
              <w:end w:w="115" w:type="dxa"/>
            </w:tcMar>
          </w:tcPr>
          <w:p>
            <w:pPr>
              <w:spacing w:after="0" w:line="254" w:lineRule="auto"/>
            </w:pPr>
            <w:r>
              <w:rPr>
                <w:sz w:val="16"/>
              </w:rPr>
              <w:t>Specialized training for sentiment-score output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E5</w:t>
            </w:r>
          </w:p>
        </w:tc>
        <w:tc>
          <w:tcPr>
            <w:tcW w:type="dxa" w:w="3317"/>
            <w:vAlign w:val="center"/>
            <w:tcMar>
              <w:top w:w="90" w:type="dxa"/>
              <w:start w:w="115" w:type="dxa"/>
              <w:bottom w:w="90" w:type="dxa"/>
              <w:end w:w="115" w:type="dxa"/>
            </w:tcMar>
            <w:shd w:fill="F3F6F9"/>
          </w:tcPr>
          <w:p>
            <w:pPr>
              <w:spacing w:after="0" w:line="254" w:lineRule="auto"/>
            </w:pPr>
            <w:r>
              <w:rPr>
                <w:sz w:val="16"/>
              </w:rPr>
              <w:t>Qwen joint balanced QLoRA</w:t>
            </w:r>
          </w:p>
        </w:tc>
        <w:tc>
          <w:tcPr>
            <w:tcW w:type="dxa" w:w="3317"/>
            <w:vAlign w:val="center"/>
            <w:tcMar>
              <w:top w:w="90" w:type="dxa"/>
              <w:start w:w="115" w:type="dxa"/>
              <w:bottom w:w="90" w:type="dxa"/>
              <w:end w:w="115" w:type="dxa"/>
            </w:tcMar>
            <w:shd w:fill="F3F6F9"/>
          </w:tcPr>
          <w:p>
            <w:pPr>
              <w:spacing w:after="0" w:line="254" w:lineRule="auto"/>
            </w:pPr>
            <w:r>
              <w:rPr>
                <w:sz w:val="16"/>
              </w:rPr>
              <w:t>One model trained on both tasks with equal task exposure</w:t>
            </w:r>
          </w:p>
        </w:tc>
      </w:tr>
      <w:tr>
        <w:trPr>
          <w:cantSplit/>
        </w:trPr>
        <w:tc>
          <w:tcPr>
            <w:tcW w:type="dxa" w:w="3317"/>
            <w:vAlign w:val="center"/>
            <w:tcMar>
              <w:top w:w="90" w:type="dxa"/>
              <w:start w:w="115" w:type="dxa"/>
              <w:bottom w:w="90" w:type="dxa"/>
              <w:end w:w="115" w:type="dxa"/>
            </w:tcMar>
          </w:tcPr>
          <w:p>
            <w:pPr>
              <w:spacing w:after="0" w:line="254" w:lineRule="auto"/>
            </w:pPr>
            <w:r>
              <w:rPr>
                <w:sz w:val="16"/>
              </w:rPr>
              <w:t>E6</w:t>
            </w:r>
          </w:p>
        </w:tc>
        <w:tc>
          <w:tcPr>
            <w:tcW w:type="dxa" w:w="3317"/>
            <w:vAlign w:val="center"/>
            <w:tcMar>
              <w:top w:w="90" w:type="dxa"/>
              <w:start w:w="115" w:type="dxa"/>
              <w:bottom w:w="90" w:type="dxa"/>
              <w:end w:w="115" w:type="dxa"/>
            </w:tcMar>
          </w:tcPr>
          <w:p>
            <w:pPr>
              <w:spacing w:after="0" w:line="254" w:lineRule="auto"/>
            </w:pPr>
            <w:r>
              <w:rPr>
                <w:sz w:val="16"/>
              </w:rPr>
              <w:t>Phi zero-shot</w:t>
            </w:r>
          </w:p>
        </w:tc>
        <w:tc>
          <w:tcPr>
            <w:tcW w:type="dxa" w:w="3317"/>
            <w:vAlign w:val="center"/>
            <w:tcMar>
              <w:top w:w="90" w:type="dxa"/>
              <w:start w:w="115" w:type="dxa"/>
              <w:bottom w:w="90" w:type="dxa"/>
              <w:end w:w="115" w:type="dxa"/>
            </w:tcMar>
          </w:tcPr>
          <w:p>
            <w:pPr>
              <w:spacing w:after="0" w:line="254" w:lineRule="auto"/>
            </w:pPr>
            <w:r>
              <w:rPr>
                <w:sz w:val="16"/>
              </w:rPr>
              <w:t>Raw ability of an independent model family</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E7</w:t>
            </w:r>
          </w:p>
        </w:tc>
        <w:tc>
          <w:tcPr>
            <w:tcW w:type="dxa" w:w="3317"/>
            <w:vAlign w:val="center"/>
            <w:tcMar>
              <w:top w:w="90" w:type="dxa"/>
              <w:start w:w="115" w:type="dxa"/>
              <w:bottom w:w="90" w:type="dxa"/>
              <w:end w:w="115" w:type="dxa"/>
            </w:tcMar>
            <w:shd w:fill="F3F6F9"/>
          </w:tcPr>
          <w:p>
            <w:pPr>
              <w:spacing w:after="0" w:line="254" w:lineRule="auto"/>
            </w:pPr>
            <w:r>
              <w:rPr>
                <w:sz w:val="16"/>
              </w:rPr>
              <w:t>Phi few-shot</w:t>
            </w:r>
          </w:p>
        </w:tc>
        <w:tc>
          <w:tcPr>
            <w:tcW w:type="dxa" w:w="3317"/>
            <w:vAlign w:val="center"/>
            <w:tcMar>
              <w:top w:w="90" w:type="dxa"/>
              <w:start w:w="115" w:type="dxa"/>
              <w:bottom w:w="90" w:type="dxa"/>
              <w:end w:w="115" w:type="dxa"/>
            </w:tcMar>
            <w:shd w:fill="F3F6F9"/>
          </w:tcPr>
          <w:p>
            <w:pPr>
              <w:spacing w:after="0" w:line="254" w:lineRule="auto"/>
            </w:pPr>
            <w:r>
              <w:rPr>
                <w:sz w:val="16"/>
              </w:rPr>
              <w:t>Prompt-example effect in the second model</w:t>
            </w:r>
          </w:p>
        </w:tc>
      </w:tr>
      <w:tr>
        <w:trPr>
          <w:cantSplit/>
        </w:trPr>
        <w:tc>
          <w:tcPr>
            <w:tcW w:type="dxa" w:w="3317"/>
            <w:vAlign w:val="center"/>
            <w:tcMar>
              <w:top w:w="90" w:type="dxa"/>
              <w:start w:w="115" w:type="dxa"/>
              <w:bottom w:w="90" w:type="dxa"/>
              <w:end w:w="115" w:type="dxa"/>
            </w:tcMar>
          </w:tcPr>
          <w:p>
            <w:pPr>
              <w:spacing w:after="0" w:line="254" w:lineRule="auto"/>
            </w:pPr>
            <w:r>
              <w:rPr>
                <w:sz w:val="16"/>
              </w:rPr>
              <w:t>E8</w:t>
            </w:r>
          </w:p>
        </w:tc>
        <w:tc>
          <w:tcPr>
            <w:tcW w:type="dxa" w:w="3317"/>
            <w:vAlign w:val="center"/>
            <w:tcMar>
              <w:top w:w="90" w:type="dxa"/>
              <w:start w:w="115" w:type="dxa"/>
              <w:bottom w:w="90" w:type="dxa"/>
              <w:end w:w="115" w:type="dxa"/>
            </w:tcMar>
          </w:tcPr>
          <w:p>
            <w:pPr>
              <w:spacing w:after="0" w:line="254" w:lineRule="auto"/>
            </w:pPr>
            <w:r>
              <w:rPr>
                <w:sz w:val="16"/>
              </w:rPr>
              <w:t>Phi joint QLoRA</w:t>
            </w:r>
          </w:p>
        </w:tc>
        <w:tc>
          <w:tcPr>
            <w:tcW w:type="dxa" w:w="3317"/>
            <w:vAlign w:val="center"/>
            <w:tcMar>
              <w:top w:w="90" w:type="dxa"/>
              <w:start w:w="115" w:type="dxa"/>
              <w:bottom w:w="90" w:type="dxa"/>
              <w:end w:w="115" w:type="dxa"/>
            </w:tcMar>
          </w:tcPr>
          <w:p>
            <w:pPr>
              <w:spacing w:after="0" w:line="254" w:lineRule="auto"/>
            </w:pPr>
            <w:r>
              <w:rPr>
                <w:sz w:val="16"/>
              </w:rPr>
              <w:t>Whether multi-task gains generalize across model families</w:t>
            </w:r>
          </w:p>
        </w:tc>
      </w:tr>
    </w:tbl>
    <w:p>
      <w:pPr>
        <w:spacing w:after="20"/>
      </w:pP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ID</w:t>
            </w:r>
          </w:p>
        </w:tc>
        <w:tc>
          <w:tcPr>
            <w:tcW w:type="dxa" w:w="3317"/>
            <w:shd w:fill="182B49"/>
            <w:tcMar>
              <w:top w:w="90" w:type="dxa"/>
              <w:start w:w="115" w:type="dxa"/>
              <w:bottom w:w="90" w:type="dxa"/>
              <w:end w:w="115" w:type="dxa"/>
            </w:tcMar>
          </w:tcPr>
          <w:p>
            <w:r>
              <w:rPr>
                <w:b/>
                <w:color w:val="FFFFFF"/>
                <w:sz w:val="16"/>
              </w:rPr>
              <w:t>Experiment</w:t>
            </w:r>
          </w:p>
        </w:tc>
        <w:tc>
          <w:tcPr>
            <w:tcW w:type="dxa" w:w="3317"/>
            <w:shd w:fill="182B49"/>
            <w:tcMar>
              <w:top w:w="90" w:type="dxa"/>
              <w:start w:w="115" w:type="dxa"/>
              <w:bottom w:w="90" w:type="dxa"/>
              <w:end w:w="115" w:type="dxa"/>
            </w:tcMar>
          </w:tcPr>
          <w:p>
            <w:r>
              <w:rPr>
                <w:b/>
                <w:color w:val="FFFFFF"/>
                <w:sz w:val="16"/>
              </w:rPr>
              <w:t>Student interpretation</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E9</w:t>
            </w:r>
          </w:p>
        </w:tc>
        <w:tc>
          <w:tcPr>
            <w:tcW w:type="dxa" w:w="3317"/>
            <w:vAlign w:val="center"/>
            <w:tcMar>
              <w:top w:w="90" w:type="dxa"/>
              <w:start w:w="115" w:type="dxa"/>
              <w:bottom w:w="90" w:type="dxa"/>
              <w:end w:w="115" w:type="dxa"/>
            </w:tcMar>
            <w:shd w:fill="F3F6F9"/>
          </w:tcPr>
          <w:p>
            <w:pPr>
              <w:spacing w:after="0" w:line="254" w:lineRule="auto"/>
            </w:pPr>
            <w:r>
              <w:rPr>
                <w:sz w:val="16"/>
              </w:rPr>
              <w:t>FinQA prompt ablation</w:t>
            </w:r>
          </w:p>
        </w:tc>
        <w:tc>
          <w:tcPr>
            <w:tcW w:type="dxa" w:w="3317"/>
            <w:vAlign w:val="center"/>
            <w:tcMar>
              <w:top w:w="90" w:type="dxa"/>
              <w:start w:w="115" w:type="dxa"/>
              <w:bottom w:w="90" w:type="dxa"/>
              <w:end w:w="115" w:type="dxa"/>
            </w:tcMar>
            <w:shd w:fill="F3F6F9"/>
          </w:tcPr>
          <w:p>
            <w:pPr>
              <w:spacing w:after="0" w:line="254" w:lineRule="auto"/>
            </w:pPr>
            <w:r>
              <w:rPr>
                <w:sz w:val="16"/>
              </w:rPr>
              <w:t>Impact of task tags and explicit output instructions</w:t>
            </w:r>
          </w:p>
        </w:tc>
      </w:tr>
      <w:tr>
        <w:trPr>
          <w:cantSplit/>
        </w:trPr>
        <w:tc>
          <w:tcPr>
            <w:tcW w:type="dxa" w:w="3317"/>
            <w:vAlign w:val="center"/>
            <w:tcMar>
              <w:top w:w="90" w:type="dxa"/>
              <w:start w:w="115" w:type="dxa"/>
              <w:bottom w:w="90" w:type="dxa"/>
              <w:end w:w="115" w:type="dxa"/>
            </w:tcMar>
          </w:tcPr>
          <w:p>
            <w:pPr>
              <w:spacing w:after="0" w:line="254" w:lineRule="auto"/>
            </w:pPr>
            <w:r>
              <w:rPr>
                <w:sz w:val="16"/>
              </w:rPr>
              <w:t>E10</w:t>
            </w:r>
          </w:p>
        </w:tc>
        <w:tc>
          <w:tcPr>
            <w:tcW w:type="dxa" w:w="3317"/>
            <w:vAlign w:val="center"/>
            <w:tcMar>
              <w:top w:w="90" w:type="dxa"/>
              <w:start w:w="115" w:type="dxa"/>
              <w:bottom w:w="90" w:type="dxa"/>
              <w:end w:w="115" w:type="dxa"/>
            </w:tcMar>
          </w:tcPr>
          <w:p>
            <w:pPr>
              <w:spacing w:after="0" w:line="254" w:lineRule="auto"/>
            </w:pPr>
            <w:r>
              <w:rPr>
                <w:sz w:val="16"/>
              </w:rPr>
              <w:t>FiQA prompt ablation</w:t>
            </w:r>
          </w:p>
        </w:tc>
        <w:tc>
          <w:tcPr>
            <w:tcW w:type="dxa" w:w="3317"/>
            <w:vAlign w:val="center"/>
            <w:tcMar>
              <w:top w:w="90" w:type="dxa"/>
              <w:start w:w="115" w:type="dxa"/>
              <w:bottom w:w="90" w:type="dxa"/>
              <w:end w:w="115" w:type="dxa"/>
            </w:tcMar>
          </w:tcPr>
          <w:p>
            <w:pPr>
              <w:spacing w:after="0" w:line="254" w:lineRule="auto"/>
            </w:pPr>
            <w:r>
              <w:rPr>
                <w:sz w:val="16"/>
              </w:rPr>
              <w:t>Impact of sentiment-output prompt instructions</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E11</w:t>
            </w:r>
          </w:p>
        </w:tc>
        <w:tc>
          <w:tcPr>
            <w:tcW w:type="dxa" w:w="3317"/>
            <w:vAlign w:val="center"/>
            <w:tcMar>
              <w:top w:w="90" w:type="dxa"/>
              <w:start w:w="115" w:type="dxa"/>
              <w:bottom w:w="90" w:type="dxa"/>
              <w:end w:w="115" w:type="dxa"/>
            </w:tcMar>
            <w:shd w:fill="F3F6F9"/>
          </w:tcPr>
          <w:p>
            <w:pPr>
              <w:spacing w:after="0" w:line="254" w:lineRule="auto"/>
            </w:pPr>
            <w:r>
              <w:rPr>
                <w:sz w:val="16"/>
              </w:rPr>
              <w:t>Joint sampling ablation</w:t>
            </w:r>
          </w:p>
        </w:tc>
        <w:tc>
          <w:tcPr>
            <w:tcW w:type="dxa" w:w="3317"/>
            <w:vAlign w:val="center"/>
            <w:tcMar>
              <w:top w:w="90" w:type="dxa"/>
              <w:start w:w="115" w:type="dxa"/>
              <w:bottom w:w="90" w:type="dxa"/>
              <w:end w:w="115" w:type="dxa"/>
            </w:tcMar>
            <w:shd w:fill="F3F6F9"/>
          </w:tcPr>
          <w:p>
            <w:pPr>
              <w:spacing w:after="0" w:line="254" w:lineRule="auto"/>
            </w:pPr>
            <w:r>
              <w:rPr>
                <w:sz w:val="16"/>
              </w:rPr>
              <w:t>Does 50/50 training beat naturally unequal task sizes?</w:t>
            </w:r>
          </w:p>
        </w:tc>
      </w:tr>
      <w:tr>
        <w:trPr>
          <w:cantSplit/>
        </w:trPr>
        <w:tc>
          <w:tcPr>
            <w:tcW w:type="dxa" w:w="3317"/>
            <w:vAlign w:val="center"/>
            <w:tcMar>
              <w:top w:w="90" w:type="dxa"/>
              <w:start w:w="115" w:type="dxa"/>
              <w:bottom w:w="90" w:type="dxa"/>
              <w:end w:w="115" w:type="dxa"/>
            </w:tcMar>
          </w:tcPr>
          <w:p>
            <w:pPr>
              <w:spacing w:after="0" w:line="254" w:lineRule="auto"/>
            </w:pPr>
            <w:r>
              <w:rPr>
                <w:sz w:val="16"/>
              </w:rPr>
              <w:t>E12</w:t>
            </w:r>
          </w:p>
        </w:tc>
        <w:tc>
          <w:tcPr>
            <w:tcW w:type="dxa" w:w="3317"/>
            <w:vAlign w:val="center"/>
            <w:tcMar>
              <w:top w:w="90" w:type="dxa"/>
              <w:start w:w="115" w:type="dxa"/>
              <w:bottom w:w="90" w:type="dxa"/>
              <w:end w:w="115" w:type="dxa"/>
            </w:tcMar>
          </w:tcPr>
          <w:p>
            <w:pPr>
              <w:spacing w:after="0" w:line="254" w:lineRule="auto"/>
            </w:pPr>
            <w:r>
              <w:rPr>
                <w:sz w:val="16"/>
              </w:rPr>
              <w:t>FinQA failure analysis</w:t>
            </w:r>
          </w:p>
        </w:tc>
        <w:tc>
          <w:tcPr>
            <w:tcW w:type="dxa" w:w="3317"/>
            <w:vAlign w:val="center"/>
            <w:tcMar>
              <w:top w:w="90" w:type="dxa"/>
              <w:start w:w="115" w:type="dxa"/>
              <w:bottom w:w="90" w:type="dxa"/>
              <w:end w:w="115" w:type="dxa"/>
            </w:tcMar>
          </w:tcPr>
          <w:p>
            <w:pPr>
              <w:spacing w:after="0" w:line="254" w:lineRule="auto"/>
            </w:pPr>
            <w:r>
              <w:rPr>
                <w:sz w:val="16"/>
              </w:rPr>
              <w:t>Why programs, execution, and written answers disagree</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E13</w:t>
            </w:r>
          </w:p>
        </w:tc>
        <w:tc>
          <w:tcPr>
            <w:tcW w:type="dxa" w:w="3317"/>
            <w:vAlign w:val="center"/>
            <w:tcMar>
              <w:top w:w="90" w:type="dxa"/>
              <w:start w:w="115" w:type="dxa"/>
              <w:bottom w:w="90" w:type="dxa"/>
              <w:end w:w="115" w:type="dxa"/>
            </w:tcMar>
            <w:shd w:fill="F3F6F9"/>
          </w:tcPr>
          <w:p>
            <w:pPr>
              <w:spacing w:after="0" w:line="254" w:lineRule="auto"/>
            </w:pPr>
            <w:r>
              <w:rPr>
                <w:sz w:val="16"/>
              </w:rPr>
              <w:t>FiQA failure analysis</w:t>
            </w:r>
          </w:p>
        </w:tc>
        <w:tc>
          <w:tcPr>
            <w:tcW w:type="dxa" w:w="3317"/>
            <w:vAlign w:val="center"/>
            <w:tcMar>
              <w:top w:w="90" w:type="dxa"/>
              <w:start w:w="115" w:type="dxa"/>
              <w:bottom w:w="90" w:type="dxa"/>
              <w:end w:w="115" w:type="dxa"/>
            </w:tcMar>
            <w:shd w:fill="F3F6F9"/>
          </w:tcPr>
          <w:p>
            <w:pPr>
              <w:spacing w:after="0" w:line="254" w:lineRule="auto"/>
            </w:pPr>
            <w:r>
              <w:rPr>
                <w:sz w:val="16"/>
              </w:rPr>
              <w:t>Which sentiment examples have larger errors?</w:t>
            </w:r>
          </w:p>
        </w:tc>
      </w:tr>
      <w:tr>
        <w:trPr>
          <w:cantSplit/>
        </w:trPr>
        <w:tc>
          <w:tcPr>
            <w:tcW w:type="dxa" w:w="3317"/>
            <w:vAlign w:val="center"/>
            <w:tcMar>
              <w:top w:w="90" w:type="dxa"/>
              <w:start w:w="115" w:type="dxa"/>
              <w:bottom w:w="90" w:type="dxa"/>
              <w:end w:w="115" w:type="dxa"/>
            </w:tcMar>
          </w:tcPr>
          <w:p>
            <w:pPr>
              <w:spacing w:after="0" w:line="254" w:lineRule="auto"/>
            </w:pPr>
            <w:r>
              <w:rPr>
                <w:sz w:val="16"/>
              </w:rPr>
              <w:t>E14</w:t>
            </w:r>
          </w:p>
        </w:tc>
        <w:tc>
          <w:tcPr>
            <w:tcW w:type="dxa" w:w="3317"/>
            <w:vAlign w:val="center"/>
            <w:tcMar>
              <w:top w:w="90" w:type="dxa"/>
              <w:start w:w="115" w:type="dxa"/>
              <w:bottom w:w="90" w:type="dxa"/>
              <w:end w:w="115" w:type="dxa"/>
            </w:tcMar>
          </w:tcPr>
          <w:p>
            <w:pPr>
              <w:spacing w:after="0" w:line="254" w:lineRule="auto"/>
            </w:pPr>
            <w:r>
              <w:rPr>
                <w:sz w:val="16"/>
              </w:rPr>
              <w:t>Confidence/error study</w:t>
            </w:r>
          </w:p>
        </w:tc>
        <w:tc>
          <w:tcPr>
            <w:tcW w:type="dxa" w:w="3317"/>
            <w:vAlign w:val="center"/>
            <w:tcMar>
              <w:top w:w="90" w:type="dxa"/>
              <w:start w:w="115" w:type="dxa"/>
              <w:bottom w:w="90" w:type="dxa"/>
              <w:end w:w="115" w:type="dxa"/>
            </w:tcMar>
          </w:tcPr>
          <w:p>
            <w:pPr>
              <w:spacing w:after="0" w:line="254" w:lineRule="auto"/>
            </w:pPr>
            <w:r>
              <w:rPr>
                <w:sz w:val="16"/>
              </w:rPr>
              <w:t>Does model confidence predict correctness?</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E15</w:t>
            </w:r>
          </w:p>
        </w:tc>
        <w:tc>
          <w:tcPr>
            <w:tcW w:type="dxa" w:w="3317"/>
            <w:vAlign w:val="center"/>
            <w:tcMar>
              <w:top w:w="90" w:type="dxa"/>
              <w:start w:w="115" w:type="dxa"/>
              <w:bottom w:w="90" w:type="dxa"/>
              <w:end w:w="115" w:type="dxa"/>
            </w:tcMar>
            <w:shd w:fill="F3F6F9"/>
          </w:tcPr>
          <w:p>
            <w:pPr>
              <w:spacing w:after="0" w:line="254" w:lineRule="auto"/>
            </w:pPr>
            <w:r>
              <w:rPr>
                <w:sz w:val="16"/>
              </w:rPr>
              <w:t>Efficiency profiling</w:t>
            </w:r>
          </w:p>
        </w:tc>
        <w:tc>
          <w:tcPr>
            <w:tcW w:type="dxa" w:w="3317"/>
            <w:vAlign w:val="center"/>
            <w:tcMar>
              <w:top w:w="90" w:type="dxa"/>
              <w:start w:w="115" w:type="dxa"/>
              <w:bottom w:w="90" w:type="dxa"/>
              <w:end w:w="115" w:type="dxa"/>
            </w:tcMar>
            <w:shd w:fill="F3F6F9"/>
          </w:tcPr>
          <w:p>
            <w:pPr>
              <w:spacing w:after="0" w:line="254" w:lineRule="auto"/>
            </w:pPr>
            <w:r>
              <w:rPr>
                <w:sz w:val="16"/>
              </w:rPr>
              <w:t>Training resources, runtime and inference cost</w:t>
            </w:r>
          </w:p>
        </w:tc>
      </w:tr>
      <w:tr>
        <w:trPr>
          <w:cantSplit/>
        </w:trPr>
        <w:tc>
          <w:tcPr>
            <w:tcW w:type="dxa" w:w="3317"/>
            <w:vAlign w:val="center"/>
            <w:tcMar>
              <w:top w:w="90" w:type="dxa"/>
              <w:start w:w="115" w:type="dxa"/>
              <w:bottom w:w="90" w:type="dxa"/>
              <w:end w:w="115" w:type="dxa"/>
            </w:tcMar>
          </w:tcPr>
          <w:p>
            <w:pPr>
              <w:spacing w:after="0" w:line="254" w:lineRule="auto"/>
            </w:pPr>
            <w:r>
              <w:rPr>
                <w:sz w:val="16"/>
              </w:rPr>
              <w:t>E16</w:t>
            </w:r>
          </w:p>
        </w:tc>
        <w:tc>
          <w:tcPr>
            <w:tcW w:type="dxa" w:w="3317"/>
            <w:vAlign w:val="center"/>
            <w:tcMar>
              <w:top w:w="90" w:type="dxa"/>
              <w:start w:w="115" w:type="dxa"/>
              <w:bottom w:w="90" w:type="dxa"/>
              <w:end w:w="115" w:type="dxa"/>
            </w:tcMar>
          </w:tcPr>
          <w:p>
            <w:pPr>
              <w:spacing w:after="0" w:line="254" w:lineRule="auto"/>
            </w:pPr>
            <w:r>
              <w:rPr>
                <w:sz w:val="16"/>
              </w:rPr>
              <w:t>Validation comparison / freeze</w:t>
            </w:r>
          </w:p>
        </w:tc>
        <w:tc>
          <w:tcPr>
            <w:tcW w:type="dxa" w:w="3317"/>
            <w:vAlign w:val="center"/>
            <w:tcMar>
              <w:top w:w="90" w:type="dxa"/>
              <w:start w:w="115" w:type="dxa"/>
              <w:bottom w:w="90" w:type="dxa"/>
              <w:end w:w="115" w:type="dxa"/>
            </w:tcMar>
          </w:tcPr>
          <w:p>
            <w:pPr>
              <w:spacing w:after="0" w:line="254" w:lineRule="auto"/>
            </w:pPr>
            <w:r>
              <w:rPr>
                <w:sz w:val="16"/>
              </w:rPr>
              <w:t>Select the pre-declared Qwen backbone for Phase-4</w:t>
            </w:r>
          </w:p>
        </w:tc>
      </w:tr>
    </w:tbl>
    <w:p>
      <w:pPr>
        <w:spacing w:after="20"/>
      </w:pPr>
    </w:p>
    <w:p>
      <w:pPr>
        <w:pStyle w:val="Heading2"/>
      </w:pPr>
      <w:r>
        <w:t>5. Understand the evaluation metrics before reading results</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Metric</w:t>
            </w:r>
          </w:p>
        </w:tc>
        <w:tc>
          <w:tcPr>
            <w:tcW w:type="dxa" w:w="3317"/>
            <w:shd w:fill="182B49"/>
            <w:tcMar>
              <w:top w:w="90" w:type="dxa"/>
              <w:start w:w="115" w:type="dxa"/>
              <w:bottom w:w="90" w:type="dxa"/>
              <w:end w:w="115" w:type="dxa"/>
            </w:tcMar>
          </w:tcPr>
          <w:p>
            <w:r>
              <w:rPr>
                <w:b/>
                <w:color w:val="FFFFFF"/>
                <w:sz w:val="16"/>
              </w:rPr>
              <w:t>Meaning</w:t>
            </w:r>
          </w:p>
        </w:tc>
        <w:tc>
          <w:tcPr>
            <w:tcW w:type="dxa" w:w="3317"/>
            <w:shd w:fill="182B49"/>
            <w:tcMar>
              <w:top w:w="90" w:type="dxa"/>
              <w:start w:w="115" w:type="dxa"/>
              <w:bottom w:w="90" w:type="dxa"/>
              <w:end w:w="115" w:type="dxa"/>
            </w:tcMar>
          </w:tcPr>
          <w:p>
            <w:r>
              <w:rPr>
                <w:b/>
                <w:color w:val="FFFFFF"/>
                <w:sz w:val="16"/>
              </w:rPr>
              <w:t>Better</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Answer accuracy (FinQA)</w:t>
            </w:r>
          </w:p>
        </w:tc>
        <w:tc>
          <w:tcPr>
            <w:tcW w:type="dxa" w:w="3317"/>
            <w:vAlign w:val="center"/>
            <w:tcMar>
              <w:top w:w="90" w:type="dxa"/>
              <w:start w:w="115" w:type="dxa"/>
              <w:bottom w:w="90" w:type="dxa"/>
              <w:end w:w="115" w:type="dxa"/>
            </w:tcMar>
            <w:shd w:fill="F3F6F9"/>
          </w:tcPr>
          <w:p>
            <w:pPr>
              <w:spacing w:after="0" w:line="254" w:lineRule="auto"/>
            </w:pPr>
            <w:r>
              <w:rPr>
                <w:sz w:val="16"/>
              </w:rPr>
              <w:t>Fraction whose generated ANSWER text matches the gold result</w:t>
            </w:r>
          </w:p>
        </w:tc>
        <w:tc>
          <w:tcPr>
            <w:tcW w:type="dxa" w:w="3317"/>
            <w:vAlign w:val="center"/>
            <w:tcMar>
              <w:top w:w="90" w:type="dxa"/>
              <w:start w:w="115" w:type="dxa"/>
              <w:bottom w:w="90" w:type="dxa"/>
              <w:end w:w="115" w:type="dxa"/>
            </w:tcMar>
            <w:shd w:fill="F3F6F9"/>
          </w:tcPr>
          <w:p>
            <w:pPr>
              <w:spacing w:after="0" w:line="254" w:lineRule="auto"/>
            </w:pPr>
            <w:r>
              <w:rPr>
                <w:sz w:val="16"/>
              </w:rPr>
              <w:t>Higher</w:t>
            </w:r>
          </w:p>
        </w:tc>
      </w:tr>
      <w:tr>
        <w:trPr>
          <w:cantSplit/>
        </w:trPr>
        <w:tc>
          <w:tcPr>
            <w:tcW w:type="dxa" w:w="3317"/>
            <w:vAlign w:val="center"/>
            <w:tcMar>
              <w:top w:w="90" w:type="dxa"/>
              <w:start w:w="115" w:type="dxa"/>
              <w:bottom w:w="90" w:type="dxa"/>
              <w:end w:w="115" w:type="dxa"/>
            </w:tcMar>
          </w:tcPr>
          <w:p>
            <w:pPr>
              <w:spacing w:after="0" w:line="254" w:lineRule="auto"/>
            </w:pPr>
            <w:r>
              <w:rPr>
                <w:sz w:val="16"/>
              </w:rPr>
              <w:t>Program accuracy (FinQA)</w:t>
            </w:r>
          </w:p>
        </w:tc>
        <w:tc>
          <w:tcPr>
            <w:tcW w:type="dxa" w:w="3317"/>
            <w:vAlign w:val="center"/>
            <w:tcMar>
              <w:top w:w="90" w:type="dxa"/>
              <w:start w:w="115" w:type="dxa"/>
              <w:bottom w:w="90" w:type="dxa"/>
              <w:end w:w="115" w:type="dxa"/>
            </w:tcMar>
          </w:tcPr>
          <w:p>
            <w:pPr>
              <w:spacing w:after="0" w:line="254" w:lineRule="auto"/>
            </w:pPr>
            <w:r>
              <w:rPr>
                <w:sz w:val="16"/>
              </w:rPr>
              <w:t>Fraction whose program exactly matches the gold program</w:t>
            </w:r>
          </w:p>
        </w:tc>
        <w:tc>
          <w:tcPr>
            <w:tcW w:type="dxa" w:w="3317"/>
            <w:vAlign w:val="center"/>
            <w:tcMar>
              <w:top w:w="90" w:type="dxa"/>
              <w:start w:w="115" w:type="dxa"/>
              <w:bottom w:w="90" w:type="dxa"/>
              <w:end w:w="115" w:type="dxa"/>
            </w:tcMar>
          </w:tcPr>
          <w:p>
            <w:pPr>
              <w:spacing w:after="0" w:line="254" w:lineRule="auto"/>
            </w:pPr>
            <w:r>
              <w:rPr>
                <w:sz w:val="16"/>
              </w:rPr>
              <w:t>Higher</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Execution accuracy (FinQA)</w:t>
            </w:r>
          </w:p>
        </w:tc>
        <w:tc>
          <w:tcPr>
            <w:tcW w:type="dxa" w:w="3317"/>
            <w:vAlign w:val="center"/>
            <w:tcMar>
              <w:top w:w="90" w:type="dxa"/>
              <w:start w:w="115" w:type="dxa"/>
              <w:bottom w:w="90" w:type="dxa"/>
              <w:end w:w="115" w:type="dxa"/>
            </w:tcMar>
            <w:shd w:fill="F3F6F9"/>
          </w:tcPr>
          <w:p>
            <w:pPr>
              <w:spacing w:after="0" w:line="254" w:lineRule="auto"/>
            </w:pPr>
            <w:r>
              <w:rPr>
                <w:sz w:val="16"/>
              </w:rPr>
              <w:t>Fraction whose generated program executes to the correct result</w:t>
            </w:r>
          </w:p>
        </w:tc>
        <w:tc>
          <w:tcPr>
            <w:tcW w:type="dxa" w:w="3317"/>
            <w:vAlign w:val="center"/>
            <w:tcMar>
              <w:top w:w="90" w:type="dxa"/>
              <w:start w:w="115" w:type="dxa"/>
              <w:bottom w:w="90" w:type="dxa"/>
              <w:end w:w="115" w:type="dxa"/>
            </w:tcMar>
            <w:shd w:fill="F3F6F9"/>
          </w:tcPr>
          <w:p>
            <w:pPr>
              <w:spacing w:after="0" w:line="254" w:lineRule="auto"/>
            </w:pPr>
            <w:r>
              <w:rPr>
                <w:sz w:val="16"/>
              </w:rPr>
              <w:t>Higher</w:t>
            </w:r>
          </w:p>
        </w:tc>
      </w:tr>
      <w:tr>
        <w:trPr>
          <w:cantSplit/>
        </w:trPr>
        <w:tc>
          <w:tcPr>
            <w:tcW w:type="dxa" w:w="3317"/>
            <w:vAlign w:val="center"/>
            <w:tcMar>
              <w:top w:w="90" w:type="dxa"/>
              <w:start w:w="115" w:type="dxa"/>
              <w:bottom w:w="90" w:type="dxa"/>
              <w:end w:w="115" w:type="dxa"/>
            </w:tcMar>
          </w:tcPr>
          <w:p>
            <w:pPr>
              <w:spacing w:after="0" w:line="254" w:lineRule="auto"/>
            </w:pPr>
            <w:r>
              <w:rPr>
                <w:sz w:val="16"/>
              </w:rPr>
              <w:t>Invalid-program rate</w:t>
            </w:r>
          </w:p>
        </w:tc>
        <w:tc>
          <w:tcPr>
            <w:tcW w:type="dxa" w:w="3317"/>
            <w:vAlign w:val="center"/>
            <w:tcMar>
              <w:top w:w="90" w:type="dxa"/>
              <w:start w:w="115" w:type="dxa"/>
              <w:bottom w:w="90" w:type="dxa"/>
              <w:end w:w="115" w:type="dxa"/>
            </w:tcMar>
          </w:tcPr>
          <w:p>
            <w:pPr>
              <w:spacing w:after="0" w:line="254" w:lineRule="auto"/>
            </w:pPr>
            <w:r>
              <w:rPr>
                <w:sz w:val="16"/>
              </w:rPr>
              <w:t>Fraction of generated programs that cannot be executed</w:t>
            </w:r>
          </w:p>
        </w:tc>
        <w:tc>
          <w:tcPr>
            <w:tcW w:type="dxa" w:w="3317"/>
            <w:vAlign w:val="center"/>
            <w:tcMar>
              <w:top w:w="90" w:type="dxa"/>
              <w:start w:w="115" w:type="dxa"/>
              <w:bottom w:w="90" w:type="dxa"/>
              <w:end w:w="115" w:type="dxa"/>
            </w:tcMar>
          </w:tcPr>
          <w:p>
            <w:pPr>
              <w:spacing w:after="0" w:line="254" w:lineRule="auto"/>
            </w:pPr>
            <w:r>
              <w:rPr>
                <w:sz w:val="16"/>
              </w:rPr>
              <w:t>Lower</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MAE / MSE (FiQA)</w:t>
            </w:r>
          </w:p>
        </w:tc>
        <w:tc>
          <w:tcPr>
            <w:tcW w:type="dxa" w:w="3317"/>
            <w:vAlign w:val="center"/>
            <w:tcMar>
              <w:top w:w="90" w:type="dxa"/>
              <w:start w:w="115" w:type="dxa"/>
              <w:bottom w:w="90" w:type="dxa"/>
              <w:end w:w="115" w:type="dxa"/>
            </w:tcMar>
            <w:shd w:fill="F3F6F9"/>
          </w:tcPr>
          <w:p>
            <w:pPr>
              <w:spacing w:after="0" w:line="254" w:lineRule="auto"/>
            </w:pPr>
            <w:r>
              <w:rPr>
                <w:sz w:val="16"/>
              </w:rPr>
              <w:t>Average absolute / squared error of sentiment score</w:t>
            </w:r>
          </w:p>
        </w:tc>
        <w:tc>
          <w:tcPr>
            <w:tcW w:type="dxa" w:w="3317"/>
            <w:vAlign w:val="center"/>
            <w:tcMar>
              <w:top w:w="90" w:type="dxa"/>
              <w:start w:w="115" w:type="dxa"/>
              <w:bottom w:w="90" w:type="dxa"/>
              <w:end w:w="115" w:type="dxa"/>
            </w:tcMar>
            <w:shd w:fill="F3F6F9"/>
          </w:tcPr>
          <w:p>
            <w:pPr>
              <w:spacing w:after="0" w:line="254" w:lineRule="auto"/>
            </w:pPr>
            <w:r>
              <w:rPr>
                <w:sz w:val="16"/>
              </w:rPr>
              <w:t>Lower</w:t>
            </w:r>
          </w:p>
        </w:tc>
      </w:tr>
      <w:tr>
        <w:trPr>
          <w:cantSplit/>
        </w:trPr>
        <w:tc>
          <w:tcPr>
            <w:tcW w:type="dxa" w:w="3317"/>
            <w:vAlign w:val="center"/>
            <w:tcMar>
              <w:top w:w="90" w:type="dxa"/>
              <w:start w:w="115" w:type="dxa"/>
              <w:bottom w:w="90" w:type="dxa"/>
              <w:end w:w="115" w:type="dxa"/>
            </w:tcMar>
          </w:tcPr>
          <w:p>
            <w:pPr>
              <w:spacing w:after="0" w:line="254" w:lineRule="auto"/>
            </w:pPr>
            <w:r>
              <w:rPr>
                <w:sz w:val="16"/>
              </w:rPr>
              <w:t>R² / Pearson r (FiQA)</w:t>
            </w:r>
          </w:p>
        </w:tc>
        <w:tc>
          <w:tcPr>
            <w:tcW w:type="dxa" w:w="3317"/>
            <w:vAlign w:val="center"/>
            <w:tcMar>
              <w:top w:w="90" w:type="dxa"/>
              <w:start w:w="115" w:type="dxa"/>
              <w:bottom w:w="90" w:type="dxa"/>
              <w:end w:w="115" w:type="dxa"/>
            </w:tcMar>
          </w:tcPr>
          <w:p>
            <w:pPr>
              <w:spacing w:after="0" w:line="254" w:lineRule="auto"/>
            </w:pPr>
            <w:r>
              <w:rPr>
                <w:sz w:val="16"/>
              </w:rPr>
              <w:t>Quality of regression fit / score association</w:t>
            </w:r>
          </w:p>
        </w:tc>
        <w:tc>
          <w:tcPr>
            <w:tcW w:type="dxa" w:w="3317"/>
            <w:vAlign w:val="center"/>
            <w:tcMar>
              <w:top w:w="90" w:type="dxa"/>
              <w:start w:w="115" w:type="dxa"/>
              <w:bottom w:w="90" w:type="dxa"/>
              <w:end w:w="115" w:type="dxa"/>
            </w:tcMar>
          </w:tcPr>
          <w:p>
            <w:pPr>
              <w:spacing w:after="0" w:line="254" w:lineRule="auto"/>
            </w:pPr>
            <w:r>
              <w:rPr>
                <w:sz w:val="16"/>
              </w:rPr>
              <w:t>Higher</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ROC-AUC for confidence</w:t>
            </w:r>
          </w:p>
        </w:tc>
        <w:tc>
          <w:tcPr>
            <w:tcW w:type="dxa" w:w="3317"/>
            <w:vAlign w:val="center"/>
            <w:tcMar>
              <w:top w:w="90" w:type="dxa"/>
              <w:start w:w="115" w:type="dxa"/>
              <w:bottom w:w="90" w:type="dxa"/>
              <w:end w:w="115" w:type="dxa"/>
            </w:tcMar>
            <w:shd w:fill="F3F6F9"/>
          </w:tcPr>
          <w:p>
            <w:pPr>
              <w:spacing w:after="0" w:line="254" w:lineRule="auto"/>
            </w:pPr>
            <w:r>
              <w:rPr>
                <w:sz w:val="16"/>
              </w:rPr>
              <w:t>How well confidence ranks correct vs incorrect predictions</w:t>
            </w:r>
          </w:p>
        </w:tc>
        <w:tc>
          <w:tcPr>
            <w:tcW w:type="dxa" w:w="3317"/>
            <w:vAlign w:val="center"/>
            <w:tcMar>
              <w:top w:w="90" w:type="dxa"/>
              <w:start w:w="115" w:type="dxa"/>
              <w:bottom w:w="90" w:type="dxa"/>
              <w:end w:w="115" w:type="dxa"/>
            </w:tcMar>
            <w:shd w:fill="F3F6F9"/>
          </w:tcPr>
          <w:p>
            <w:pPr>
              <w:spacing w:after="0" w:line="254" w:lineRule="auto"/>
            </w:pPr>
            <w:r>
              <w:rPr>
                <w:sz w:val="16"/>
              </w:rPr>
              <w:t>Higher (0.5≈random)</w:t>
            </w:r>
          </w:p>
        </w:tc>
      </w:tr>
      <w:tr>
        <w:trPr>
          <w:cantSplit/>
        </w:trPr>
        <w:tc>
          <w:tcPr>
            <w:tcW w:type="dxa" w:w="3317"/>
            <w:vAlign w:val="center"/>
            <w:tcMar>
              <w:top w:w="90" w:type="dxa"/>
              <w:start w:w="115" w:type="dxa"/>
              <w:bottom w:w="90" w:type="dxa"/>
              <w:end w:w="115" w:type="dxa"/>
            </w:tcMar>
          </w:tcPr>
          <w:p>
            <w:pPr>
              <w:spacing w:after="0" w:line="254" w:lineRule="auto"/>
            </w:pPr>
            <w:r>
              <w:rPr>
                <w:sz w:val="16"/>
              </w:rPr>
              <w:t>Coverage</w:t>
            </w:r>
          </w:p>
        </w:tc>
        <w:tc>
          <w:tcPr>
            <w:tcW w:type="dxa" w:w="3317"/>
            <w:vAlign w:val="center"/>
            <w:tcMar>
              <w:top w:w="90" w:type="dxa"/>
              <w:start w:w="115" w:type="dxa"/>
              <w:bottom w:w="90" w:type="dxa"/>
              <w:end w:w="115" w:type="dxa"/>
            </w:tcMar>
          </w:tcPr>
          <w:p>
            <w:pPr>
              <w:spacing w:after="0" w:line="254" w:lineRule="auto"/>
            </w:pPr>
            <w:r>
              <w:rPr>
                <w:sz w:val="16"/>
              </w:rPr>
              <w:t>Fraction of cases on which an abstaining system returns an answer</w:t>
            </w:r>
          </w:p>
        </w:tc>
        <w:tc>
          <w:tcPr>
            <w:tcW w:type="dxa" w:w="3317"/>
            <w:vAlign w:val="center"/>
            <w:tcMar>
              <w:top w:w="90" w:type="dxa"/>
              <w:start w:w="115" w:type="dxa"/>
              <w:bottom w:w="90" w:type="dxa"/>
              <w:end w:w="115" w:type="dxa"/>
            </w:tcMar>
          </w:tcPr>
          <w:p>
            <w:pPr>
              <w:spacing w:after="0" w:line="254" w:lineRule="auto"/>
            </w:pPr>
            <w:r>
              <w:rPr>
                <w:sz w:val="16"/>
              </w:rPr>
              <w:t>Higher, subject to risk</w:t>
            </w:r>
          </w:p>
        </w:tc>
      </w:tr>
    </w:tbl>
    <w:p>
      <w:pPr>
        <w:spacing w:after="20"/>
      </w:pPr>
    </w:p>
    <w:tbl>
      <w:tblPr>
        <w:tblW w:type="auto" w:w="0"/>
        <w:tblLayout w:type="fixed"/>
        <w:tblLook w:firstColumn="1" w:firstRow="1" w:lastColumn="0" w:lastRow="0" w:noHBand="0" w:noVBand="1" w:val="04A0"/>
      </w:tblPr>
      <w:tblGrid>
        <w:gridCol w:w="9648"/>
      </w:tblGrid>
      <w:tr>
        <w:tc>
          <w:tcPr>
            <w:tcW w:type="dxa" w:w="9950"/>
            <w:shd w:fill="EAF3F5"/>
            <w:tcMar>
              <w:top w:w="140" w:type="dxa"/>
              <w:start w:w="150" w:type="dxa"/>
              <w:bottom w:w="140" w:type="dxa"/>
              <w:end w:w="150" w:type="dxa"/>
            </w:tcMar>
          </w:tcPr>
          <w:p>
            <w:r>
              <w:rPr>
                <w:b/>
                <w:color w:val="087C86"/>
                <w:sz w:val="19"/>
              </w:rPr>
              <w:t xml:space="preserve">Important distinction   </w:t>
            </w:r>
            <w:r>
              <w:rPr>
                <w:sz w:val="19"/>
              </w:rPr>
              <w:t>The presence of an executable program is not proof that it uses the correct financial facts or the correct operations. Executability, accuracy and evidence grounding are different properties.</w:t>
            </w:r>
          </w:p>
        </w:tc>
      </w:tr>
    </w:tbl>
    <w:p>
      <w:pPr>
        <w:spacing w:after="0"/>
      </w:pPr>
    </w:p>
    <w:p>
      <w:pPr>
        <w:pStyle w:val="Heading1"/>
      </w:pPr>
      <w:r>
        <w:t>C. Core performance results</w:t>
      </w:r>
    </w:p>
    <w:p>
      <w:pPr>
        <w:pStyle w:val="Heading2"/>
      </w:pPr>
      <w:r>
        <w:t>6. Main baseline comparison</w:t>
      </w:r>
    </w:p>
    <w:tbl>
      <w:tblPr>
        <w:tblStyle w:val="TableGrid"/>
        <w:tblW w:type="auto" w:w="0"/>
        <w:jc w:val="center"/>
        <w:tblLayout w:type="autofit"/>
        <w:tblLook w:firstColumn="1" w:firstRow="1" w:lastColumn="0" w:lastRow="0" w:noHBand="0" w:noVBand="1" w:val="04A0"/>
      </w:tblPr>
      <w:tblGrid>
        <w:gridCol w:w="2487"/>
        <w:gridCol w:w="2487"/>
        <w:gridCol w:w="2487"/>
        <w:gridCol w:w="2487"/>
      </w:tblGrid>
      <w:tr>
        <w:trPr>
          <w:tblHeader w:val="true"/>
        </w:trPr>
        <w:tc>
          <w:tcPr>
            <w:tcW w:type="dxa" w:w="2487"/>
            <w:shd w:fill="182B49"/>
            <w:tcMar>
              <w:top w:w="90" w:type="dxa"/>
              <w:start w:w="115" w:type="dxa"/>
              <w:bottom w:w="90" w:type="dxa"/>
              <w:end w:w="115" w:type="dxa"/>
            </w:tcMar>
          </w:tcPr>
          <w:p>
            <w:r>
              <w:rPr>
                <w:b/>
                <w:color w:val="FFFFFF"/>
                <w:sz w:val="16"/>
              </w:rPr>
              <w:t>Experiment</w:t>
            </w:r>
          </w:p>
        </w:tc>
        <w:tc>
          <w:tcPr>
            <w:tcW w:type="dxa" w:w="2487"/>
            <w:shd w:fill="182B49"/>
            <w:tcMar>
              <w:top w:w="90" w:type="dxa"/>
              <w:start w:w="115" w:type="dxa"/>
              <w:bottom w:w="90" w:type="dxa"/>
              <w:end w:w="115" w:type="dxa"/>
            </w:tcMar>
          </w:tcPr>
          <w:p>
            <w:r>
              <w:rPr>
                <w:b/>
                <w:color w:val="FFFFFF"/>
                <w:sz w:val="16"/>
              </w:rPr>
              <w:t>FinQA exec. ↑</w:t>
            </w:r>
          </w:p>
        </w:tc>
        <w:tc>
          <w:tcPr>
            <w:tcW w:type="dxa" w:w="2487"/>
            <w:shd w:fill="182B49"/>
            <w:tcMar>
              <w:top w:w="90" w:type="dxa"/>
              <w:start w:w="115" w:type="dxa"/>
              <w:bottom w:w="90" w:type="dxa"/>
              <w:end w:w="115" w:type="dxa"/>
            </w:tcMar>
          </w:tcPr>
          <w:p>
            <w:r>
              <w:rPr>
                <w:b/>
                <w:color w:val="FFFFFF"/>
                <w:sz w:val="16"/>
              </w:rPr>
              <w:t>FiQA MAE ↓</w:t>
            </w:r>
          </w:p>
        </w:tc>
        <w:tc>
          <w:tcPr>
            <w:tcW w:type="dxa" w:w="2487"/>
            <w:shd w:fill="182B49"/>
            <w:tcMar>
              <w:top w:w="90" w:type="dxa"/>
              <w:start w:w="115" w:type="dxa"/>
              <w:bottom w:w="90" w:type="dxa"/>
              <w:end w:w="115" w:type="dxa"/>
            </w:tcMar>
          </w:tcPr>
          <w:p>
            <w:r>
              <w:rPr>
                <w:b/>
                <w:color w:val="FFFFFF"/>
                <w:sz w:val="16"/>
              </w:rPr>
              <w:t>FiQA R² ↑</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E1 — Qwen zero-shot</w:t>
            </w:r>
          </w:p>
        </w:tc>
        <w:tc>
          <w:tcPr>
            <w:tcW w:type="dxa" w:w="2487"/>
            <w:vAlign w:val="center"/>
            <w:tcMar>
              <w:top w:w="90" w:type="dxa"/>
              <w:start w:w="115" w:type="dxa"/>
              <w:bottom w:w="90" w:type="dxa"/>
              <w:end w:w="115" w:type="dxa"/>
            </w:tcMar>
            <w:shd w:fill="F3F6F9"/>
          </w:tcPr>
          <w:p>
            <w:pPr>
              <w:spacing w:after="0" w:line="254" w:lineRule="auto"/>
            </w:pPr>
            <w:r>
              <w:rPr>
                <w:sz w:val="15"/>
              </w:rPr>
              <w:t>0.0%</w:t>
            </w:r>
          </w:p>
        </w:tc>
        <w:tc>
          <w:tcPr>
            <w:tcW w:type="dxa" w:w="2487"/>
            <w:vAlign w:val="center"/>
            <w:tcMar>
              <w:top w:w="90" w:type="dxa"/>
              <w:start w:w="115" w:type="dxa"/>
              <w:bottom w:w="90" w:type="dxa"/>
              <w:end w:w="115" w:type="dxa"/>
            </w:tcMar>
            <w:shd w:fill="F3F6F9"/>
          </w:tcPr>
          <w:p>
            <w:pPr>
              <w:spacing w:after="0" w:line="254" w:lineRule="auto"/>
            </w:pPr>
            <w:r>
              <w:rPr>
                <w:sz w:val="15"/>
              </w:rPr>
              <w:t>0.501</w:t>
            </w:r>
          </w:p>
        </w:tc>
        <w:tc>
          <w:tcPr>
            <w:tcW w:type="dxa" w:w="2487"/>
            <w:vAlign w:val="center"/>
            <w:tcMar>
              <w:top w:w="90" w:type="dxa"/>
              <w:start w:w="115" w:type="dxa"/>
              <w:bottom w:w="90" w:type="dxa"/>
              <w:end w:w="115" w:type="dxa"/>
            </w:tcMar>
            <w:shd w:fill="F3F6F9"/>
          </w:tcPr>
          <w:p>
            <w:pPr>
              <w:spacing w:after="0" w:line="254" w:lineRule="auto"/>
            </w:pPr>
            <w:r>
              <w:rPr>
                <w:sz w:val="15"/>
              </w:rPr>
              <w:t>-1.787</w:t>
            </w:r>
          </w:p>
        </w:tc>
      </w:tr>
      <w:tr>
        <w:trPr>
          <w:cantSplit/>
        </w:trPr>
        <w:tc>
          <w:tcPr>
            <w:tcW w:type="dxa" w:w="2487"/>
            <w:vAlign w:val="center"/>
            <w:tcMar>
              <w:top w:w="90" w:type="dxa"/>
              <w:start w:w="115" w:type="dxa"/>
              <w:bottom w:w="90" w:type="dxa"/>
              <w:end w:w="115" w:type="dxa"/>
            </w:tcMar>
          </w:tcPr>
          <w:p>
            <w:pPr>
              <w:spacing w:after="0" w:line="254" w:lineRule="auto"/>
            </w:pPr>
            <w:r>
              <w:rPr>
                <w:sz w:val="15"/>
              </w:rPr>
              <w:t>E2 — Qwen few-shot</w:t>
            </w:r>
          </w:p>
        </w:tc>
        <w:tc>
          <w:tcPr>
            <w:tcW w:type="dxa" w:w="2487"/>
            <w:vAlign w:val="center"/>
            <w:tcMar>
              <w:top w:w="90" w:type="dxa"/>
              <w:start w:w="115" w:type="dxa"/>
              <w:bottom w:w="90" w:type="dxa"/>
              <w:end w:w="115" w:type="dxa"/>
            </w:tcMar>
          </w:tcPr>
          <w:p>
            <w:pPr>
              <w:spacing w:after="0" w:line="254" w:lineRule="auto"/>
            </w:pPr>
            <w:r>
              <w:rPr>
                <w:sz w:val="15"/>
              </w:rPr>
              <w:t>0.0%</w:t>
            </w:r>
          </w:p>
        </w:tc>
        <w:tc>
          <w:tcPr>
            <w:tcW w:type="dxa" w:w="2487"/>
            <w:vAlign w:val="center"/>
            <w:tcMar>
              <w:top w:w="90" w:type="dxa"/>
              <w:start w:w="115" w:type="dxa"/>
              <w:bottom w:w="90" w:type="dxa"/>
              <w:end w:w="115" w:type="dxa"/>
            </w:tcMar>
          </w:tcPr>
          <w:p>
            <w:pPr>
              <w:spacing w:after="0" w:line="254" w:lineRule="auto"/>
            </w:pPr>
            <w:r>
              <w:rPr>
                <w:sz w:val="15"/>
              </w:rPr>
              <w:t>0.185</w:t>
            </w:r>
          </w:p>
        </w:tc>
        <w:tc>
          <w:tcPr>
            <w:tcW w:type="dxa" w:w="2487"/>
            <w:vAlign w:val="center"/>
            <w:tcMar>
              <w:top w:w="90" w:type="dxa"/>
              <w:start w:w="115" w:type="dxa"/>
              <w:bottom w:w="90" w:type="dxa"/>
              <w:end w:w="115" w:type="dxa"/>
            </w:tcMar>
          </w:tcPr>
          <w:p>
            <w:pPr>
              <w:spacing w:after="0" w:line="254" w:lineRule="auto"/>
            </w:pPr>
            <w:r>
              <w:rPr>
                <w:sz w:val="15"/>
              </w:rPr>
              <w:t>0.472</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E3 — FinQA-only QLoRA</w:t>
            </w:r>
          </w:p>
        </w:tc>
        <w:tc>
          <w:tcPr>
            <w:tcW w:type="dxa" w:w="2487"/>
            <w:vAlign w:val="center"/>
            <w:tcMar>
              <w:top w:w="90" w:type="dxa"/>
              <w:start w:w="115" w:type="dxa"/>
              <w:bottom w:w="90" w:type="dxa"/>
              <w:end w:w="115" w:type="dxa"/>
            </w:tcMar>
            <w:shd w:fill="F3F6F9"/>
          </w:tcPr>
          <w:p>
            <w:pPr>
              <w:spacing w:after="0" w:line="254" w:lineRule="auto"/>
            </w:pPr>
            <w:r>
              <w:rPr>
                <w:sz w:val="15"/>
              </w:rPr>
              <w:t>68.1%</w:t>
            </w:r>
          </w:p>
        </w:tc>
        <w:tc>
          <w:tcPr>
            <w:tcW w:type="dxa" w:w="2487"/>
            <w:vAlign w:val="center"/>
            <w:tcMar>
              <w:top w:w="90" w:type="dxa"/>
              <w:start w:w="115" w:type="dxa"/>
              <w:bottom w:w="90" w:type="dxa"/>
              <w:end w:w="115" w:type="dxa"/>
            </w:tcMar>
            <w:shd w:fill="F3F6F9"/>
          </w:tcPr>
          <w:p>
            <w:pPr>
              <w:spacing w:after="0" w:line="254" w:lineRule="auto"/>
            </w:pPr>
            <w:r>
              <w:rPr>
                <w:sz w:val="15"/>
              </w:rPr>
              <w:t>0.505</w:t>
            </w:r>
          </w:p>
        </w:tc>
        <w:tc>
          <w:tcPr>
            <w:tcW w:type="dxa" w:w="2487"/>
            <w:vAlign w:val="center"/>
            <w:tcMar>
              <w:top w:w="90" w:type="dxa"/>
              <w:start w:w="115" w:type="dxa"/>
              <w:bottom w:w="90" w:type="dxa"/>
              <w:end w:w="115" w:type="dxa"/>
            </w:tcMar>
            <w:shd w:fill="F3F6F9"/>
          </w:tcPr>
          <w:p>
            <w:pPr>
              <w:spacing w:after="0" w:line="254" w:lineRule="auto"/>
            </w:pPr>
            <w:r>
              <w:rPr>
                <w:sz w:val="15"/>
              </w:rPr>
              <w:t>-1.840</w:t>
            </w:r>
          </w:p>
        </w:tc>
      </w:tr>
      <w:tr>
        <w:trPr>
          <w:cantSplit/>
        </w:trPr>
        <w:tc>
          <w:tcPr>
            <w:tcW w:type="dxa" w:w="2487"/>
            <w:vAlign w:val="center"/>
            <w:tcMar>
              <w:top w:w="90" w:type="dxa"/>
              <w:start w:w="115" w:type="dxa"/>
              <w:bottom w:w="90" w:type="dxa"/>
              <w:end w:w="115" w:type="dxa"/>
            </w:tcMar>
          </w:tcPr>
          <w:p>
            <w:pPr>
              <w:spacing w:after="0" w:line="254" w:lineRule="auto"/>
            </w:pPr>
            <w:r>
              <w:rPr>
                <w:sz w:val="15"/>
              </w:rPr>
              <w:t>E4 — FiQA-only QLoRA</w:t>
            </w:r>
          </w:p>
        </w:tc>
        <w:tc>
          <w:tcPr>
            <w:tcW w:type="dxa" w:w="2487"/>
            <w:vAlign w:val="center"/>
            <w:tcMar>
              <w:top w:w="90" w:type="dxa"/>
              <w:start w:w="115" w:type="dxa"/>
              <w:bottom w:w="90" w:type="dxa"/>
              <w:end w:w="115" w:type="dxa"/>
            </w:tcMar>
          </w:tcPr>
          <w:p>
            <w:pPr>
              <w:spacing w:after="0" w:line="254" w:lineRule="auto"/>
            </w:pPr>
            <w:r>
              <w:rPr>
                <w:sz w:val="15"/>
              </w:rPr>
              <w:t>0.0%</w:t>
            </w:r>
          </w:p>
        </w:tc>
        <w:tc>
          <w:tcPr>
            <w:tcW w:type="dxa" w:w="2487"/>
            <w:vAlign w:val="center"/>
            <w:tcMar>
              <w:top w:w="90" w:type="dxa"/>
              <w:start w:w="115" w:type="dxa"/>
              <w:bottom w:w="90" w:type="dxa"/>
              <w:end w:w="115" w:type="dxa"/>
            </w:tcMar>
          </w:tcPr>
          <w:p>
            <w:pPr>
              <w:spacing w:after="0" w:line="254" w:lineRule="auto"/>
            </w:pPr>
            <w:r>
              <w:rPr>
                <w:sz w:val="15"/>
              </w:rPr>
              <w:t>0.129</w:t>
            </w:r>
          </w:p>
        </w:tc>
        <w:tc>
          <w:tcPr>
            <w:tcW w:type="dxa" w:w="2487"/>
            <w:vAlign w:val="center"/>
            <w:tcMar>
              <w:top w:w="90" w:type="dxa"/>
              <w:start w:w="115" w:type="dxa"/>
              <w:bottom w:w="90" w:type="dxa"/>
              <w:end w:w="115" w:type="dxa"/>
            </w:tcMar>
          </w:tcPr>
          <w:p>
            <w:pPr>
              <w:spacing w:after="0" w:line="254" w:lineRule="auto"/>
            </w:pPr>
            <w:r>
              <w:rPr>
                <w:sz w:val="15"/>
              </w:rPr>
              <w:t>0.725</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E5 — Qwen balanced joint</w:t>
            </w:r>
          </w:p>
        </w:tc>
        <w:tc>
          <w:tcPr>
            <w:tcW w:type="dxa" w:w="2487"/>
            <w:vAlign w:val="center"/>
            <w:tcMar>
              <w:top w:w="90" w:type="dxa"/>
              <w:start w:w="115" w:type="dxa"/>
              <w:bottom w:w="90" w:type="dxa"/>
              <w:end w:w="115" w:type="dxa"/>
            </w:tcMar>
            <w:shd w:fill="F3F6F9"/>
          </w:tcPr>
          <w:p>
            <w:pPr>
              <w:spacing w:after="0" w:line="254" w:lineRule="auto"/>
            </w:pPr>
            <w:r>
              <w:rPr>
                <w:sz w:val="15"/>
              </w:rPr>
              <w:t>67.5%</w:t>
            </w:r>
          </w:p>
        </w:tc>
        <w:tc>
          <w:tcPr>
            <w:tcW w:type="dxa" w:w="2487"/>
            <w:vAlign w:val="center"/>
            <w:tcMar>
              <w:top w:w="90" w:type="dxa"/>
              <w:start w:w="115" w:type="dxa"/>
              <w:bottom w:w="90" w:type="dxa"/>
              <w:end w:w="115" w:type="dxa"/>
            </w:tcMar>
            <w:shd w:fill="F3F6F9"/>
          </w:tcPr>
          <w:p>
            <w:pPr>
              <w:spacing w:after="0" w:line="254" w:lineRule="auto"/>
            </w:pPr>
            <w:r>
              <w:rPr>
                <w:sz w:val="15"/>
              </w:rPr>
              <w:t>0.130</w:t>
            </w:r>
          </w:p>
        </w:tc>
        <w:tc>
          <w:tcPr>
            <w:tcW w:type="dxa" w:w="2487"/>
            <w:vAlign w:val="center"/>
            <w:tcMar>
              <w:top w:w="90" w:type="dxa"/>
              <w:start w:w="115" w:type="dxa"/>
              <w:bottom w:w="90" w:type="dxa"/>
              <w:end w:w="115" w:type="dxa"/>
            </w:tcMar>
            <w:shd w:fill="F3F6F9"/>
          </w:tcPr>
          <w:p>
            <w:pPr>
              <w:spacing w:after="0" w:line="254" w:lineRule="auto"/>
            </w:pPr>
            <w:r>
              <w:rPr>
                <w:sz w:val="15"/>
              </w:rPr>
              <w:t>0.730</w:t>
            </w:r>
          </w:p>
        </w:tc>
      </w:tr>
      <w:tr>
        <w:trPr>
          <w:cantSplit/>
        </w:trPr>
        <w:tc>
          <w:tcPr>
            <w:tcW w:type="dxa" w:w="2487"/>
            <w:vAlign w:val="center"/>
            <w:tcMar>
              <w:top w:w="90" w:type="dxa"/>
              <w:start w:w="115" w:type="dxa"/>
              <w:bottom w:w="90" w:type="dxa"/>
              <w:end w:w="115" w:type="dxa"/>
            </w:tcMar>
          </w:tcPr>
          <w:p>
            <w:pPr>
              <w:spacing w:after="0" w:line="254" w:lineRule="auto"/>
            </w:pPr>
            <w:r>
              <w:rPr>
                <w:sz w:val="15"/>
              </w:rPr>
              <w:t>E6 — Phi zero-shot</w:t>
            </w:r>
          </w:p>
        </w:tc>
        <w:tc>
          <w:tcPr>
            <w:tcW w:type="dxa" w:w="2487"/>
            <w:vAlign w:val="center"/>
            <w:tcMar>
              <w:top w:w="90" w:type="dxa"/>
              <w:start w:w="115" w:type="dxa"/>
              <w:bottom w:w="90" w:type="dxa"/>
              <w:end w:w="115" w:type="dxa"/>
            </w:tcMar>
          </w:tcPr>
          <w:p>
            <w:pPr>
              <w:spacing w:after="0" w:line="254" w:lineRule="auto"/>
            </w:pPr>
            <w:r>
              <w:rPr>
                <w:sz w:val="15"/>
              </w:rPr>
              <w:t>0.0%</w:t>
            </w:r>
          </w:p>
        </w:tc>
        <w:tc>
          <w:tcPr>
            <w:tcW w:type="dxa" w:w="2487"/>
            <w:vAlign w:val="center"/>
            <w:tcMar>
              <w:top w:w="90" w:type="dxa"/>
              <w:start w:w="115" w:type="dxa"/>
              <w:bottom w:w="90" w:type="dxa"/>
              <w:end w:w="115" w:type="dxa"/>
            </w:tcMar>
          </w:tcPr>
          <w:p>
            <w:pPr>
              <w:spacing w:after="0" w:line="254" w:lineRule="auto"/>
            </w:pPr>
            <w:r>
              <w:rPr>
                <w:sz w:val="15"/>
              </w:rPr>
              <w:t>0.381</w:t>
            </w:r>
          </w:p>
        </w:tc>
        <w:tc>
          <w:tcPr>
            <w:tcW w:type="dxa" w:w="2487"/>
            <w:vAlign w:val="center"/>
            <w:tcMar>
              <w:top w:w="90" w:type="dxa"/>
              <w:start w:w="115" w:type="dxa"/>
              <w:bottom w:w="90" w:type="dxa"/>
              <w:end w:w="115" w:type="dxa"/>
            </w:tcMar>
          </w:tcPr>
          <w:p>
            <w:pPr>
              <w:spacing w:after="0" w:line="254" w:lineRule="auto"/>
            </w:pPr>
            <w:r>
              <w:rPr>
                <w:sz w:val="15"/>
              </w:rPr>
              <w:t>-0.444</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E7 — Phi few-shot</w:t>
            </w:r>
          </w:p>
        </w:tc>
        <w:tc>
          <w:tcPr>
            <w:tcW w:type="dxa" w:w="2487"/>
            <w:vAlign w:val="center"/>
            <w:tcMar>
              <w:top w:w="90" w:type="dxa"/>
              <w:start w:w="115" w:type="dxa"/>
              <w:bottom w:w="90" w:type="dxa"/>
              <w:end w:w="115" w:type="dxa"/>
            </w:tcMar>
            <w:shd w:fill="F3F6F9"/>
          </w:tcPr>
          <w:p>
            <w:pPr>
              <w:spacing w:after="0" w:line="254" w:lineRule="auto"/>
            </w:pPr>
            <w:r>
              <w:rPr>
                <w:sz w:val="15"/>
              </w:rPr>
              <w:t>4.0%</w:t>
            </w:r>
          </w:p>
        </w:tc>
        <w:tc>
          <w:tcPr>
            <w:tcW w:type="dxa" w:w="2487"/>
            <w:vAlign w:val="center"/>
            <w:tcMar>
              <w:top w:w="90" w:type="dxa"/>
              <w:start w:w="115" w:type="dxa"/>
              <w:bottom w:w="90" w:type="dxa"/>
              <w:end w:w="115" w:type="dxa"/>
            </w:tcMar>
            <w:shd w:fill="F3F6F9"/>
          </w:tcPr>
          <w:p>
            <w:pPr>
              <w:spacing w:after="0" w:line="254" w:lineRule="auto"/>
            </w:pPr>
            <w:r>
              <w:rPr>
                <w:sz w:val="15"/>
              </w:rPr>
              <w:t>0.325</w:t>
            </w:r>
          </w:p>
        </w:tc>
        <w:tc>
          <w:tcPr>
            <w:tcW w:type="dxa" w:w="2487"/>
            <w:vAlign w:val="center"/>
            <w:tcMar>
              <w:top w:w="90" w:type="dxa"/>
              <w:start w:w="115" w:type="dxa"/>
              <w:bottom w:w="90" w:type="dxa"/>
              <w:end w:w="115" w:type="dxa"/>
            </w:tcMar>
            <w:shd w:fill="F3F6F9"/>
          </w:tcPr>
          <w:p>
            <w:pPr>
              <w:spacing w:after="0" w:line="254" w:lineRule="auto"/>
            </w:pPr>
            <w:r>
              <w:rPr>
                <w:sz w:val="15"/>
              </w:rPr>
              <w:t>-0.181</w:t>
            </w:r>
          </w:p>
        </w:tc>
      </w:tr>
      <w:tr>
        <w:trPr>
          <w:cantSplit/>
        </w:trPr>
        <w:tc>
          <w:tcPr>
            <w:tcW w:type="dxa" w:w="2487"/>
            <w:vAlign w:val="center"/>
            <w:tcMar>
              <w:top w:w="90" w:type="dxa"/>
              <w:start w:w="115" w:type="dxa"/>
              <w:bottom w:w="90" w:type="dxa"/>
              <w:end w:w="115" w:type="dxa"/>
            </w:tcMar>
          </w:tcPr>
          <w:p>
            <w:pPr>
              <w:spacing w:after="0" w:line="254" w:lineRule="auto"/>
            </w:pPr>
            <w:r>
              <w:rPr>
                <w:sz w:val="15"/>
              </w:rPr>
              <w:t>E8 — Phi balanced joint</w:t>
            </w:r>
          </w:p>
        </w:tc>
        <w:tc>
          <w:tcPr>
            <w:tcW w:type="dxa" w:w="2487"/>
            <w:vAlign w:val="center"/>
            <w:tcMar>
              <w:top w:w="90" w:type="dxa"/>
              <w:start w:w="115" w:type="dxa"/>
              <w:bottom w:w="90" w:type="dxa"/>
              <w:end w:w="115" w:type="dxa"/>
            </w:tcMar>
          </w:tcPr>
          <w:p>
            <w:pPr>
              <w:spacing w:after="0" w:line="254" w:lineRule="auto"/>
            </w:pPr>
            <w:r>
              <w:rPr>
                <w:sz w:val="15"/>
              </w:rPr>
              <w:t>70.1%</w:t>
            </w:r>
          </w:p>
        </w:tc>
        <w:tc>
          <w:tcPr>
            <w:tcW w:type="dxa" w:w="2487"/>
            <w:vAlign w:val="center"/>
            <w:tcMar>
              <w:top w:w="90" w:type="dxa"/>
              <w:start w:w="115" w:type="dxa"/>
              <w:bottom w:w="90" w:type="dxa"/>
              <w:end w:w="115" w:type="dxa"/>
            </w:tcMar>
          </w:tcPr>
          <w:p>
            <w:pPr>
              <w:spacing w:after="0" w:line="254" w:lineRule="auto"/>
            </w:pPr>
            <w:r>
              <w:rPr>
                <w:sz w:val="15"/>
              </w:rPr>
              <w:t>0.130</w:t>
            </w:r>
          </w:p>
        </w:tc>
        <w:tc>
          <w:tcPr>
            <w:tcW w:type="dxa" w:w="2487"/>
            <w:vAlign w:val="center"/>
            <w:tcMar>
              <w:top w:w="90" w:type="dxa"/>
              <w:start w:w="115" w:type="dxa"/>
              <w:bottom w:w="90" w:type="dxa"/>
              <w:end w:w="115" w:type="dxa"/>
            </w:tcMar>
          </w:tcPr>
          <w:p>
            <w:pPr>
              <w:spacing w:after="0" w:line="254" w:lineRule="auto"/>
            </w:pPr>
            <w:r>
              <w:rPr>
                <w:sz w:val="15"/>
              </w:rPr>
              <w:t>0.809</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E11 — Qwen natural joint</w:t>
            </w:r>
          </w:p>
        </w:tc>
        <w:tc>
          <w:tcPr>
            <w:tcW w:type="dxa" w:w="2487"/>
            <w:vAlign w:val="center"/>
            <w:tcMar>
              <w:top w:w="90" w:type="dxa"/>
              <w:start w:w="115" w:type="dxa"/>
              <w:bottom w:w="90" w:type="dxa"/>
              <w:end w:w="115" w:type="dxa"/>
            </w:tcMar>
            <w:shd w:fill="F3F6F9"/>
          </w:tcPr>
          <w:p>
            <w:pPr>
              <w:spacing w:after="0" w:line="254" w:lineRule="auto"/>
            </w:pPr>
            <w:r>
              <w:rPr>
                <w:sz w:val="15"/>
              </w:rPr>
              <w:t>61.5%</w:t>
            </w:r>
          </w:p>
        </w:tc>
        <w:tc>
          <w:tcPr>
            <w:tcW w:type="dxa" w:w="2487"/>
            <w:vAlign w:val="center"/>
            <w:tcMar>
              <w:top w:w="90" w:type="dxa"/>
              <w:start w:w="115" w:type="dxa"/>
              <w:bottom w:w="90" w:type="dxa"/>
              <w:end w:w="115" w:type="dxa"/>
            </w:tcMar>
            <w:shd w:fill="F3F6F9"/>
          </w:tcPr>
          <w:p>
            <w:pPr>
              <w:spacing w:after="0" w:line="254" w:lineRule="auto"/>
            </w:pPr>
            <w:r>
              <w:rPr>
                <w:sz w:val="15"/>
              </w:rPr>
              <w:t>0.128</w:t>
            </w:r>
          </w:p>
        </w:tc>
        <w:tc>
          <w:tcPr>
            <w:tcW w:type="dxa" w:w="2487"/>
            <w:vAlign w:val="center"/>
            <w:tcMar>
              <w:top w:w="90" w:type="dxa"/>
              <w:start w:w="115" w:type="dxa"/>
              <w:bottom w:w="90" w:type="dxa"/>
              <w:end w:w="115" w:type="dxa"/>
            </w:tcMar>
            <w:shd w:fill="F3F6F9"/>
          </w:tcPr>
          <w:p>
            <w:pPr>
              <w:spacing w:after="0" w:line="254" w:lineRule="auto"/>
            </w:pPr>
            <w:r>
              <w:rPr>
                <w:sz w:val="15"/>
              </w:rPr>
              <w:t>0.736</w:t>
            </w:r>
          </w:p>
        </w:tc>
      </w:tr>
    </w:tbl>
    <w:p>
      <w:pPr>
        <w:spacing w:after="20"/>
      </w:pPr>
    </w:p>
    <w:p>
      <w:pPr>
        <w:jc w:val="center"/>
      </w:pPr>
      <w:r>
        <w:drawing>
          <wp:inline xmlns:a="http://schemas.openxmlformats.org/drawingml/2006/main" xmlns:pic="http://schemas.openxmlformats.org/drawingml/2006/picture">
            <wp:extent cx="6126480" cy="2204327"/>
            <wp:docPr id="1" name="Picture 1"/>
            <wp:cNvGraphicFramePr>
              <a:graphicFrameLocks noChangeAspect="1"/>
            </wp:cNvGraphicFramePr>
            <a:graphic>
              <a:graphicData uri="http://schemas.openxmlformats.org/drawingml/2006/picture">
                <pic:pic>
                  <pic:nvPicPr>
                    <pic:cNvPr id="0" name="finqa_main.png"/>
                    <pic:cNvPicPr/>
                  </pic:nvPicPr>
                  <pic:blipFill>
                    <a:blip r:embed="rId11"/>
                    <a:stretch>
                      <a:fillRect/>
                    </a:stretch>
                  </pic:blipFill>
                  <pic:spPr>
                    <a:xfrm>
                      <a:off x="0" y="0"/>
                      <a:ext cx="6126480" cy="2204327"/>
                    </a:xfrm>
                    <a:prstGeom prst="rect"/>
                  </pic:spPr>
                </pic:pic>
              </a:graphicData>
            </a:graphic>
          </wp:inline>
        </w:drawing>
      </w:r>
    </w:p>
    <w:p>
      <w:pPr>
        <w:spacing w:after="160"/>
        <w:jc w:val="center"/>
      </w:pPr>
      <w:r>
        <w:rPr>
          <w:i/>
          <w:color w:val="667387"/>
          <w:sz w:val="16"/>
        </w:rPr>
        <w:t>Figure 1. FinQA execution accuracy on 883 validation cases. E5 is frozen within the pre-declared Qwen comparisons; E8 is the stronger cross-family comparison.</w:t>
      </w:r>
    </w:p>
    <w:p>
      <w:pPr>
        <w:pStyle w:val="Heading2"/>
      </w:pPr>
      <w:r>
        <w:t>7. What do the model comparisons tell us?</w:t>
      </w:r>
    </w:p>
    <w:p>
      <w:r>
        <w:rPr>
          <w:b/>
        </w:rPr>
        <w:t xml:space="preserve">Finding A — Training matters. </w:t>
      </w:r>
      <w:r>
        <w:t>Unadapted models rarely produce a FinQA answer in the required executable format. FinQA-only and joint QLoRA models achieve approximately 61–70% execution accuracy. Zero-shot values partly reflect strict output-format requirements, not only reasoning ability.</w:t>
      </w:r>
    </w:p>
    <w:p>
      <w:r>
        <w:rPr>
          <w:b/>
        </w:rPr>
        <w:t xml:space="preserve">Finding B — Balanced sampling matters. </w:t>
      </w:r>
      <w:r>
        <w:t>E5 reaches 67.5% FinQA execution accuracy against 61.5% for E11. Balanced training improves FinQA by about 6.0 percentage points. FiQA MAE is slightly lower for E11 (0.128 versus 0.130), so report the trade-off rather than a blanket “balanced is best” claim.</w:t>
      </w:r>
    </w:p>
    <w:p>
      <w:r>
        <w:rPr>
          <w:b/>
        </w:rPr>
        <w:t xml:space="preserve">Finding C — E8 is competitive. </w:t>
      </w:r>
      <w:r>
        <w:t>Phi E8 reaches 70.1% FinQA execution accuracy and FiQA R² = 0.809. It remains an important comparison even though E5 is frozen as the pre-declared primary-model backbone.</w:t>
      </w:r>
    </w:p>
    <w:p>
      <w:r>
        <w:rPr>
          <w:b/>
        </w:rPr>
        <w:t xml:space="preserve">Finding D — Why E5 was frozen. </w:t>
      </w:r>
      <w:r>
        <w:t>E5 outperforms E11 on the pre-declared Qwen validation selection score (0.744560 versus 0.720464). The rule did not allow switching the proposed backbone to E8 after inspecting all results.</w:t>
      </w:r>
    </w:p>
    <w:p>
      <w:r>
        <w:t>The paired prediction comparison previously reported gave p≈0.062 for E8 vs E5 on FinQA execution and p≈0.0000069 for E5 vs E11. Treat these as paired-validation analyses, not multi-seed model-training uncertainty estimates.</w:t>
      </w:r>
    </w:p>
    <w:p>
      <w:pPr>
        <w:pStyle w:val="Heading1"/>
      </w:pPr>
      <w:r>
        <w:t>D. Main scientific discovery: programs versus answers</w:t>
      </w:r>
    </w:p>
    <w:p>
      <w:pPr>
        <w:pStyle w:val="Heading2"/>
      </w:pPr>
      <w:r>
        <w:t>8. E12 — Why 67.5% execution accuracy is not 67.5% written-answer accuracy</w:t>
      </w:r>
    </w:p>
    <w:p>
      <w:r>
        <w:t>The E5 model emits both a structured financial program and an ANSWER line. We can evaluate (i) the human-readable answer and (ii) the result obtained by running the generated program. The two frequently disagree.</w:t>
      </w:r>
    </w:p>
    <w:p>
      <w:pPr>
        <w:jc w:val="center"/>
      </w:pPr>
      <w:r>
        <w:drawing>
          <wp:inline xmlns:a="http://schemas.openxmlformats.org/drawingml/2006/main" xmlns:pic="http://schemas.openxmlformats.org/drawingml/2006/picture">
            <wp:extent cx="5943600" cy="2027816"/>
            <wp:docPr id="2" name="Picture 2"/>
            <wp:cNvGraphicFramePr>
              <a:graphicFrameLocks noChangeAspect="1"/>
            </wp:cNvGraphicFramePr>
            <a:graphic>
              <a:graphicData uri="http://schemas.openxmlformats.org/drawingml/2006/picture">
                <pic:pic>
                  <pic:nvPicPr>
                    <pic:cNvPr id="0" name="finqa_gap.png"/>
                    <pic:cNvPicPr/>
                  </pic:nvPicPr>
                  <pic:blipFill>
                    <a:blip r:embed="rId12"/>
                    <a:stretch>
                      <a:fillRect/>
                    </a:stretch>
                  </pic:blipFill>
                  <pic:spPr>
                    <a:xfrm>
                      <a:off x="0" y="0"/>
                      <a:ext cx="5943600" cy="2027816"/>
                    </a:xfrm>
                    <a:prstGeom prst="rect"/>
                  </pic:spPr>
                </pic:pic>
              </a:graphicData>
            </a:graphic>
          </wp:inline>
        </w:drawing>
      </w:r>
    </w:p>
    <w:p>
      <w:pPr>
        <w:spacing w:after="160"/>
        <w:jc w:val="center"/>
      </w:pPr>
      <w:r>
        <w:rPr>
          <w:i/>
          <w:color w:val="667387"/>
          <w:sz w:val="16"/>
        </w:rPr>
        <w:t>Figure 2. The same E5 predictions yield 332/883 correct written answers, versus 596/883 correct executed results.</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Case category</w:t>
            </w:r>
          </w:p>
        </w:tc>
        <w:tc>
          <w:tcPr>
            <w:tcW w:type="dxa" w:w="3317"/>
            <w:shd w:fill="182B49"/>
            <w:tcMar>
              <w:top w:w="90" w:type="dxa"/>
              <w:start w:w="115" w:type="dxa"/>
              <w:bottom w:w="90" w:type="dxa"/>
              <w:end w:w="115" w:type="dxa"/>
            </w:tcMar>
          </w:tcPr>
          <w:p>
            <w:r>
              <w:rPr>
                <w:b/>
                <w:color w:val="FFFFFF"/>
                <w:sz w:val="16"/>
              </w:rPr>
              <w:t>Count</w:t>
            </w:r>
          </w:p>
        </w:tc>
        <w:tc>
          <w:tcPr>
            <w:tcW w:type="dxa" w:w="3317"/>
            <w:shd w:fill="182B49"/>
            <w:tcMar>
              <w:top w:w="90" w:type="dxa"/>
              <w:start w:w="115" w:type="dxa"/>
              <w:bottom w:w="90" w:type="dxa"/>
              <w:end w:w="115" w:type="dxa"/>
            </w:tcMar>
          </w:tcPr>
          <w:p>
            <w:r>
              <w:rPr>
                <w:b/>
                <w:color w:val="FFFFFF"/>
                <w:sz w:val="16"/>
              </w:rPr>
              <w:t>Interpretation</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Program correct; written answer correct</w:t>
            </w:r>
          </w:p>
        </w:tc>
        <w:tc>
          <w:tcPr>
            <w:tcW w:type="dxa" w:w="3317"/>
            <w:vAlign w:val="center"/>
            <w:tcMar>
              <w:top w:w="90" w:type="dxa"/>
              <w:start w:w="115" w:type="dxa"/>
              <w:bottom w:w="90" w:type="dxa"/>
              <w:end w:w="115" w:type="dxa"/>
            </w:tcMar>
            <w:shd w:fill="F3F6F9"/>
          </w:tcPr>
          <w:p>
            <w:pPr>
              <w:spacing w:after="0" w:line="254" w:lineRule="auto"/>
            </w:pPr>
            <w:r>
              <w:rPr>
                <w:sz w:val="17"/>
              </w:rPr>
              <w:t>331</w:t>
            </w:r>
          </w:p>
        </w:tc>
        <w:tc>
          <w:tcPr>
            <w:tcW w:type="dxa" w:w="3317"/>
            <w:vAlign w:val="center"/>
            <w:tcMar>
              <w:top w:w="90" w:type="dxa"/>
              <w:start w:w="115" w:type="dxa"/>
              <w:bottom w:w="90" w:type="dxa"/>
              <w:end w:w="115" w:type="dxa"/>
            </w:tcMar>
            <w:shd w:fill="F3F6F9"/>
          </w:tcPr>
          <w:p>
            <w:pPr>
              <w:spacing w:after="0" w:line="254" w:lineRule="auto"/>
            </w:pPr>
            <w:r>
              <w:rPr>
                <w:sz w:val="17"/>
              </w:rPr>
              <w:t>Both outputs correct</w:t>
            </w:r>
          </w:p>
        </w:tc>
      </w:tr>
      <w:tr>
        <w:trPr>
          <w:cantSplit/>
        </w:trPr>
        <w:tc>
          <w:tcPr>
            <w:tcW w:type="dxa" w:w="3317"/>
            <w:vAlign w:val="center"/>
            <w:tcMar>
              <w:top w:w="90" w:type="dxa"/>
              <w:start w:w="115" w:type="dxa"/>
              <w:bottom w:w="90" w:type="dxa"/>
              <w:end w:w="115" w:type="dxa"/>
            </w:tcMar>
          </w:tcPr>
          <w:p>
            <w:pPr>
              <w:spacing w:after="0" w:line="254" w:lineRule="auto"/>
            </w:pPr>
            <w:r>
              <w:rPr>
                <w:sz w:val="17"/>
              </w:rPr>
              <w:t>Program correct; written answer wrong</w:t>
            </w:r>
          </w:p>
        </w:tc>
        <w:tc>
          <w:tcPr>
            <w:tcW w:type="dxa" w:w="3317"/>
            <w:vAlign w:val="center"/>
            <w:tcMar>
              <w:top w:w="90" w:type="dxa"/>
              <w:start w:w="115" w:type="dxa"/>
              <w:bottom w:w="90" w:type="dxa"/>
              <w:end w:w="115" w:type="dxa"/>
            </w:tcMar>
          </w:tcPr>
          <w:p>
            <w:pPr>
              <w:spacing w:after="0" w:line="254" w:lineRule="auto"/>
            </w:pPr>
            <w:r>
              <w:rPr>
                <w:sz w:val="17"/>
              </w:rPr>
              <w:t>265</w:t>
            </w:r>
          </w:p>
        </w:tc>
        <w:tc>
          <w:tcPr>
            <w:tcW w:type="dxa" w:w="3317"/>
            <w:vAlign w:val="center"/>
            <w:tcMar>
              <w:top w:w="90" w:type="dxa"/>
              <w:start w:w="115" w:type="dxa"/>
              <w:bottom w:w="90" w:type="dxa"/>
              <w:end w:w="115" w:type="dxa"/>
            </w:tcMar>
          </w:tcPr>
          <w:p>
            <w:pPr>
              <w:spacing w:after="0" w:line="254" w:lineRule="auto"/>
            </w:pPr>
            <w:r>
              <w:rPr>
                <w:sz w:val="17"/>
              </w:rPr>
              <w:t>Execution can repair incorrect written arithmetic</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Program wrong; written answer correct</w:t>
            </w:r>
          </w:p>
        </w:tc>
        <w:tc>
          <w:tcPr>
            <w:tcW w:type="dxa" w:w="3317"/>
            <w:vAlign w:val="center"/>
            <w:tcMar>
              <w:top w:w="90" w:type="dxa"/>
              <w:start w:w="115" w:type="dxa"/>
              <w:bottom w:w="90" w:type="dxa"/>
              <w:end w:w="115" w:type="dxa"/>
            </w:tcMar>
            <w:shd w:fill="F3F6F9"/>
          </w:tcPr>
          <w:p>
            <w:pPr>
              <w:spacing w:after="0" w:line="254" w:lineRule="auto"/>
            </w:pPr>
            <w:r>
              <w:rPr>
                <w:sz w:val="17"/>
              </w:rPr>
              <w:t>1</w:t>
            </w:r>
          </w:p>
        </w:tc>
        <w:tc>
          <w:tcPr>
            <w:tcW w:type="dxa" w:w="3317"/>
            <w:vAlign w:val="center"/>
            <w:tcMar>
              <w:top w:w="90" w:type="dxa"/>
              <w:start w:w="115" w:type="dxa"/>
              <w:bottom w:w="90" w:type="dxa"/>
              <w:end w:w="115" w:type="dxa"/>
            </w:tcMar>
            <w:shd w:fill="F3F6F9"/>
          </w:tcPr>
          <w:p>
            <w:pPr>
              <w:spacing w:after="0" w:line="254" w:lineRule="auto"/>
            </w:pPr>
            <w:r>
              <w:rPr>
                <w:sz w:val="17"/>
              </w:rPr>
              <w:t>Blind execution may override a correct written answer</w:t>
            </w:r>
          </w:p>
        </w:tc>
      </w:tr>
      <w:tr>
        <w:trPr>
          <w:cantSplit/>
        </w:trPr>
        <w:tc>
          <w:tcPr>
            <w:tcW w:type="dxa" w:w="3317"/>
            <w:vAlign w:val="center"/>
            <w:tcMar>
              <w:top w:w="90" w:type="dxa"/>
              <w:start w:w="115" w:type="dxa"/>
              <w:bottom w:w="90" w:type="dxa"/>
              <w:end w:w="115" w:type="dxa"/>
            </w:tcMar>
          </w:tcPr>
          <w:p>
            <w:pPr>
              <w:spacing w:after="0" w:line="254" w:lineRule="auto"/>
            </w:pPr>
            <w:r>
              <w:rPr>
                <w:sz w:val="17"/>
              </w:rPr>
              <w:t>Program wrong; written answer wrong</w:t>
            </w:r>
          </w:p>
        </w:tc>
        <w:tc>
          <w:tcPr>
            <w:tcW w:type="dxa" w:w="3317"/>
            <w:vAlign w:val="center"/>
            <w:tcMar>
              <w:top w:w="90" w:type="dxa"/>
              <w:start w:w="115" w:type="dxa"/>
              <w:bottom w:w="90" w:type="dxa"/>
              <w:end w:w="115" w:type="dxa"/>
            </w:tcMar>
          </w:tcPr>
          <w:p>
            <w:pPr>
              <w:spacing w:after="0" w:line="254" w:lineRule="auto"/>
            </w:pPr>
            <w:r>
              <w:rPr>
                <w:sz w:val="17"/>
              </w:rPr>
              <w:t>286</w:t>
            </w:r>
          </w:p>
        </w:tc>
        <w:tc>
          <w:tcPr>
            <w:tcW w:type="dxa" w:w="3317"/>
            <w:vAlign w:val="center"/>
            <w:tcMar>
              <w:top w:w="90" w:type="dxa"/>
              <w:start w:w="115" w:type="dxa"/>
              <w:bottom w:w="90" w:type="dxa"/>
              <w:end w:w="115" w:type="dxa"/>
            </w:tcMar>
          </w:tcPr>
          <w:p>
            <w:pPr>
              <w:spacing w:after="0" w:line="254" w:lineRule="auto"/>
            </w:pPr>
            <w:r>
              <w:rPr>
                <w:sz w:val="17"/>
              </w:rPr>
              <w:t>Execution alone cannot solve the reasoning problem</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TOTAL</w:t>
            </w:r>
          </w:p>
        </w:tc>
        <w:tc>
          <w:tcPr>
            <w:tcW w:type="dxa" w:w="3317"/>
            <w:vAlign w:val="center"/>
            <w:tcMar>
              <w:top w:w="90" w:type="dxa"/>
              <w:start w:w="115" w:type="dxa"/>
              <w:bottom w:w="90" w:type="dxa"/>
              <w:end w:w="115" w:type="dxa"/>
            </w:tcMar>
            <w:shd w:fill="F3F6F9"/>
          </w:tcPr>
          <w:p>
            <w:pPr>
              <w:spacing w:after="0" w:line="254" w:lineRule="auto"/>
            </w:pPr>
            <w:r>
              <w:rPr>
                <w:sz w:val="17"/>
              </w:rPr>
              <w:t>883</w:t>
            </w:r>
          </w:p>
        </w:tc>
        <w:tc>
          <w:tcPr>
            <w:tcW w:type="dxa" w:w="3317"/>
            <w:vAlign w:val="center"/>
            <w:tcMar>
              <w:top w:w="90" w:type="dxa"/>
              <w:start w:w="115" w:type="dxa"/>
              <w:bottom w:w="90" w:type="dxa"/>
              <w:end w:w="115" w:type="dxa"/>
            </w:tcMar>
            <w:shd w:fill="F3F6F9"/>
          </w:tcPr>
          <w:p>
            <w:pPr>
              <w:spacing w:after="0" w:line="254" w:lineRule="auto"/>
            </w:pPr>
            <w:r>
              <w:rPr>
                <w:sz w:val="17"/>
              </w:rPr>
              <w:t>Validation examples</w:t>
            </w:r>
          </w:p>
        </w:tc>
      </w:tr>
    </w:tbl>
    <w:p>
      <w:pPr>
        <w:spacing w:after="20"/>
      </w:pPr>
    </w:p>
    <w:p>
      <w:r>
        <w:rPr>
          <w:b/>
        </w:rPr>
        <w:t xml:space="preserve">Numerical lesson. </w:t>
      </w:r>
      <w:r>
        <w:t>Executing the model-generated program raises the observed result accuracy from 332/883 (37.6%) to 596/883 (67.5%), a net gain of 264 correct predictions. This is a strong motivation for deterministic answer reconciliation without retraining.</w:t>
      </w:r>
    </w:p>
    <w:p>
      <w:r>
        <w:rPr>
          <w:b/>
        </w:rPr>
        <w:t xml:space="preserve">Trustworthiness lesson. </w:t>
      </w:r>
      <w:r>
        <w:t>Even when a program can run successfully, its mathematical operations or numerical inputs may be incorrect. Phase-4 therefore needs a program verifier AND an evidence-grounding/risk check; a calculator alone is insufficient.</w:t>
      </w:r>
    </w:p>
    <w:tbl>
      <w:tblPr>
        <w:tblW w:type="auto" w:w="0"/>
        <w:tblLayout w:type="fixed"/>
        <w:tblLook w:firstColumn="1" w:firstRow="1" w:lastColumn="0" w:lastRow="0" w:noHBand="0" w:noVBand="1" w:val="04A0"/>
      </w:tblPr>
      <w:tblGrid>
        <w:gridCol w:w="9648"/>
      </w:tblGrid>
      <w:tr>
        <w:tc>
          <w:tcPr>
            <w:tcW w:type="dxa" w:w="9950"/>
            <w:shd w:fill="EAF3F5"/>
            <w:tcMar>
              <w:top w:w="140" w:type="dxa"/>
              <w:start w:w="150" w:type="dxa"/>
              <w:bottom w:w="140" w:type="dxa"/>
              <w:end w:w="150" w:type="dxa"/>
            </w:tcMar>
          </w:tcPr>
          <w:p>
            <w:r>
              <w:rPr>
                <w:b/>
                <w:color w:val="087C86"/>
                <w:sz w:val="19"/>
              </w:rPr>
              <w:t xml:space="preserve">Do not overclaim   </w:t>
            </w:r>
            <w:r>
              <w:rPr>
                <w:sz w:val="19"/>
              </w:rPr>
              <w:t>The “program correct” cases here mean the executed result agrees with the gold outcome. This is not the same as proving that every intermediate reasoning step is causally valid, or that the program contains only input-grounded values.</w:t>
            </w:r>
          </w:p>
        </w:tc>
      </w:tr>
    </w:tbl>
    <w:p>
      <w:pPr>
        <w:spacing w:after="0"/>
      </w:pPr>
    </w:p>
    <w:p>
      <w:pPr>
        <w:pStyle w:val="Heading2"/>
      </w:pPr>
      <w:r>
        <w:t>9. Failure categories from E12</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Failure type (exported taxonomy)</w:t>
            </w:r>
          </w:p>
        </w:tc>
        <w:tc>
          <w:tcPr>
            <w:tcW w:type="dxa" w:w="3317"/>
            <w:shd w:fill="182B49"/>
            <w:tcMar>
              <w:top w:w="90" w:type="dxa"/>
              <w:start w:w="115" w:type="dxa"/>
              <w:bottom w:w="90" w:type="dxa"/>
              <w:end w:w="115" w:type="dxa"/>
            </w:tcMar>
          </w:tcPr>
          <w:p>
            <w:r>
              <w:rPr>
                <w:b/>
                <w:color w:val="FFFFFF"/>
                <w:sz w:val="16"/>
              </w:rPr>
              <w:t>Count</w:t>
            </w:r>
          </w:p>
        </w:tc>
        <w:tc>
          <w:tcPr>
            <w:tcW w:type="dxa" w:w="3317"/>
            <w:shd w:fill="182B49"/>
            <w:tcMar>
              <w:top w:w="90" w:type="dxa"/>
              <w:start w:w="115" w:type="dxa"/>
              <w:bottom w:w="90" w:type="dxa"/>
              <w:end w:w="115" w:type="dxa"/>
            </w:tcMar>
          </w:tcPr>
          <w:p>
            <w:r>
              <w:rPr>
                <w:b/>
                <w:color w:val="FFFFFF"/>
                <w:sz w:val="16"/>
              </w:rPr>
              <w:t>How students should interpret it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correct</w:t>
            </w:r>
          </w:p>
        </w:tc>
        <w:tc>
          <w:tcPr>
            <w:tcW w:type="dxa" w:w="3317"/>
            <w:vAlign w:val="center"/>
            <w:tcMar>
              <w:top w:w="90" w:type="dxa"/>
              <w:start w:w="115" w:type="dxa"/>
              <w:bottom w:w="90" w:type="dxa"/>
              <w:end w:w="115" w:type="dxa"/>
            </w:tcMar>
            <w:shd w:fill="F3F6F9"/>
          </w:tcPr>
          <w:p>
            <w:pPr>
              <w:spacing w:after="0" w:line="254" w:lineRule="auto"/>
            </w:pPr>
            <w:r>
              <w:rPr>
                <w:sz w:val="16"/>
              </w:rPr>
              <w:t>304</w:t>
            </w:r>
          </w:p>
        </w:tc>
        <w:tc>
          <w:tcPr>
            <w:tcW w:type="dxa" w:w="3317"/>
            <w:vAlign w:val="center"/>
            <w:tcMar>
              <w:top w:w="90" w:type="dxa"/>
              <w:start w:w="115" w:type="dxa"/>
              <w:bottom w:w="90" w:type="dxa"/>
              <w:end w:w="115" w:type="dxa"/>
            </w:tcMar>
            <w:shd w:fill="F3F6F9"/>
          </w:tcPr>
          <w:p>
            <w:pPr>
              <w:spacing w:after="0" w:line="254" w:lineRule="auto"/>
            </w:pPr>
            <w:r>
              <w:rPr>
                <w:sz w:val="16"/>
              </w:rPr>
              <w:t>Both outputs correct under this branch of the taxonomy</w:t>
            </w:r>
          </w:p>
        </w:tc>
      </w:tr>
      <w:tr>
        <w:trPr>
          <w:cantSplit/>
        </w:trPr>
        <w:tc>
          <w:tcPr>
            <w:tcW w:type="dxa" w:w="3317"/>
            <w:vAlign w:val="center"/>
            <w:tcMar>
              <w:top w:w="90" w:type="dxa"/>
              <w:start w:w="115" w:type="dxa"/>
              <w:bottom w:w="90" w:type="dxa"/>
              <w:end w:w="115" w:type="dxa"/>
            </w:tcMar>
          </w:tcPr>
          <w:p>
            <w:pPr>
              <w:spacing w:after="0" w:line="254" w:lineRule="auto"/>
            </w:pPr>
            <w:r>
              <w:rPr>
                <w:sz w:val="16"/>
              </w:rPr>
              <w:t>reasoning_execution_error</w:t>
            </w:r>
          </w:p>
        </w:tc>
        <w:tc>
          <w:tcPr>
            <w:tcW w:type="dxa" w:w="3317"/>
            <w:vAlign w:val="center"/>
            <w:tcMar>
              <w:top w:w="90" w:type="dxa"/>
              <w:start w:w="115" w:type="dxa"/>
              <w:bottom w:w="90" w:type="dxa"/>
              <w:end w:w="115" w:type="dxa"/>
            </w:tcMar>
          </w:tcPr>
          <w:p>
            <w:pPr>
              <w:spacing w:after="0" w:line="254" w:lineRule="auto"/>
            </w:pPr>
            <w:r>
              <w:rPr>
                <w:sz w:val="16"/>
              </w:rPr>
              <w:t>283</w:t>
            </w:r>
          </w:p>
        </w:tc>
        <w:tc>
          <w:tcPr>
            <w:tcW w:type="dxa" w:w="3317"/>
            <w:vAlign w:val="center"/>
            <w:tcMar>
              <w:top w:w="90" w:type="dxa"/>
              <w:start w:w="115" w:type="dxa"/>
              <w:bottom w:w="90" w:type="dxa"/>
              <w:end w:w="115" w:type="dxa"/>
            </w:tcMar>
          </w:tcPr>
          <w:p>
            <w:pPr>
              <w:spacing w:after="0" w:line="254" w:lineRule="auto"/>
            </w:pPr>
            <w:r>
              <w:rPr>
                <w:sz w:val="16"/>
              </w:rPr>
              <w:t>Executed reasoning produces the wrong result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program_right_answer_wrong</w:t>
            </w:r>
          </w:p>
        </w:tc>
        <w:tc>
          <w:tcPr>
            <w:tcW w:type="dxa" w:w="3317"/>
            <w:vAlign w:val="center"/>
            <w:tcMar>
              <w:top w:w="90" w:type="dxa"/>
              <w:start w:w="115" w:type="dxa"/>
              <w:bottom w:w="90" w:type="dxa"/>
              <w:end w:w="115" w:type="dxa"/>
            </w:tcMar>
            <w:shd w:fill="F3F6F9"/>
          </w:tcPr>
          <w:p>
            <w:pPr>
              <w:spacing w:after="0" w:line="254" w:lineRule="auto"/>
            </w:pPr>
            <w:r>
              <w:rPr>
                <w:sz w:val="16"/>
              </w:rPr>
              <w:t>265</w:t>
            </w:r>
          </w:p>
        </w:tc>
        <w:tc>
          <w:tcPr>
            <w:tcW w:type="dxa" w:w="3317"/>
            <w:vAlign w:val="center"/>
            <w:tcMar>
              <w:top w:w="90" w:type="dxa"/>
              <w:start w:w="115" w:type="dxa"/>
              <w:bottom w:w="90" w:type="dxa"/>
              <w:end w:w="115" w:type="dxa"/>
            </w:tcMar>
            <w:shd w:fill="F3F6F9"/>
          </w:tcPr>
          <w:p>
            <w:pPr>
              <w:spacing w:after="0" w:line="254" w:lineRule="auto"/>
            </w:pPr>
            <w:r>
              <w:rPr>
                <w:sz w:val="16"/>
              </w:rPr>
              <w:t>Correct execution, wrong written answer</w:t>
            </w:r>
          </w:p>
        </w:tc>
      </w:tr>
      <w:tr>
        <w:trPr>
          <w:cantSplit/>
        </w:trPr>
        <w:tc>
          <w:tcPr>
            <w:tcW w:type="dxa" w:w="3317"/>
            <w:vAlign w:val="center"/>
            <w:tcMar>
              <w:top w:w="90" w:type="dxa"/>
              <w:start w:w="115" w:type="dxa"/>
              <w:bottom w:w="90" w:type="dxa"/>
              <w:end w:w="115" w:type="dxa"/>
            </w:tcMar>
          </w:tcPr>
          <w:p>
            <w:pPr>
              <w:spacing w:after="0" w:line="254" w:lineRule="auto"/>
            </w:pPr>
            <w:r>
              <w:rPr>
                <w:sz w:val="16"/>
              </w:rPr>
              <w:t>alternate_program_same_execution</w:t>
            </w:r>
          </w:p>
        </w:tc>
        <w:tc>
          <w:tcPr>
            <w:tcW w:type="dxa" w:w="3317"/>
            <w:vAlign w:val="center"/>
            <w:tcMar>
              <w:top w:w="90" w:type="dxa"/>
              <w:start w:w="115" w:type="dxa"/>
              <w:bottom w:w="90" w:type="dxa"/>
              <w:end w:w="115" w:type="dxa"/>
            </w:tcMar>
          </w:tcPr>
          <w:p>
            <w:pPr>
              <w:spacing w:after="0" w:line="254" w:lineRule="auto"/>
            </w:pPr>
            <w:r>
              <w:rPr>
                <w:sz w:val="16"/>
              </w:rPr>
              <w:t>27</w:t>
            </w:r>
          </w:p>
        </w:tc>
        <w:tc>
          <w:tcPr>
            <w:tcW w:type="dxa" w:w="3317"/>
            <w:vAlign w:val="center"/>
            <w:tcMar>
              <w:top w:w="90" w:type="dxa"/>
              <w:start w:w="115" w:type="dxa"/>
              <w:bottom w:w="90" w:type="dxa"/>
              <w:end w:w="115" w:type="dxa"/>
            </w:tcMar>
          </w:tcPr>
          <w:p>
            <w:pPr>
              <w:spacing w:after="0" w:line="254" w:lineRule="auto"/>
            </w:pPr>
            <w:r>
              <w:rPr>
                <w:sz w:val="16"/>
              </w:rPr>
              <w:t>Different syntax, same final executed result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invalid_program</w:t>
            </w:r>
          </w:p>
        </w:tc>
        <w:tc>
          <w:tcPr>
            <w:tcW w:type="dxa" w:w="3317"/>
            <w:vAlign w:val="center"/>
            <w:tcMar>
              <w:top w:w="90" w:type="dxa"/>
              <w:start w:w="115" w:type="dxa"/>
              <w:bottom w:w="90" w:type="dxa"/>
              <w:end w:w="115" w:type="dxa"/>
            </w:tcMar>
            <w:shd w:fill="F3F6F9"/>
          </w:tcPr>
          <w:p>
            <w:pPr>
              <w:spacing w:after="0" w:line="254" w:lineRule="auto"/>
            </w:pPr>
            <w:r>
              <w:rPr>
                <w:sz w:val="16"/>
              </w:rPr>
              <w:t>3</w:t>
            </w:r>
          </w:p>
        </w:tc>
        <w:tc>
          <w:tcPr>
            <w:tcW w:type="dxa" w:w="3317"/>
            <w:vAlign w:val="center"/>
            <w:tcMar>
              <w:top w:w="90" w:type="dxa"/>
              <w:start w:w="115" w:type="dxa"/>
              <w:bottom w:w="90" w:type="dxa"/>
              <w:end w:w="115" w:type="dxa"/>
            </w:tcMar>
            <w:shd w:fill="F3F6F9"/>
          </w:tcPr>
          <w:p>
            <w:pPr>
              <w:spacing w:after="0" w:line="254" w:lineRule="auto"/>
            </w:pPr>
            <w:r>
              <w:rPr>
                <w:sz w:val="16"/>
              </w:rPr>
              <w:t>Program cannot execute</w:t>
            </w:r>
          </w:p>
        </w:tc>
      </w:tr>
      <w:tr>
        <w:trPr>
          <w:cantSplit/>
        </w:trPr>
        <w:tc>
          <w:tcPr>
            <w:tcW w:type="dxa" w:w="3317"/>
            <w:vAlign w:val="center"/>
            <w:tcMar>
              <w:top w:w="90" w:type="dxa"/>
              <w:start w:w="115" w:type="dxa"/>
              <w:bottom w:w="90" w:type="dxa"/>
              <w:end w:w="115" w:type="dxa"/>
            </w:tcMar>
          </w:tcPr>
          <w:p>
            <w:pPr>
              <w:spacing w:after="0" w:line="254" w:lineRule="auto"/>
            </w:pPr>
            <w:r>
              <w:rPr>
                <w:sz w:val="16"/>
              </w:rPr>
              <w:t>answer_right_program_wrong</w:t>
            </w:r>
          </w:p>
        </w:tc>
        <w:tc>
          <w:tcPr>
            <w:tcW w:type="dxa" w:w="3317"/>
            <w:vAlign w:val="center"/>
            <w:tcMar>
              <w:top w:w="90" w:type="dxa"/>
              <w:start w:w="115" w:type="dxa"/>
              <w:bottom w:w="90" w:type="dxa"/>
              <w:end w:w="115" w:type="dxa"/>
            </w:tcMar>
          </w:tcPr>
          <w:p>
            <w:pPr>
              <w:spacing w:after="0" w:line="254" w:lineRule="auto"/>
            </w:pPr>
            <w:r>
              <w:rPr>
                <w:sz w:val="16"/>
              </w:rPr>
              <w:t>1</w:t>
            </w:r>
          </w:p>
        </w:tc>
        <w:tc>
          <w:tcPr>
            <w:tcW w:type="dxa" w:w="3317"/>
            <w:vAlign w:val="center"/>
            <w:tcMar>
              <w:top w:w="90" w:type="dxa"/>
              <w:start w:w="115" w:type="dxa"/>
              <w:bottom w:w="90" w:type="dxa"/>
              <w:end w:w="115" w:type="dxa"/>
            </w:tcMar>
          </w:tcPr>
          <w:p>
            <w:pPr>
              <w:spacing w:after="0" w:line="254" w:lineRule="auto"/>
            </w:pPr>
            <w:r>
              <w:rPr>
                <w:sz w:val="16"/>
              </w:rPr>
              <w:t>Written answer correct, program execution wrong</w:t>
            </w:r>
          </w:p>
        </w:tc>
      </w:tr>
    </w:tbl>
    <w:p>
      <w:pPr>
        <w:spacing w:after="20"/>
      </w:pPr>
    </w:p>
    <w:p>
      <w:r>
        <w:t>This exported taxonomy partitions records by a priority-based decision rule; it is not identical to the independent 2×2 program-versus-answer table above. Both views are informative but answer different questions.</w:t>
      </w:r>
    </w:p>
    <w:p>
      <w:pPr>
        <w:pStyle w:val="Heading1"/>
      </w:pPr>
      <w:r>
        <w:t>E. Sentiment, confidence and compute findings</w:t>
      </w:r>
    </w:p>
    <w:p>
      <w:pPr>
        <w:pStyle w:val="Heading2"/>
      </w:pPr>
      <w:r>
        <w:t>10. E13 — FiQA sentiment regression</w:t>
      </w:r>
    </w:p>
    <w:p>
      <w:r>
        <w:t>FinQA and FiQA measure different capabilities. FiQA does not ask the model to construct arithmetic programs; the model outputs a continuous sentiment value between −1 and +1. For the E5 joint model, MAE is 0.130, R² is 0.730, and Pearson r is approximately 0.873.</w:t>
      </w:r>
    </w:p>
    <w:p>
      <w:pPr>
        <w:jc w:val="center"/>
      </w:pPr>
      <w:r>
        <w:drawing>
          <wp:inline xmlns:a="http://schemas.openxmlformats.org/drawingml/2006/main" xmlns:pic="http://schemas.openxmlformats.org/drawingml/2006/picture">
            <wp:extent cx="5669280" cy="1800830"/>
            <wp:docPr id="3" name="Picture 3"/>
            <wp:cNvGraphicFramePr>
              <a:graphicFrameLocks noChangeAspect="1"/>
            </wp:cNvGraphicFramePr>
            <a:graphic>
              <a:graphicData uri="http://schemas.openxmlformats.org/drawingml/2006/picture">
                <pic:pic>
                  <pic:nvPicPr>
                    <pic:cNvPr id="0" name="fiqa_errors.png"/>
                    <pic:cNvPicPr/>
                  </pic:nvPicPr>
                  <pic:blipFill>
                    <a:blip r:embed="rId13"/>
                    <a:stretch>
                      <a:fillRect/>
                    </a:stretch>
                  </pic:blipFill>
                  <pic:spPr>
                    <a:xfrm>
                      <a:off x="0" y="0"/>
                      <a:ext cx="5669280" cy="1800830"/>
                    </a:xfrm>
                    <a:prstGeom prst="rect"/>
                  </pic:spPr>
                </pic:pic>
              </a:graphicData>
            </a:graphic>
          </wp:inline>
        </w:drawing>
      </w:r>
    </w:p>
    <w:p>
      <w:pPr>
        <w:spacing w:after="160"/>
        <w:jc w:val="center"/>
      </w:pPr>
      <w:r>
        <w:rPr>
          <w:i/>
          <w:color w:val="667387"/>
          <w:sz w:val="16"/>
        </w:rPr>
        <w:t>Figure 3. E5 sentiment absolute-error distribution on the 117 FiQA validation examples.</w:t>
      </w:r>
    </w:p>
    <w:p>
      <w:r>
        <w:t>Of the 117 cases, 106 (90.6%) have absolute error at most 0.25. This supports the claim that joint training can retain sentiment-regression ability, although 11 cases still exceed 0.25 and need case-level review.</w:t>
      </w:r>
    </w:p>
    <w:p>
      <w:r>
        <w:t>E10 finds a modest prompt advantage: “explicit_schema” gives FiQA MAE = 0.1273, compared with 0.1301 for the canonical prompt. FinQA selects the canonical prompt from E9; the best prompt need not be identical across tasks.</w:t>
      </w:r>
    </w:p>
    <w:p>
      <w:pPr>
        <w:pStyle w:val="Heading2"/>
      </w:pPr>
      <w:r>
        <w:t>11. E14 — Why confidence is not yet trustworthy</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Dataset</w:t>
            </w:r>
          </w:p>
        </w:tc>
        <w:tc>
          <w:tcPr>
            <w:tcW w:type="dxa" w:w="3317"/>
            <w:shd w:fill="182B49"/>
            <w:tcMar>
              <w:top w:w="90" w:type="dxa"/>
              <w:start w:w="115" w:type="dxa"/>
              <w:bottom w:w="90" w:type="dxa"/>
              <w:end w:w="115" w:type="dxa"/>
            </w:tcMar>
          </w:tcPr>
          <w:p>
            <w:r>
              <w:rPr>
                <w:b/>
                <w:color w:val="FFFFFF"/>
                <w:sz w:val="16"/>
              </w:rPr>
              <w:t>Observed relationship</w:t>
            </w:r>
          </w:p>
        </w:tc>
        <w:tc>
          <w:tcPr>
            <w:tcW w:type="dxa" w:w="3317"/>
            <w:shd w:fill="182B49"/>
            <w:tcMar>
              <w:top w:w="90" w:type="dxa"/>
              <w:start w:w="115" w:type="dxa"/>
              <w:bottom w:w="90" w:type="dxa"/>
              <w:end w:w="115" w:type="dxa"/>
            </w:tcMar>
          </w:tcPr>
          <w:p>
            <w:r>
              <w:rPr>
                <w:b/>
                <w:color w:val="FFFFFF"/>
                <w:sz w:val="16"/>
              </w:rPr>
              <w:t>Meaning</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FinQA</w:t>
            </w:r>
          </w:p>
        </w:tc>
        <w:tc>
          <w:tcPr>
            <w:tcW w:type="dxa" w:w="3317"/>
            <w:vAlign w:val="center"/>
            <w:tcMar>
              <w:top w:w="90" w:type="dxa"/>
              <w:start w:w="115" w:type="dxa"/>
              <w:bottom w:w="90" w:type="dxa"/>
              <w:end w:w="115" w:type="dxa"/>
            </w:tcMar>
            <w:shd w:fill="F3F6F9"/>
          </w:tcPr>
          <w:p>
            <w:pPr>
              <w:spacing w:after="0" w:line="254" w:lineRule="auto"/>
            </w:pPr>
            <w:r>
              <w:rPr>
                <w:sz w:val="17"/>
              </w:rPr>
              <w:t>ROC-AUC 0.577; Spearman 0.125</w:t>
            </w:r>
          </w:p>
        </w:tc>
        <w:tc>
          <w:tcPr>
            <w:tcW w:type="dxa" w:w="3317"/>
            <w:vAlign w:val="center"/>
            <w:tcMar>
              <w:top w:w="90" w:type="dxa"/>
              <w:start w:w="115" w:type="dxa"/>
              <w:bottom w:w="90" w:type="dxa"/>
              <w:end w:w="115" w:type="dxa"/>
            </w:tcMar>
            <w:shd w:fill="F3F6F9"/>
          </w:tcPr>
          <w:p>
            <w:pPr>
              <w:spacing w:after="0" w:line="254" w:lineRule="auto"/>
            </w:pPr>
            <w:r>
              <w:rPr>
                <w:sz w:val="17"/>
              </w:rPr>
              <w:t>Likelihood confidence weakly ranks execution correctness</w:t>
            </w:r>
          </w:p>
        </w:tc>
      </w:tr>
      <w:tr>
        <w:trPr>
          <w:cantSplit/>
        </w:trPr>
        <w:tc>
          <w:tcPr>
            <w:tcW w:type="dxa" w:w="3317"/>
            <w:vAlign w:val="center"/>
            <w:tcMar>
              <w:top w:w="90" w:type="dxa"/>
              <w:start w:w="115" w:type="dxa"/>
              <w:bottom w:w="90" w:type="dxa"/>
              <w:end w:w="115" w:type="dxa"/>
            </w:tcMar>
          </w:tcPr>
          <w:p>
            <w:pPr>
              <w:spacing w:after="0" w:line="254" w:lineRule="auto"/>
            </w:pPr>
            <w:r>
              <w:rPr>
                <w:sz w:val="17"/>
              </w:rPr>
              <w:t>FiQA</w:t>
            </w:r>
          </w:p>
        </w:tc>
        <w:tc>
          <w:tcPr>
            <w:tcW w:type="dxa" w:w="3317"/>
            <w:vAlign w:val="center"/>
            <w:tcMar>
              <w:top w:w="90" w:type="dxa"/>
              <w:start w:w="115" w:type="dxa"/>
              <w:bottom w:w="90" w:type="dxa"/>
              <w:end w:w="115" w:type="dxa"/>
            </w:tcMar>
          </w:tcPr>
          <w:p>
            <w:pPr>
              <w:spacing w:after="0" w:line="254" w:lineRule="auto"/>
            </w:pPr>
            <w:r>
              <w:rPr>
                <w:sz w:val="17"/>
              </w:rPr>
              <w:t>Spearman 0.237; Pearson 0.219</w:t>
            </w:r>
          </w:p>
        </w:tc>
        <w:tc>
          <w:tcPr>
            <w:tcW w:type="dxa" w:w="3317"/>
            <w:vAlign w:val="center"/>
            <w:tcMar>
              <w:top w:w="90" w:type="dxa"/>
              <w:start w:w="115" w:type="dxa"/>
              <w:bottom w:w="90" w:type="dxa"/>
              <w:end w:w="115" w:type="dxa"/>
            </w:tcMar>
          </w:tcPr>
          <w:p>
            <w:pPr>
              <w:spacing w:after="0" w:line="254" w:lineRule="auto"/>
            </w:pPr>
            <w:r>
              <w:rPr>
                <w:sz w:val="17"/>
              </w:rPr>
              <w:t>Confidence only weakly tracks lower regression error</w:t>
            </w:r>
          </w:p>
        </w:tc>
      </w:tr>
    </w:tbl>
    <w:p>
      <w:pPr>
        <w:spacing w:after="20"/>
      </w:pPr>
    </w:p>
    <w:p>
      <w:r>
        <w:t>A confidence score of 0.9 should not automatically be interpreted as a 90% probability of correctness. Model token-likelihood scores need validation-based calibration; even a calibrated score must be checked for useful selective risk across task types.</w:t>
      </w:r>
    </w:p>
    <w:p>
      <w:r>
        <w:t>Phase-4 should compare (a) likelihood-only confidence, (b) typed program validity and evidence-grounding signals, and (c) a verifier-aware calibrated risk model. Thresholds must be selected on validation data only.</w:t>
      </w:r>
    </w:p>
    <w:p>
      <w:pPr>
        <w:pStyle w:val="Heading2"/>
      </w:pPr>
      <w:r>
        <w:t>12. E15 — Efficiency of the chosen SLM</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Measurement</w:t>
            </w:r>
          </w:p>
        </w:tc>
        <w:tc>
          <w:tcPr>
            <w:tcW w:type="dxa" w:w="3317"/>
            <w:shd w:fill="182B49"/>
            <w:tcMar>
              <w:top w:w="90" w:type="dxa"/>
              <w:start w:w="115" w:type="dxa"/>
              <w:bottom w:w="90" w:type="dxa"/>
              <w:end w:w="115" w:type="dxa"/>
            </w:tcMar>
          </w:tcPr>
          <w:p>
            <w:r>
              <w:rPr>
                <w:b/>
                <w:color w:val="FFFFFF"/>
                <w:sz w:val="16"/>
              </w:rPr>
              <w:t>E5 Qwen</w:t>
            </w:r>
          </w:p>
        </w:tc>
        <w:tc>
          <w:tcPr>
            <w:tcW w:type="dxa" w:w="3317"/>
            <w:shd w:fill="182B49"/>
            <w:tcMar>
              <w:top w:w="90" w:type="dxa"/>
              <w:start w:w="115" w:type="dxa"/>
              <w:bottom w:w="90" w:type="dxa"/>
              <w:end w:w="115" w:type="dxa"/>
            </w:tcMar>
          </w:tcPr>
          <w:p>
            <w:r>
              <w:rPr>
                <w:b/>
                <w:color w:val="FFFFFF"/>
                <w:sz w:val="16"/>
              </w:rPr>
              <w:t>E8 Phi</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Training rows</w:t>
            </w:r>
          </w:p>
        </w:tc>
        <w:tc>
          <w:tcPr>
            <w:tcW w:type="dxa" w:w="3317"/>
            <w:vAlign w:val="center"/>
            <w:tcMar>
              <w:top w:w="90" w:type="dxa"/>
              <w:start w:w="115" w:type="dxa"/>
              <w:bottom w:w="90" w:type="dxa"/>
              <w:end w:w="115" w:type="dxa"/>
            </w:tcMar>
            <w:shd w:fill="F3F6F9"/>
          </w:tcPr>
          <w:p>
            <w:pPr>
              <w:spacing w:after="0" w:line="254" w:lineRule="auto"/>
            </w:pPr>
            <w:r>
              <w:rPr>
                <w:sz w:val="17"/>
              </w:rPr>
              <w:t>7,073</w:t>
            </w:r>
          </w:p>
        </w:tc>
        <w:tc>
          <w:tcPr>
            <w:tcW w:type="dxa" w:w="3317"/>
            <w:vAlign w:val="center"/>
            <w:tcMar>
              <w:top w:w="90" w:type="dxa"/>
              <w:start w:w="115" w:type="dxa"/>
              <w:bottom w:w="90" w:type="dxa"/>
              <w:end w:w="115" w:type="dxa"/>
            </w:tcMar>
            <w:shd w:fill="F3F6F9"/>
          </w:tcPr>
          <w:p>
            <w:pPr>
              <w:spacing w:after="0" w:line="254" w:lineRule="auto"/>
            </w:pPr>
            <w:r>
              <w:rPr>
                <w:sz w:val="17"/>
              </w:rPr>
              <w:t>7,073</w:t>
            </w:r>
          </w:p>
        </w:tc>
      </w:tr>
      <w:tr>
        <w:trPr>
          <w:cantSplit/>
        </w:trPr>
        <w:tc>
          <w:tcPr>
            <w:tcW w:type="dxa" w:w="3317"/>
            <w:vAlign w:val="center"/>
            <w:tcMar>
              <w:top w:w="90" w:type="dxa"/>
              <w:start w:w="115" w:type="dxa"/>
              <w:bottom w:w="90" w:type="dxa"/>
              <w:end w:w="115" w:type="dxa"/>
            </w:tcMar>
          </w:tcPr>
          <w:p>
            <w:pPr>
              <w:spacing w:after="0" w:line="254" w:lineRule="auto"/>
            </w:pPr>
            <w:r>
              <w:rPr>
                <w:sz w:val="17"/>
              </w:rPr>
              <w:t>Epochs</w:t>
            </w:r>
          </w:p>
        </w:tc>
        <w:tc>
          <w:tcPr>
            <w:tcW w:type="dxa" w:w="3317"/>
            <w:vAlign w:val="center"/>
            <w:tcMar>
              <w:top w:w="90" w:type="dxa"/>
              <w:start w:w="115" w:type="dxa"/>
              <w:bottom w:w="90" w:type="dxa"/>
              <w:end w:w="115" w:type="dxa"/>
            </w:tcMar>
          </w:tcPr>
          <w:p>
            <w:pPr>
              <w:spacing w:after="0" w:line="254" w:lineRule="auto"/>
            </w:pPr>
            <w:r>
              <w:rPr>
                <w:sz w:val="17"/>
              </w:rPr>
              <w:t>2</w:t>
            </w:r>
          </w:p>
        </w:tc>
        <w:tc>
          <w:tcPr>
            <w:tcW w:type="dxa" w:w="3317"/>
            <w:vAlign w:val="center"/>
            <w:tcMar>
              <w:top w:w="90" w:type="dxa"/>
              <w:start w:w="115" w:type="dxa"/>
              <w:bottom w:w="90" w:type="dxa"/>
              <w:end w:w="115" w:type="dxa"/>
            </w:tcMar>
          </w:tcPr>
          <w:p>
            <w:pPr>
              <w:spacing w:after="0" w:line="254" w:lineRule="auto"/>
            </w:pPr>
            <w:r>
              <w:rPr>
                <w:sz w:val="17"/>
              </w:rPr>
              <w:t>2</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Training time</w:t>
            </w:r>
          </w:p>
        </w:tc>
        <w:tc>
          <w:tcPr>
            <w:tcW w:type="dxa" w:w="3317"/>
            <w:vAlign w:val="center"/>
            <w:tcMar>
              <w:top w:w="90" w:type="dxa"/>
              <w:start w:w="115" w:type="dxa"/>
              <w:bottom w:w="90" w:type="dxa"/>
              <w:end w:w="115" w:type="dxa"/>
            </w:tcMar>
            <w:shd w:fill="F3F6F9"/>
          </w:tcPr>
          <w:p>
            <w:pPr>
              <w:spacing w:after="0" w:line="254" w:lineRule="auto"/>
            </w:pPr>
            <w:r>
              <w:rPr>
                <w:sz w:val="17"/>
              </w:rPr>
              <w:t>2.47 hours</w:t>
            </w:r>
          </w:p>
        </w:tc>
        <w:tc>
          <w:tcPr>
            <w:tcW w:type="dxa" w:w="3317"/>
            <w:vAlign w:val="center"/>
            <w:tcMar>
              <w:top w:w="90" w:type="dxa"/>
              <w:start w:w="115" w:type="dxa"/>
              <w:bottom w:w="90" w:type="dxa"/>
              <w:end w:w="115" w:type="dxa"/>
            </w:tcMar>
            <w:shd w:fill="F3F6F9"/>
          </w:tcPr>
          <w:p>
            <w:pPr>
              <w:spacing w:after="0" w:line="254" w:lineRule="auto"/>
            </w:pPr>
            <w:r>
              <w:rPr>
                <w:sz w:val="17"/>
              </w:rPr>
              <w:t>3.54 hours</w:t>
            </w:r>
          </w:p>
        </w:tc>
      </w:tr>
      <w:tr>
        <w:trPr>
          <w:cantSplit/>
        </w:trPr>
        <w:tc>
          <w:tcPr>
            <w:tcW w:type="dxa" w:w="3317"/>
            <w:vAlign w:val="center"/>
            <w:tcMar>
              <w:top w:w="90" w:type="dxa"/>
              <w:start w:w="115" w:type="dxa"/>
              <w:bottom w:w="90" w:type="dxa"/>
              <w:end w:w="115" w:type="dxa"/>
            </w:tcMar>
          </w:tcPr>
          <w:p>
            <w:pPr>
              <w:spacing w:after="0" w:line="254" w:lineRule="auto"/>
            </w:pPr>
            <w:r>
              <w:rPr>
                <w:sz w:val="17"/>
              </w:rPr>
              <w:t>Peak recorded training VRAM</w:t>
            </w:r>
          </w:p>
        </w:tc>
        <w:tc>
          <w:tcPr>
            <w:tcW w:type="dxa" w:w="3317"/>
            <w:vAlign w:val="center"/>
            <w:tcMar>
              <w:top w:w="90" w:type="dxa"/>
              <w:start w:w="115" w:type="dxa"/>
              <w:bottom w:w="90" w:type="dxa"/>
              <w:end w:w="115" w:type="dxa"/>
            </w:tcMar>
          </w:tcPr>
          <w:p>
            <w:pPr>
              <w:spacing w:after="0" w:line="254" w:lineRule="auto"/>
            </w:pPr>
            <w:r>
              <w:rPr>
                <w:sz w:val="17"/>
              </w:rPr>
              <w:t>3.40 GiB</w:t>
            </w:r>
          </w:p>
        </w:tc>
        <w:tc>
          <w:tcPr>
            <w:tcW w:type="dxa" w:w="3317"/>
            <w:vAlign w:val="center"/>
            <w:tcMar>
              <w:top w:w="90" w:type="dxa"/>
              <w:start w:w="115" w:type="dxa"/>
              <w:bottom w:w="90" w:type="dxa"/>
              <w:end w:w="115" w:type="dxa"/>
            </w:tcMar>
          </w:tcPr>
          <w:p>
            <w:pPr>
              <w:spacing w:after="0" w:line="254" w:lineRule="auto"/>
            </w:pPr>
            <w:r>
              <w:rPr>
                <w:sz w:val="17"/>
              </w:rPr>
              <w:t>4.90 GiB</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Max. train sequence length</w:t>
            </w:r>
          </w:p>
        </w:tc>
        <w:tc>
          <w:tcPr>
            <w:tcW w:type="dxa" w:w="3317"/>
            <w:vAlign w:val="center"/>
            <w:tcMar>
              <w:top w:w="90" w:type="dxa"/>
              <w:start w:w="115" w:type="dxa"/>
              <w:bottom w:w="90" w:type="dxa"/>
              <w:end w:w="115" w:type="dxa"/>
            </w:tcMar>
            <w:shd w:fill="F3F6F9"/>
          </w:tcPr>
          <w:p>
            <w:pPr>
              <w:spacing w:after="0" w:line="254" w:lineRule="auto"/>
            </w:pPr>
            <w:r>
              <w:rPr>
                <w:sz w:val="17"/>
              </w:rPr>
              <w:t>1,024</w:t>
            </w:r>
          </w:p>
        </w:tc>
        <w:tc>
          <w:tcPr>
            <w:tcW w:type="dxa" w:w="3317"/>
            <w:vAlign w:val="center"/>
            <w:tcMar>
              <w:top w:w="90" w:type="dxa"/>
              <w:start w:w="115" w:type="dxa"/>
              <w:bottom w:w="90" w:type="dxa"/>
              <w:end w:w="115" w:type="dxa"/>
            </w:tcMar>
            <w:shd w:fill="F3F6F9"/>
          </w:tcPr>
          <w:p>
            <w:pPr>
              <w:spacing w:after="0" w:line="254" w:lineRule="auto"/>
            </w:pPr>
            <w:r>
              <w:rPr>
                <w:sz w:val="17"/>
              </w:rPr>
              <w:t>768</w:t>
            </w:r>
          </w:p>
        </w:tc>
      </w:tr>
      <w:tr>
        <w:trPr>
          <w:cantSplit/>
        </w:trPr>
        <w:tc>
          <w:tcPr>
            <w:tcW w:type="dxa" w:w="3317"/>
            <w:vAlign w:val="center"/>
            <w:tcMar>
              <w:top w:w="90" w:type="dxa"/>
              <w:start w:w="115" w:type="dxa"/>
              <w:bottom w:w="90" w:type="dxa"/>
              <w:end w:w="115" w:type="dxa"/>
            </w:tcMar>
          </w:tcPr>
          <w:p>
            <w:pPr>
              <w:spacing w:after="0" w:line="254" w:lineRule="auto"/>
            </w:pPr>
            <w:r>
              <w:rPr>
                <w:sz w:val="17"/>
              </w:rPr>
              <w:t>LoRA trainable parameters</w:t>
            </w:r>
          </w:p>
        </w:tc>
        <w:tc>
          <w:tcPr>
            <w:tcW w:type="dxa" w:w="3317"/>
            <w:vAlign w:val="center"/>
            <w:tcMar>
              <w:top w:w="90" w:type="dxa"/>
              <w:start w:w="115" w:type="dxa"/>
              <w:bottom w:w="90" w:type="dxa"/>
              <w:end w:w="115" w:type="dxa"/>
            </w:tcMar>
          </w:tcPr>
          <w:p>
            <w:pPr>
              <w:spacing w:after="0" w:line="254" w:lineRule="auto"/>
            </w:pPr>
            <w:r>
              <w:rPr>
                <w:sz w:val="17"/>
              </w:rPr>
              <w:t>17.43 million</w:t>
            </w:r>
          </w:p>
        </w:tc>
        <w:tc>
          <w:tcPr>
            <w:tcW w:type="dxa" w:w="3317"/>
            <w:vAlign w:val="center"/>
            <w:tcMar>
              <w:top w:w="90" w:type="dxa"/>
              <w:start w:w="115" w:type="dxa"/>
              <w:bottom w:w="90" w:type="dxa"/>
              <w:end w:w="115" w:type="dxa"/>
            </w:tcMar>
          </w:tcPr>
          <w:p>
            <w:pPr>
              <w:spacing w:after="0" w:line="254" w:lineRule="auto"/>
            </w:pPr>
            <w:r>
              <w:rPr>
                <w:sz w:val="17"/>
              </w:rPr>
              <w:t>23.07 million</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Mean inference latency</w:t>
            </w:r>
          </w:p>
        </w:tc>
        <w:tc>
          <w:tcPr>
            <w:tcW w:type="dxa" w:w="3317"/>
            <w:vAlign w:val="center"/>
            <w:tcMar>
              <w:top w:w="90" w:type="dxa"/>
              <w:start w:w="115" w:type="dxa"/>
              <w:bottom w:w="90" w:type="dxa"/>
              <w:end w:w="115" w:type="dxa"/>
            </w:tcMar>
            <w:shd w:fill="F3F6F9"/>
          </w:tcPr>
          <w:p>
            <w:pPr>
              <w:spacing w:after="0" w:line="254" w:lineRule="auto"/>
            </w:pPr>
            <w:r>
              <w:rPr>
                <w:sz w:val="17"/>
              </w:rPr>
              <w:t>1.18 s/sample</w:t>
            </w:r>
          </w:p>
        </w:tc>
        <w:tc>
          <w:tcPr>
            <w:tcW w:type="dxa" w:w="3317"/>
            <w:vAlign w:val="center"/>
            <w:tcMar>
              <w:top w:w="90" w:type="dxa"/>
              <w:start w:w="115" w:type="dxa"/>
              <w:bottom w:w="90" w:type="dxa"/>
              <w:end w:w="115" w:type="dxa"/>
            </w:tcMar>
            <w:shd w:fill="F3F6F9"/>
          </w:tcPr>
          <w:p>
            <w:pPr>
              <w:spacing w:after="0" w:line="254" w:lineRule="auto"/>
            </w:pPr>
            <w:r>
              <w:rPr>
                <w:sz w:val="17"/>
              </w:rPr>
              <w:t>1.08 s/sample</w:t>
            </w:r>
          </w:p>
        </w:tc>
      </w:tr>
    </w:tbl>
    <w:p>
      <w:pPr>
        <w:spacing w:after="20"/>
      </w:pPr>
    </w:p>
    <w:p>
      <w:r>
        <w:t>These are measurements from the supplied environment (NVIDIA GeForce RTX 4050 Laptop GPU). The exported quantized parameter counts should not be called the original model parameter counts. The models were also trained with different maximum input lengths, which limits a pure architecture comparison.</w:t>
      </w:r>
    </w:p>
    <w:p>
      <w:pPr>
        <w:pStyle w:val="Heading2"/>
      </w:pPr>
      <w:r>
        <w:t>13. The context-truncation limitation</w:t>
      </w:r>
    </w:p>
    <w:p>
      <w:r>
        <w:t>The Phase-3 run used MAX_SEQ_LENGTH = 1,024 for E5. The recorded token audit found a 53.3% truncation estimate. Among 883 FinQA validation predictions, 460 reached the 1,024-token prompt cap. Program execution accuracy is approximately 71.6% below that cap and 63.7% at the cap.</w:t>
      </w:r>
    </w:p>
    <w:p>
      <w:r>
        <w:t>This is a correlation, not proof of causation: long contexts may also be harder. Still, evidence-preserving input construction is an attractive low-cost Phase-3.1 validation study. It must be done without changing protected test data.</w:t>
      </w:r>
    </w:p>
    <w:p>
      <w:pPr>
        <w:pStyle w:val="Heading1"/>
      </w:pPr>
      <w:r>
        <w:t>F. Folder audit and what is genuinely frozen</w:t>
      </w:r>
    </w:p>
    <w:p>
      <w:pPr>
        <w:pStyle w:val="Heading2"/>
      </w:pPr>
      <w:r>
        <w:t>14. What each delivered folder contributes</w:t>
      </w:r>
    </w:p>
    <w:tbl>
      <w:tblPr>
        <w:tblStyle w:val="TableGrid"/>
        <w:tblW w:type="auto" w:w="0"/>
        <w:jc w:val="center"/>
        <w:tblLayout w:type="autofit"/>
        <w:tblLook w:firstColumn="1" w:firstRow="1" w:lastColumn="0" w:lastRow="0" w:noHBand="0" w:noVBand="1" w:val="04A0"/>
      </w:tblPr>
      <w:tblGrid>
        <w:gridCol w:w="4975"/>
        <w:gridCol w:w="4975"/>
      </w:tblGrid>
      <w:tr>
        <w:trPr>
          <w:tblHeader w:val="true"/>
        </w:trPr>
        <w:tc>
          <w:tcPr>
            <w:tcW w:type="dxa" w:w="4975"/>
            <w:shd w:fill="182B49"/>
            <w:tcMar>
              <w:top w:w="90" w:type="dxa"/>
              <w:start w:w="115" w:type="dxa"/>
              <w:bottom w:w="90" w:type="dxa"/>
              <w:end w:w="115" w:type="dxa"/>
            </w:tcMar>
          </w:tcPr>
          <w:p>
            <w:r>
              <w:rPr>
                <w:b/>
                <w:color w:val="FFFFFF"/>
                <w:sz w:val="16"/>
              </w:rPr>
              <w:t>Location in ZIP</w:t>
            </w:r>
          </w:p>
        </w:tc>
        <w:tc>
          <w:tcPr>
            <w:tcW w:type="dxa" w:w="4975"/>
            <w:shd w:fill="182B49"/>
            <w:tcMar>
              <w:top w:w="90" w:type="dxa"/>
              <w:start w:w="115" w:type="dxa"/>
              <w:bottom w:w="90" w:type="dxa"/>
              <w:end w:w="115" w:type="dxa"/>
            </w:tcMar>
          </w:tcPr>
          <w:p>
            <w:r>
              <w:rPr>
                <w:b/>
                <w:color w:val="FFFFFF"/>
                <w:sz w:val="16"/>
              </w:rPr>
              <w:t>Contents and research use</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docs/</w:t>
            </w:r>
          </w:p>
        </w:tc>
        <w:tc>
          <w:tcPr>
            <w:tcW w:type="dxa" w:w="4975"/>
            <w:vAlign w:val="center"/>
            <w:tcMar>
              <w:top w:w="90" w:type="dxa"/>
              <w:start w:w="115" w:type="dxa"/>
              <w:bottom w:w="90" w:type="dxa"/>
              <w:end w:w="115" w:type="dxa"/>
            </w:tcMar>
            <w:shd w:fill="F3F6F9"/>
          </w:tcPr>
          <w:p>
            <w:pPr>
              <w:spacing w:after="0" w:line="254" w:lineRule="auto"/>
            </w:pPr>
            <w:r>
              <w:rPr>
                <w:sz w:val="16"/>
              </w:rPr>
              <w:t>Narrative experiment reports; useful for discussion, but numbers must match machine exports</w:t>
            </w:r>
          </w:p>
        </w:tc>
      </w:tr>
      <w:tr>
        <w:trPr>
          <w:cantSplit/>
        </w:trPr>
        <w:tc>
          <w:tcPr>
            <w:tcW w:type="dxa" w:w="4975"/>
            <w:vAlign w:val="center"/>
            <w:tcMar>
              <w:top w:w="90" w:type="dxa"/>
              <w:start w:w="115" w:type="dxa"/>
              <w:bottom w:w="90" w:type="dxa"/>
              <w:end w:w="115" w:type="dxa"/>
            </w:tcMar>
          </w:tcPr>
          <w:p>
            <w:pPr>
              <w:spacing w:after="0" w:line="254" w:lineRule="auto"/>
            </w:pPr>
            <w:r>
              <w:rPr>
                <w:sz w:val="16"/>
              </w:rPr>
              <w:t>notebooks/</w:t>
            </w:r>
          </w:p>
        </w:tc>
        <w:tc>
          <w:tcPr>
            <w:tcW w:type="dxa" w:w="4975"/>
            <w:vAlign w:val="center"/>
            <w:tcMar>
              <w:top w:w="90" w:type="dxa"/>
              <w:start w:w="115" w:type="dxa"/>
              <w:bottom w:w="90" w:type="dxa"/>
              <w:end w:w="115" w:type="dxa"/>
            </w:tcMar>
          </w:tcPr>
          <w:p>
            <w:pPr>
              <w:spacing w:after="0" w:line="254" w:lineRule="auto"/>
            </w:pPr>
            <w:r>
              <w:rPr>
                <w:sz w:val="16"/>
              </w:rPr>
              <w:t>Master notebook, executed full-run partitions, smoke runs</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logs/</w:t>
            </w:r>
          </w:p>
        </w:tc>
        <w:tc>
          <w:tcPr>
            <w:tcW w:type="dxa" w:w="4975"/>
            <w:vAlign w:val="center"/>
            <w:tcMar>
              <w:top w:w="90" w:type="dxa"/>
              <w:start w:w="115" w:type="dxa"/>
              <w:bottom w:w="90" w:type="dxa"/>
              <w:end w:w="115" w:type="dxa"/>
            </w:tcMar>
            <w:shd w:fill="F3F6F9"/>
          </w:tcPr>
          <w:p>
            <w:pPr>
              <w:spacing w:after="0" w:line="254" w:lineRule="auto"/>
            </w:pPr>
            <w:r>
              <w:rPr>
                <w:sz w:val="16"/>
              </w:rPr>
              <w:t>Run sequence and interruptions/restarts; supports execution provenance</w:t>
            </w:r>
          </w:p>
        </w:tc>
      </w:tr>
      <w:tr>
        <w:trPr>
          <w:cantSplit/>
        </w:trPr>
        <w:tc>
          <w:tcPr>
            <w:tcW w:type="dxa" w:w="4975"/>
            <w:vAlign w:val="center"/>
            <w:tcMar>
              <w:top w:w="90" w:type="dxa"/>
              <w:start w:w="115" w:type="dxa"/>
              <w:bottom w:w="90" w:type="dxa"/>
              <w:end w:w="115" w:type="dxa"/>
            </w:tcMar>
          </w:tcPr>
          <w:p>
            <w:pPr>
              <w:spacing w:after="0" w:line="254" w:lineRule="auto"/>
            </w:pPr>
            <w:r>
              <w:rPr>
                <w:sz w:val="16"/>
              </w:rPr>
              <w:t>manifests/</w:t>
            </w:r>
          </w:p>
        </w:tc>
        <w:tc>
          <w:tcPr>
            <w:tcW w:type="dxa" w:w="4975"/>
            <w:vAlign w:val="center"/>
            <w:tcMar>
              <w:top w:w="90" w:type="dxa"/>
              <w:start w:w="115" w:type="dxa"/>
              <w:bottom w:w="90" w:type="dxa"/>
              <w:end w:w="115" w:type="dxa"/>
            </w:tcMar>
          </w:tcPr>
          <w:p>
            <w:pPr>
              <w:spacing w:after="0" w:line="254" w:lineRule="auto"/>
            </w:pPr>
            <w:r>
              <w:rPr>
                <w:sz w:val="16"/>
              </w:rPr>
              <w:t>Experiment plan, environment, few-shot IDs, completion report, phase3_freeze.json</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metrics/</w:t>
            </w:r>
          </w:p>
        </w:tc>
        <w:tc>
          <w:tcPr>
            <w:tcW w:type="dxa" w:w="4975"/>
            <w:vAlign w:val="center"/>
            <w:tcMar>
              <w:top w:w="90" w:type="dxa"/>
              <w:start w:w="115" w:type="dxa"/>
              <w:bottom w:w="90" w:type="dxa"/>
              <w:end w:w="115" w:type="dxa"/>
            </w:tcMar>
            <w:shd w:fill="F3F6F9"/>
          </w:tcPr>
          <w:p>
            <w:pPr>
              <w:spacing w:after="0" w:line="254" w:lineRule="auto"/>
            </w:pPr>
            <w:r>
              <w:rPr>
                <w:sz w:val="16"/>
              </w:rPr>
              <w:t>Task scores, E16 candidate comparisons, training metadata</w:t>
            </w:r>
          </w:p>
        </w:tc>
      </w:tr>
      <w:tr>
        <w:trPr>
          <w:cantSplit/>
        </w:trPr>
        <w:tc>
          <w:tcPr>
            <w:tcW w:type="dxa" w:w="4975"/>
            <w:vAlign w:val="center"/>
            <w:tcMar>
              <w:top w:w="90" w:type="dxa"/>
              <w:start w:w="115" w:type="dxa"/>
              <w:bottom w:w="90" w:type="dxa"/>
              <w:end w:w="115" w:type="dxa"/>
            </w:tcMar>
          </w:tcPr>
          <w:p>
            <w:pPr>
              <w:spacing w:after="0" w:line="254" w:lineRule="auto"/>
            </w:pPr>
            <w:r>
              <w:rPr>
                <w:sz w:val="16"/>
              </w:rPr>
              <w:t>predictions/</w:t>
            </w:r>
          </w:p>
        </w:tc>
        <w:tc>
          <w:tcPr>
            <w:tcW w:type="dxa" w:w="4975"/>
            <w:vAlign w:val="center"/>
            <w:tcMar>
              <w:top w:w="90" w:type="dxa"/>
              <w:start w:w="115" w:type="dxa"/>
              <w:bottom w:w="90" w:type="dxa"/>
              <w:end w:w="115" w:type="dxa"/>
            </w:tcMar>
          </w:tcPr>
          <w:p>
            <w:pPr>
              <w:spacing w:after="0" w:line="254" w:lineRule="auto"/>
            </w:pPr>
            <w:r>
              <w:rPr>
                <w:sz w:val="16"/>
              </w:rPr>
              <w:t>Sample-level raw outputs; required for independent recomputation</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analysis/</w:t>
            </w:r>
          </w:p>
        </w:tc>
        <w:tc>
          <w:tcPr>
            <w:tcW w:type="dxa" w:w="4975"/>
            <w:vAlign w:val="center"/>
            <w:tcMar>
              <w:top w:w="90" w:type="dxa"/>
              <w:start w:w="115" w:type="dxa"/>
              <w:bottom w:w="90" w:type="dxa"/>
              <w:end w:w="115" w:type="dxa"/>
            </w:tcMar>
            <w:shd w:fill="F3F6F9"/>
          </w:tcPr>
          <w:p>
            <w:pPr>
              <w:spacing w:after="0" w:line="254" w:lineRule="auto"/>
            </w:pPr>
            <w:r>
              <w:rPr>
                <w:sz w:val="16"/>
              </w:rPr>
              <w:t>Ablations E9–E11, errors E12–E13, confidence E14, efficiency E15</w:t>
            </w:r>
          </w:p>
        </w:tc>
      </w:tr>
      <w:tr>
        <w:trPr>
          <w:cantSplit/>
        </w:trPr>
        <w:tc>
          <w:tcPr>
            <w:tcW w:type="dxa" w:w="4975"/>
            <w:vAlign w:val="center"/>
            <w:tcMar>
              <w:top w:w="90" w:type="dxa"/>
              <w:start w:w="115" w:type="dxa"/>
              <w:bottom w:w="90" w:type="dxa"/>
              <w:end w:w="115" w:type="dxa"/>
            </w:tcMar>
          </w:tcPr>
          <w:p>
            <w:pPr>
              <w:spacing w:after="0" w:line="254" w:lineRule="auto"/>
            </w:pPr>
            <w:r>
              <w:rPr>
                <w:sz w:val="16"/>
              </w:rPr>
              <w:t>plots/</w:t>
            </w:r>
          </w:p>
        </w:tc>
        <w:tc>
          <w:tcPr>
            <w:tcW w:type="dxa" w:w="4975"/>
            <w:vAlign w:val="center"/>
            <w:tcMar>
              <w:top w:w="90" w:type="dxa"/>
              <w:start w:w="115" w:type="dxa"/>
              <w:bottom w:w="90" w:type="dxa"/>
              <w:end w:w="115" w:type="dxa"/>
            </w:tcMar>
          </w:tcPr>
          <w:p>
            <w:pPr>
              <w:spacing w:after="0" w:line="254" w:lineRule="auto"/>
            </w:pPr>
            <w:r>
              <w:rPr>
                <w:sz w:val="16"/>
              </w:rPr>
              <w:t>Visualization exports</w:t>
            </w:r>
          </w:p>
        </w:tc>
      </w:tr>
    </w:tbl>
    <w:p>
      <w:pPr>
        <w:spacing w:after="20"/>
      </w:pPr>
    </w:p>
    <w:p>
      <w:pPr>
        <w:pStyle w:val="Heading2"/>
      </w:pPr>
      <w:r>
        <w:t>15. What the Phase-3 freeze currently fixes</w:t>
      </w:r>
    </w:p>
    <w:tbl>
      <w:tblPr>
        <w:tblStyle w:val="TableGrid"/>
        <w:tblW w:type="auto" w:w="0"/>
        <w:jc w:val="center"/>
        <w:tblLayout w:type="autofit"/>
        <w:tblLook w:firstColumn="1" w:firstRow="1" w:lastColumn="0" w:lastRow="0" w:noHBand="0" w:noVBand="1" w:val="04A0"/>
      </w:tblPr>
      <w:tblGrid>
        <w:gridCol w:w="4975"/>
        <w:gridCol w:w="4975"/>
      </w:tblGrid>
      <w:tr>
        <w:trPr>
          <w:tblHeader w:val="true"/>
        </w:trPr>
        <w:tc>
          <w:tcPr>
            <w:tcW w:type="dxa" w:w="4975"/>
            <w:shd w:fill="182B49"/>
            <w:tcMar>
              <w:top w:w="90" w:type="dxa"/>
              <w:start w:w="115" w:type="dxa"/>
              <w:bottom w:w="90" w:type="dxa"/>
              <w:end w:w="115" w:type="dxa"/>
            </w:tcMar>
          </w:tcPr>
          <w:p>
            <w:r>
              <w:rPr>
                <w:b/>
                <w:color w:val="FFFFFF"/>
                <w:sz w:val="16"/>
              </w:rPr>
              <w:t>Item</w:t>
            </w:r>
          </w:p>
        </w:tc>
        <w:tc>
          <w:tcPr>
            <w:tcW w:type="dxa" w:w="4975"/>
            <w:shd w:fill="182B49"/>
            <w:tcMar>
              <w:top w:w="90" w:type="dxa"/>
              <w:start w:w="115" w:type="dxa"/>
              <w:bottom w:w="90" w:type="dxa"/>
              <w:end w:w="115" w:type="dxa"/>
            </w:tcMar>
          </w:tcPr>
          <w:p>
            <w:r>
              <w:rPr>
                <w:b/>
                <w:color w:val="FFFFFF"/>
                <w:sz w:val="16"/>
              </w:rPr>
              <w:t>Frozen value</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7"/>
              </w:rPr>
              <w:t>Primary backbone</w:t>
            </w:r>
          </w:p>
        </w:tc>
        <w:tc>
          <w:tcPr>
            <w:tcW w:type="dxa" w:w="4975"/>
            <w:vAlign w:val="center"/>
            <w:tcMar>
              <w:top w:w="90" w:type="dxa"/>
              <w:start w:w="115" w:type="dxa"/>
              <w:bottom w:w="90" w:type="dxa"/>
              <w:end w:w="115" w:type="dxa"/>
            </w:tcMar>
            <w:shd w:fill="F3F6F9"/>
          </w:tcPr>
          <w:p>
            <w:pPr>
              <w:spacing w:after="0" w:line="254" w:lineRule="auto"/>
            </w:pPr>
            <w:r>
              <w:rPr>
                <w:sz w:val="17"/>
              </w:rPr>
              <w:t>Qwen/Qwen3-1.7B</w:t>
            </w:r>
          </w:p>
        </w:tc>
      </w:tr>
      <w:tr>
        <w:trPr>
          <w:cantSplit/>
        </w:trPr>
        <w:tc>
          <w:tcPr>
            <w:tcW w:type="dxa" w:w="4975"/>
            <w:vAlign w:val="center"/>
            <w:tcMar>
              <w:top w:w="90" w:type="dxa"/>
              <w:start w:w="115" w:type="dxa"/>
              <w:bottom w:w="90" w:type="dxa"/>
              <w:end w:w="115" w:type="dxa"/>
            </w:tcMar>
          </w:tcPr>
          <w:p>
            <w:pPr>
              <w:spacing w:after="0" w:line="254" w:lineRule="auto"/>
            </w:pPr>
            <w:r>
              <w:rPr>
                <w:sz w:val="17"/>
              </w:rPr>
              <w:t>Adaptation</w:t>
            </w:r>
          </w:p>
        </w:tc>
        <w:tc>
          <w:tcPr>
            <w:tcW w:type="dxa" w:w="4975"/>
            <w:vAlign w:val="center"/>
            <w:tcMar>
              <w:top w:w="90" w:type="dxa"/>
              <w:start w:w="115" w:type="dxa"/>
              <w:bottom w:w="90" w:type="dxa"/>
              <w:end w:w="115" w:type="dxa"/>
            </w:tcMar>
          </w:tcPr>
          <w:p>
            <w:pPr>
              <w:spacing w:after="0" w:line="254" w:lineRule="auto"/>
            </w:pPr>
            <w:r>
              <w:rPr>
                <w:sz w:val="17"/>
              </w:rPr>
              <w:t>E5 — balanced FinQA+FiQA QLoRA</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7"/>
              </w:rPr>
              <w:t>FinQA prompt</w:t>
            </w:r>
          </w:p>
        </w:tc>
        <w:tc>
          <w:tcPr>
            <w:tcW w:type="dxa" w:w="4975"/>
            <w:vAlign w:val="center"/>
            <w:tcMar>
              <w:top w:w="90" w:type="dxa"/>
              <w:start w:w="115" w:type="dxa"/>
              <w:bottom w:w="90" w:type="dxa"/>
              <w:end w:w="115" w:type="dxa"/>
            </w:tcMar>
            <w:shd w:fill="F3F6F9"/>
          </w:tcPr>
          <w:p>
            <w:pPr>
              <w:spacing w:after="0" w:line="254" w:lineRule="auto"/>
            </w:pPr>
            <w:r>
              <w:rPr>
                <w:sz w:val="17"/>
              </w:rPr>
              <w:t>canonical</w:t>
            </w:r>
          </w:p>
        </w:tc>
      </w:tr>
      <w:tr>
        <w:trPr>
          <w:cantSplit/>
        </w:trPr>
        <w:tc>
          <w:tcPr>
            <w:tcW w:type="dxa" w:w="4975"/>
            <w:vAlign w:val="center"/>
            <w:tcMar>
              <w:top w:w="90" w:type="dxa"/>
              <w:start w:w="115" w:type="dxa"/>
              <w:bottom w:w="90" w:type="dxa"/>
              <w:end w:w="115" w:type="dxa"/>
            </w:tcMar>
          </w:tcPr>
          <w:p>
            <w:pPr>
              <w:spacing w:after="0" w:line="254" w:lineRule="auto"/>
            </w:pPr>
            <w:r>
              <w:rPr>
                <w:sz w:val="17"/>
              </w:rPr>
              <w:t>FiQA prompt</w:t>
            </w:r>
          </w:p>
        </w:tc>
        <w:tc>
          <w:tcPr>
            <w:tcW w:type="dxa" w:w="4975"/>
            <w:vAlign w:val="center"/>
            <w:tcMar>
              <w:top w:w="90" w:type="dxa"/>
              <w:start w:w="115" w:type="dxa"/>
              <w:bottom w:w="90" w:type="dxa"/>
              <w:end w:w="115" w:type="dxa"/>
            </w:tcMar>
          </w:tcPr>
          <w:p>
            <w:pPr>
              <w:spacing w:after="0" w:line="254" w:lineRule="auto"/>
            </w:pPr>
            <w:r>
              <w:rPr>
                <w:sz w:val="17"/>
              </w:rPr>
              <w:t>explicit_schema</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7"/>
              </w:rPr>
              <w:t>Selection score</w:t>
            </w:r>
          </w:p>
        </w:tc>
        <w:tc>
          <w:tcPr>
            <w:tcW w:type="dxa" w:w="4975"/>
            <w:vAlign w:val="center"/>
            <w:tcMar>
              <w:top w:w="90" w:type="dxa"/>
              <w:start w:w="115" w:type="dxa"/>
              <w:bottom w:w="90" w:type="dxa"/>
              <w:end w:w="115" w:type="dxa"/>
            </w:tcMar>
            <w:shd w:fill="F3F6F9"/>
          </w:tcPr>
          <w:p>
            <w:pPr>
              <w:spacing w:after="0" w:line="254" w:lineRule="auto"/>
            </w:pPr>
            <w:r>
              <w:rPr>
                <w:sz w:val="17"/>
              </w:rPr>
              <w:t>0.744560</w:t>
            </w:r>
          </w:p>
        </w:tc>
      </w:tr>
      <w:tr>
        <w:trPr>
          <w:cantSplit/>
        </w:trPr>
        <w:tc>
          <w:tcPr>
            <w:tcW w:type="dxa" w:w="4975"/>
            <w:vAlign w:val="center"/>
            <w:tcMar>
              <w:top w:w="90" w:type="dxa"/>
              <w:start w:w="115" w:type="dxa"/>
              <w:bottom w:w="90" w:type="dxa"/>
              <w:end w:w="115" w:type="dxa"/>
            </w:tcMar>
          </w:tcPr>
          <w:p>
            <w:pPr>
              <w:spacing w:after="0" w:line="254" w:lineRule="auto"/>
            </w:pPr>
            <w:r>
              <w:rPr>
                <w:sz w:val="17"/>
              </w:rPr>
              <w:t>Model-selection boundary</w:t>
            </w:r>
          </w:p>
        </w:tc>
        <w:tc>
          <w:tcPr>
            <w:tcW w:type="dxa" w:w="4975"/>
            <w:vAlign w:val="center"/>
            <w:tcMar>
              <w:top w:w="90" w:type="dxa"/>
              <w:start w:w="115" w:type="dxa"/>
              <w:bottom w:w="90" w:type="dxa"/>
              <w:end w:w="115" w:type="dxa"/>
            </w:tcMar>
          </w:tcPr>
          <w:p>
            <w:pPr>
              <w:spacing w:after="0" w:line="254" w:lineRule="auto"/>
            </w:pPr>
            <w:r>
              <w:rPr>
                <w:sz w:val="17"/>
              </w:rPr>
              <w:t>Train + validation only; no protected tests</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7"/>
              </w:rPr>
              <w:t>Random seed</w:t>
            </w:r>
          </w:p>
        </w:tc>
        <w:tc>
          <w:tcPr>
            <w:tcW w:type="dxa" w:w="4975"/>
            <w:vAlign w:val="center"/>
            <w:tcMar>
              <w:top w:w="90" w:type="dxa"/>
              <w:start w:w="115" w:type="dxa"/>
              <w:bottom w:w="90" w:type="dxa"/>
              <w:end w:w="115" w:type="dxa"/>
            </w:tcMar>
            <w:shd w:fill="F3F6F9"/>
          </w:tcPr>
          <w:p>
            <w:pPr>
              <w:spacing w:after="0" w:line="254" w:lineRule="auto"/>
            </w:pPr>
            <w:r>
              <w:rPr>
                <w:sz w:val="17"/>
              </w:rPr>
              <w:t>42</w:t>
            </w:r>
          </w:p>
        </w:tc>
      </w:tr>
    </w:tbl>
    <w:p>
      <w:pPr>
        <w:spacing w:after="20"/>
      </w:pPr>
    </w:p>
    <w:p>
      <w:r>
        <w:t>The ZIP has an E5 adapter path in phase3_freeze.json, but does not include checkpoint weights. The path alone does not verify that the exact weights still exist. Phase-3.1 must save reproducible model revision identifiers and hashes for adapter/tokenizer/configuration files.</w:t>
      </w:r>
    </w:p>
    <w:p>
      <w:pPr>
        <w:pStyle w:val="Heading2"/>
      </w:pPr>
      <w:r>
        <w:t>16. Confirmed reporting bug: negative invalid-program rate</w:t>
      </w:r>
    </w:p>
    <w:p>
      <w:r>
        <w:t>Several metrics JSON files store negative invalid-program rates, which are logically impossible. The likely cause is applying the bitwise operator “~” to object-typed booleans rather than proper Boolean arrays.</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Experiment</w:t>
            </w:r>
          </w:p>
        </w:tc>
        <w:tc>
          <w:tcPr>
            <w:tcW w:type="dxa" w:w="3317"/>
            <w:shd w:fill="182B49"/>
            <w:tcMar>
              <w:top w:w="90" w:type="dxa"/>
              <w:start w:w="115" w:type="dxa"/>
              <w:bottom w:w="90" w:type="dxa"/>
              <w:end w:w="115" w:type="dxa"/>
            </w:tcMar>
          </w:tcPr>
          <w:p>
            <w:r>
              <w:rPr>
                <w:b/>
                <w:color w:val="FFFFFF"/>
                <w:sz w:val="16"/>
              </w:rPr>
              <w:t>Exported (invalid)</w:t>
            </w:r>
          </w:p>
        </w:tc>
        <w:tc>
          <w:tcPr>
            <w:tcW w:type="dxa" w:w="3317"/>
            <w:shd w:fill="182B49"/>
            <w:tcMar>
              <w:top w:w="90" w:type="dxa"/>
              <w:start w:w="115" w:type="dxa"/>
              <w:bottom w:w="90" w:type="dxa"/>
              <w:end w:w="115" w:type="dxa"/>
            </w:tcMar>
          </w:tcPr>
          <w:p>
            <w:r>
              <w:rPr>
                <w:b/>
                <w:color w:val="FFFFFF"/>
                <w:sz w:val="16"/>
              </w:rPr>
              <w:t>Correct from record predictions</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E3</w:t>
            </w:r>
          </w:p>
        </w:tc>
        <w:tc>
          <w:tcPr>
            <w:tcW w:type="dxa" w:w="3317"/>
            <w:vAlign w:val="center"/>
            <w:tcMar>
              <w:top w:w="90" w:type="dxa"/>
              <w:start w:w="115" w:type="dxa"/>
              <w:bottom w:w="90" w:type="dxa"/>
              <w:end w:w="115" w:type="dxa"/>
            </w:tcMar>
            <w:shd w:fill="F3F6F9"/>
          </w:tcPr>
          <w:p>
            <w:pPr>
              <w:spacing w:after="0" w:line="254" w:lineRule="auto"/>
            </w:pPr>
            <w:r>
              <w:rPr>
                <w:sz w:val="17"/>
              </w:rPr>
              <w:t>−1.9887</w:t>
            </w:r>
          </w:p>
        </w:tc>
        <w:tc>
          <w:tcPr>
            <w:tcW w:type="dxa" w:w="3317"/>
            <w:vAlign w:val="center"/>
            <w:tcMar>
              <w:top w:w="90" w:type="dxa"/>
              <w:start w:w="115" w:type="dxa"/>
              <w:bottom w:w="90" w:type="dxa"/>
              <w:end w:w="115" w:type="dxa"/>
            </w:tcMar>
            <w:shd w:fill="F3F6F9"/>
          </w:tcPr>
          <w:p>
            <w:pPr>
              <w:spacing w:after="0" w:line="254" w:lineRule="auto"/>
            </w:pPr>
            <w:r>
              <w:rPr>
                <w:sz w:val="17"/>
              </w:rPr>
              <w:t>1.13%</w:t>
            </w:r>
          </w:p>
        </w:tc>
      </w:tr>
      <w:tr>
        <w:trPr>
          <w:cantSplit/>
        </w:trPr>
        <w:tc>
          <w:tcPr>
            <w:tcW w:type="dxa" w:w="3317"/>
            <w:vAlign w:val="center"/>
            <w:tcMar>
              <w:top w:w="90" w:type="dxa"/>
              <w:start w:w="115" w:type="dxa"/>
              <w:bottom w:w="90" w:type="dxa"/>
              <w:end w:w="115" w:type="dxa"/>
            </w:tcMar>
          </w:tcPr>
          <w:p>
            <w:pPr>
              <w:spacing w:after="0" w:line="254" w:lineRule="auto"/>
            </w:pPr>
            <w:r>
              <w:rPr>
                <w:sz w:val="17"/>
              </w:rPr>
              <w:t>E5</w:t>
            </w:r>
          </w:p>
        </w:tc>
        <w:tc>
          <w:tcPr>
            <w:tcW w:type="dxa" w:w="3317"/>
            <w:vAlign w:val="center"/>
            <w:tcMar>
              <w:top w:w="90" w:type="dxa"/>
              <w:start w:w="115" w:type="dxa"/>
              <w:bottom w:w="90" w:type="dxa"/>
              <w:end w:w="115" w:type="dxa"/>
            </w:tcMar>
          </w:tcPr>
          <w:p>
            <w:pPr>
              <w:spacing w:after="0" w:line="254" w:lineRule="auto"/>
            </w:pPr>
            <w:r>
              <w:rPr>
                <w:sz w:val="17"/>
              </w:rPr>
              <w:t>−1.9966</w:t>
            </w:r>
          </w:p>
        </w:tc>
        <w:tc>
          <w:tcPr>
            <w:tcW w:type="dxa" w:w="3317"/>
            <w:vAlign w:val="center"/>
            <w:tcMar>
              <w:top w:w="90" w:type="dxa"/>
              <w:start w:w="115" w:type="dxa"/>
              <w:bottom w:w="90" w:type="dxa"/>
              <w:end w:w="115" w:type="dxa"/>
            </w:tcMar>
          </w:tcPr>
          <w:p>
            <w:pPr>
              <w:spacing w:after="0" w:line="254" w:lineRule="auto"/>
            </w:pPr>
            <w:r>
              <w:rPr>
                <w:sz w:val="17"/>
              </w:rPr>
              <w:t>0.34%</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E7</w:t>
            </w:r>
          </w:p>
        </w:tc>
        <w:tc>
          <w:tcPr>
            <w:tcW w:type="dxa" w:w="3317"/>
            <w:vAlign w:val="center"/>
            <w:tcMar>
              <w:top w:w="90" w:type="dxa"/>
              <w:start w:w="115" w:type="dxa"/>
              <w:bottom w:w="90" w:type="dxa"/>
              <w:end w:w="115" w:type="dxa"/>
            </w:tcMar>
            <w:shd w:fill="F3F6F9"/>
          </w:tcPr>
          <w:p>
            <w:pPr>
              <w:spacing w:after="0" w:line="254" w:lineRule="auto"/>
            </w:pPr>
            <w:r>
              <w:rPr>
                <w:sz w:val="17"/>
              </w:rPr>
              <w:t>−1.1099</w:t>
            </w:r>
          </w:p>
        </w:tc>
        <w:tc>
          <w:tcPr>
            <w:tcW w:type="dxa" w:w="3317"/>
            <w:vAlign w:val="center"/>
            <w:tcMar>
              <w:top w:w="90" w:type="dxa"/>
              <w:start w:w="115" w:type="dxa"/>
              <w:bottom w:w="90" w:type="dxa"/>
              <w:end w:w="115" w:type="dxa"/>
            </w:tcMar>
            <w:shd w:fill="F3F6F9"/>
          </w:tcPr>
          <w:p>
            <w:pPr>
              <w:spacing w:after="0" w:line="254" w:lineRule="auto"/>
            </w:pPr>
            <w:r>
              <w:rPr>
                <w:sz w:val="17"/>
              </w:rPr>
              <w:t>89.01%</w:t>
            </w:r>
          </w:p>
        </w:tc>
      </w:tr>
      <w:tr>
        <w:trPr>
          <w:cantSplit/>
        </w:trPr>
        <w:tc>
          <w:tcPr>
            <w:tcW w:type="dxa" w:w="3317"/>
            <w:vAlign w:val="center"/>
            <w:tcMar>
              <w:top w:w="90" w:type="dxa"/>
              <w:start w:w="115" w:type="dxa"/>
              <w:bottom w:w="90" w:type="dxa"/>
              <w:end w:w="115" w:type="dxa"/>
            </w:tcMar>
          </w:tcPr>
          <w:p>
            <w:pPr>
              <w:spacing w:after="0" w:line="254" w:lineRule="auto"/>
            </w:pPr>
            <w:r>
              <w:rPr>
                <w:sz w:val="17"/>
              </w:rPr>
              <w:t>E8</w:t>
            </w:r>
          </w:p>
        </w:tc>
        <w:tc>
          <w:tcPr>
            <w:tcW w:type="dxa" w:w="3317"/>
            <w:vAlign w:val="center"/>
            <w:tcMar>
              <w:top w:w="90" w:type="dxa"/>
              <w:start w:w="115" w:type="dxa"/>
              <w:bottom w:w="90" w:type="dxa"/>
              <w:end w:w="115" w:type="dxa"/>
            </w:tcMar>
          </w:tcPr>
          <w:p>
            <w:pPr>
              <w:spacing w:after="0" w:line="254" w:lineRule="auto"/>
            </w:pPr>
            <w:r>
              <w:rPr>
                <w:sz w:val="17"/>
              </w:rPr>
              <w:t>−1.9966</w:t>
            </w:r>
          </w:p>
        </w:tc>
        <w:tc>
          <w:tcPr>
            <w:tcW w:type="dxa" w:w="3317"/>
            <w:vAlign w:val="center"/>
            <w:tcMar>
              <w:top w:w="90" w:type="dxa"/>
              <w:start w:w="115" w:type="dxa"/>
              <w:bottom w:w="90" w:type="dxa"/>
              <w:end w:w="115" w:type="dxa"/>
            </w:tcMar>
          </w:tcPr>
          <w:p>
            <w:pPr>
              <w:spacing w:after="0" w:line="254" w:lineRule="auto"/>
            </w:pPr>
            <w:r>
              <w:rPr>
                <w:sz w:val="17"/>
              </w:rPr>
              <w:t>0.34%</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7"/>
              </w:rPr>
              <w:t>E11</w:t>
            </w:r>
          </w:p>
        </w:tc>
        <w:tc>
          <w:tcPr>
            <w:tcW w:type="dxa" w:w="3317"/>
            <w:vAlign w:val="center"/>
            <w:tcMar>
              <w:top w:w="90" w:type="dxa"/>
              <w:start w:w="115" w:type="dxa"/>
              <w:bottom w:w="90" w:type="dxa"/>
              <w:end w:w="115" w:type="dxa"/>
            </w:tcMar>
            <w:shd w:fill="F3F6F9"/>
          </w:tcPr>
          <w:p>
            <w:pPr>
              <w:spacing w:after="0" w:line="254" w:lineRule="auto"/>
            </w:pPr>
            <w:r>
              <w:rPr>
                <w:sz w:val="17"/>
              </w:rPr>
              <w:t>−1.9943</w:t>
            </w:r>
          </w:p>
        </w:tc>
        <w:tc>
          <w:tcPr>
            <w:tcW w:type="dxa" w:w="3317"/>
            <w:vAlign w:val="center"/>
            <w:tcMar>
              <w:top w:w="90" w:type="dxa"/>
              <w:start w:w="115" w:type="dxa"/>
              <w:bottom w:w="90" w:type="dxa"/>
              <w:end w:w="115" w:type="dxa"/>
            </w:tcMar>
            <w:shd w:fill="F3F6F9"/>
          </w:tcPr>
          <w:p>
            <w:pPr>
              <w:spacing w:after="0" w:line="254" w:lineRule="auto"/>
            </w:pPr>
            <w:r>
              <w:rPr>
                <w:sz w:val="17"/>
              </w:rPr>
              <w:t>0.57%</w:t>
            </w:r>
          </w:p>
        </w:tc>
      </w:tr>
    </w:tbl>
    <w:p>
      <w:pPr>
        <w:spacing w:after="20"/>
      </w:pPr>
    </w:p>
    <w:p>
      <w:r>
        <w:rPr>
          <w:b/>
        </w:rPr>
        <w:t xml:space="preserve">Correct formula: </w:t>
      </w:r>
      <w:r>
        <w:t>invalid_rate = 1.0 − mean(program_executable.fillna(False).astype(bool)).</w:t>
      </w:r>
    </w:p>
    <w:p>
      <w:r>
        <w:t>This does not alter the independently validated FinQA execution/answer accuracies, but the metrics must be regenerated before figures, tables, and manuscript claims are finalized.</w:t>
      </w:r>
    </w:p>
    <w:p>
      <w:pPr>
        <w:pStyle w:val="Heading2"/>
      </w:pPr>
      <w:r>
        <w:t>17. Additional reproducibility cautions</w:t>
      </w:r>
    </w:p>
    <w:p>
      <w:pPr>
        <w:pStyle w:val="ListBullet"/>
      </w:pPr>
      <w:r>
        <w:t>Reconcile environment details in docs/exp_3(b).md against the actual exported environment.json. The package versions do not fully agree.</w:t>
      </w:r>
    </w:p>
    <w:p>
      <w:pPr>
        <w:pStyle w:val="ListBullet"/>
      </w:pPr>
      <w:r>
        <w:t>Do not use only the E16 selection score to claim one model dominates every task; inspect per-task trade-offs.</w:t>
      </w:r>
    </w:p>
    <w:p>
      <w:pPr>
        <w:pStyle w:val="ListBullet"/>
      </w:pPr>
      <w:r>
        <w:t>The training experiments use one seed. A two- or three-seed repeat of the decisive E5 vs E11 comparison would strengthen the claim, subject to compute budget.</w:t>
      </w:r>
    </w:p>
    <w:p>
      <w:pPr>
        <w:pStyle w:val="ListBullet"/>
      </w:pPr>
      <w:r>
        <w:t>Zero-shot execution accuracy is sensitive to strict output-format prompts and parsers. Report this limitation and consider a format-controlled baseline check.</w:t>
      </w:r>
    </w:p>
    <w:p>
      <w:pPr>
        <w:pStyle w:val="Heading1"/>
      </w:pPr>
      <w:r>
        <w:t>G. Why Phase-3.1 is needed before Phase-4</w:t>
      </w:r>
    </w:p>
    <w:p>
      <w:pPr>
        <w:pStyle w:val="Heading2"/>
      </w:pPr>
      <w:r>
        <w:t>18. Why not start Phase-4 immediately?</w:t>
      </w:r>
    </w:p>
    <w:p>
      <w:r>
        <w:t>Phase-3 has identified which technical weakness Phase-4 should target, but the research measurement and implementation interfaces need to be made defensible. Starting a new proposed method while an invalid metric, unverifiable adapter path, and incomplete trust evaluator mappings remain would make subsequent claims difficult to audit.</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Observed Phase-3 issue</w:t>
            </w:r>
          </w:p>
        </w:tc>
        <w:tc>
          <w:tcPr>
            <w:tcW w:type="dxa" w:w="3317"/>
            <w:shd w:fill="182B49"/>
            <w:tcMar>
              <w:top w:w="90" w:type="dxa"/>
              <w:start w:w="115" w:type="dxa"/>
              <w:bottom w:w="90" w:type="dxa"/>
              <w:end w:w="115" w:type="dxa"/>
            </w:tcMar>
          </w:tcPr>
          <w:p>
            <w:r>
              <w:rPr>
                <w:b/>
                <w:color w:val="FFFFFF"/>
                <w:sz w:val="16"/>
              </w:rPr>
              <w:t>Why it matters</w:t>
            </w:r>
          </w:p>
        </w:tc>
        <w:tc>
          <w:tcPr>
            <w:tcW w:type="dxa" w:w="3317"/>
            <w:shd w:fill="182B49"/>
            <w:tcMar>
              <w:top w:w="90" w:type="dxa"/>
              <w:start w:w="115" w:type="dxa"/>
              <w:bottom w:w="90" w:type="dxa"/>
              <w:end w:w="115" w:type="dxa"/>
            </w:tcMar>
          </w:tcPr>
          <w:p>
            <w:r>
              <w:rPr>
                <w:b/>
                <w:color w:val="FFFFFF"/>
                <w:sz w:val="16"/>
              </w:rPr>
              <w:t>Phase-3.1 response</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Negative invalid-program rates</w:t>
            </w:r>
          </w:p>
        </w:tc>
        <w:tc>
          <w:tcPr>
            <w:tcW w:type="dxa" w:w="3317"/>
            <w:vAlign w:val="center"/>
            <w:tcMar>
              <w:top w:w="90" w:type="dxa"/>
              <w:start w:w="115" w:type="dxa"/>
              <w:bottom w:w="90" w:type="dxa"/>
              <w:end w:w="115" w:type="dxa"/>
            </w:tcMar>
            <w:shd w:fill="F3F6F9"/>
          </w:tcPr>
          <w:p>
            <w:pPr>
              <w:spacing w:after="0" w:line="254" w:lineRule="auto"/>
            </w:pPr>
            <w:r>
              <w:rPr>
                <w:sz w:val="16"/>
              </w:rPr>
              <w:t>Tables would contain mathematically impossible findings</w:t>
            </w:r>
          </w:p>
        </w:tc>
        <w:tc>
          <w:tcPr>
            <w:tcW w:type="dxa" w:w="3317"/>
            <w:vAlign w:val="center"/>
            <w:tcMar>
              <w:top w:w="90" w:type="dxa"/>
              <w:start w:w="115" w:type="dxa"/>
              <w:bottom w:w="90" w:type="dxa"/>
              <w:end w:w="115" w:type="dxa"/>
            </w:tcMar>
            <w:shd w:fill="F3F6F9"/>
          </w:tcPr>
          <w:p>
            <w:pPr>
              <w:spacing w:after="0" w:line="254" w:lineRule="auto"/>
            </w:pPr>
            <w:r>
              <w:rPr>
                <w:sz w:val="16"/>
              </w:rPr>
              <w:t>Repair and re-export all derived metrics</w:t>
            </w:r>
          </w:p>
        </w:tc>
      </w:tr>
      <w:tr>
        <w:trPr>
          <w:cantSplit/>
        </w:trPr>
        <w:tc>
          <w:tcPr>
            <w:tcW w:type="dxa" w:w="3317"/>
            <w:vAlign w:val="center"/>
            <w:tcMar>
              <w:top w:w="90" w:type="dxa"/>
              <w:start w:w="115" w:type="dxa"/>
              <w:bottom w:w="90" w:type="dxa"/>
              <w:end w:w="115" w:type="dxa"/>
            </w:tcMar>
          </w:tcPr>
          <w:p>
            <w:pPr>
              <w:spacing w:after="0" w:line="254" w:lineRule="auto"/>
            </w:pPr>
            <w:r>
              <w:rPr>
                <w:sz w:val="16"/>
              </w:rPr>
              <w:t>Correct program / wrong text answer</w:t>
            </w:r>
          </w:p>
        </w:tc>
        <w:tc>
          <w:tcPr>
            <w:tcW w:type="dxa" w:w="3317"/>
            <w:vAlign w:val="center"/>
            <w:tcMar>
              <w:top w:w="90" w:type="dxa"/>
              <w:start w:w="115" w:type="dxa"/>
              <w:bottom w:w="90" w:type="dxa"/>
              <w:end w:w="115" w:type="dxa"/>
            </w:tcMar>
          </w:tcPr>
          <w:p>
            <w:pPr>
              <w:spacing w:after="0" w:line="254" w:lineRule="auto"/>
            </w:pPr>
            <w:r>
              <w:rPr>
                <w:sz w:val="16"/>
              </w:rPr>
              <w:t>Large recoverable final-answer loss</w:t>
            </w:r>
          </w:p>
        </w:tc>
        <w:tc>
          <w:tcPr>
            <w:tcW w:type="dxa" w:w="3317"/>
            <w:vAlign w:val="center"/>
            <w:tcMar>
              <w:top w:w="90" w:type="dxa"/>
              <w:start w:w="115" w:type="dxa"/>
              <w:bottom w:w="90" w:type="dxa"/>
              <w:end w:w="115" w:type="dxa"/>
            </w:tcMar>
          </w:tcPr>
          <w:p>
            <w:pPr>
              <w:spacing w:after="0" w:line="254" w:lineRule="auto"/>
            </w:pPr>
            <w:r>
              <w:rPr>
                <w:sz w:val="16"/>
              </w:rPr>
              <w:t>Independent execution/reconciliation audit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Valid programs can still be wrong</w:t>
            </w:r>
          </w:p>
        </w:tc>
        <w:tc>
          <w:tcPr>
            <w:tcW w:type="dxa" w:w="3317"/>
            <w:vAlign w:val="center"/>
            <w:tcMar>
              <w:top w:w="90" w:type="dxa"/>
              <w:start w:w="115" w:type="dxa"/>
              <w:bottom w:w="90" w:type="dxa"/>
              <w:end w:w="115" w:type="dxa"/>
            </w:tcMar>
            <w:shd w:fill="F3F6F9"/>
          </w:tcPr>
          <w:p>
            <w:pPr>
              <w:spacing w:after="0" w:line="254" w:lineRule="auto"/>
            </w:pPr>
            <w:r>
              <w:rPr>
                <w:sz w:val="16"/>
              </w:rPr>
              <w:t>A calculator is not a grounded verifier</w:t>
            </w:r>
          </w:p>
        </w:tc>
        <w:tc>
          <w:tcPr>
            <w:tcW w:type="dxa" w:w="3317"/>
            <w:vAlign w:val="center"/>
            <w:tcMar>
              <w:top w:w="90" w:type="dxa"/>
              <w:start w:w="115" w:type="dxa"/>
              <w:bottom w:w="90" w:type="dxa"/>
              <w:end w:w="115" w:type="dxa"/>
            </w:tcMar>
            <w:shd w:fill="F3F6F9"/>
          </w:tcPr>
          <w:p>
            <w:pPr>
              <w:spacing w:after="0" w:line="254" w:lineRule="auto"/>
            </w:pPr>
            <w:r>
              <w:rPr>
                <w:sz w:val="16"/>
              </w:rPr>
              <w:t>Operand + evidence-grounding labels and error cases</w:t>
            </w:r>
          </w:p>
        </w:tc>
      </w:tr>
      <w:tr>
        <w:trPr>
          <w:cantSplit/>
        </w:trPr>
        <w:tc>
          <w:tcPr>
            <w:tcW w:type="dxa" w:w="3317"/>
            <w:vAlign w:val="center"/>
            <w:tcMar>
              <w:top w:w="90" w:type="dxa"/>
              <w:start w:w="115" w:type="dxa"/>
              <w:bottom w:w="90" w:type="dxa"/>
              <w:end w:w="115" w:type="dxa"/>
            </w:tcMar>
          </w:tcPr>
          <w:p>
            <w:pPr>
              <w:spacing w:after="0" w:line="254" w:lineRule="auto"/>
            </w:pPr>
            <w:r>
              <w:rPr>
                <w:sz w:val="16"/>
              </w:rPr>
              <w:t>Weak confidence AUC 0.577</w:t>
            </w:r>
          </w:p>
        </w:tc>
        <w:tc>
          <w:tcPr>
            <w:tcW w:type="dxa" w:w="3317"/>
            <w:vAlign w:val="center"/>
            <w:tcMar>
              <w:top w:w="90" w:type="dxa"/>
              <w:start w:w="115" w:type="dxa"/>
              <w:bottom w:w="90" w:type="dxa"/>
              <w:end w:w="115" w:type="dxa"/>
            </w:tcMar>
          </w:tcPr>
          <w:p>
            <w:pPr>
              <w:spacing w:after="0" w:line="254" w:lineRule="auto"/>
            </w:pPr>
            <w:r>
              <w:rPr>
                <w:sz w:val="16"/>
              </w:rPr>
              <w:t>Raw likelihood does not reliably detect failures</w:t>
            </w:r>
          </w:p>
        </w:tc>
        <w:tc>
          <w:tcPr>
            <w:tcW w:type="dxa" w:w="3317"/>
            <w:vAlign w:val="center"/>
            <w:tcMar>
              <w:top w:w="90" w:type="dxa"/>
              <w:start w:w="115" w:type="dxa"/>
              <w:bottom w:w="90" w:type="dxa"/>
              <w:end w:w="115" w:type="dxa"/>
            </w:tcMar>
          </w:tcPr>
          <w:p>
            <w:pPr>
              <w:spacing w:after="0" w:line="254" w:lineRule="auto"/>
            </w:pPr>
            <w:r>
              <w:rPr>
                <w:sz w:val="16"/>
              </w:rPr>
              <w:t>Verifier-aware risk features and baseline assessment</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Heavy truncation</w:t>
            </w:r>
          </w:p>
        </w:tc>
        <w:tc>
          <w:tcPr>
            <w:tcW w:type="dxa" w:w="3317"/>
            <w:vAlign w:val="center"/>
            <w:tcMar>
              <w:top w:w="90" w:type="dxa"/>
              <w:start w:w="115" w:type="dxa"/>
              <w:bottom w:w="90" w:type="dxa"/>
              <w:end w:w="115" w:type="dxa"/>
            </w:tcMar>
            <w:shd w:fill="F3F6F9"/>
          </w:tcPr>
          <w:p>
            <w:pPr>
              <w:spacing w:after="0" w:line="254" w:lineRule="auto"/>
            </w:pPr>
            <w:r>
              <w:rPr>
                <w:sz w:val="16"/>
              </w:rPr>
              <w:t>Financial evidence may be missing from model context</w:t>
            </w:r>
          </w:p>
        </w:tc>
        <w:tc>
          <w:tcPr>
            <w:tcW w:type="dxa" w:w="3317"/>
            <w:vAlign w:val="center"/>
            <w:tcMar>
              <w:top w:w="90" w:type="dxa"/>
              <w:start w:w="115" w:type="dxa"/>
              <w:bottom w:w="90" w:type="dxa"/>
              <w:end w:w="115" w:type="dxa"/>
            </w:tcMar>
            <w:shd w:fill="F3F6F9"/>
          </w:tcPr>
          <w:p>
            <w:pPr>
              <w:spacing w:after="0" w:line="254" w:lineRule="auto"/>
            </w:pPr>
            <w:r>
              <w:rPr>
                <w:sz w:val="16"/>
              </w:rPr>
              <w:t>Quantify, stratify, test evidence-preserving prompts</w:t>
            </w:r>
          </w:p>
        </w:tc>
      </w:tr>
      <w:tr>
        <w:trPr>
          <w:cantSplit/>
        </w:trPr>
        <w:tc>
          <w:tcPr>
            <w:tcW w:type="dxa" w:w="3317"/>
            <w:vAlign w:val="center"/>
            <w:tcMar>
              <w:top w:w="90" w:type="dxa"/>
              <w:start w:w="115" w:type="dxa"/>
              <w:bottom w:w="90" w:type="dxa"/>
              <w:end w:w="115" w:type="dxa"/>
            </w:tcMar>
          </w:tcPr>
          <w:p>
            <w:pPr>
              <w:spacing w:after="0" w:line="254" w:lineRule="auto"/>
            </w:pPr>
            <w:r>
              <w:rPr>
                <w:sz w:val="16"/>
              </w:rPr>
              <w:t>Checkpoint absent from ZIP</w:t>
            </w:r>
          </w:p>
        </w:tc>
        <w:tc>
          <w:tcPr>
            <w:tcW w:type="dxa" w:w="3317"/>
            <w:vAlign w:val="center"/>
            <w:tcMar>
              <w:top w:w="90" w:type="dxa"/>
              <w:start w:w="115" w:type="dxa"/>
              <w:bottom w:w="90" w:type="dxa"/>
              <w:end w:w="115" w:type="dxa"/>
            </w:tcMar>
          </w:tcPr>
          <w:p>
            <w:pPr>
              <w:spacing w:after="0" w:line="254" w:lineRule="auto"/>
            </w:pPr>
            <w:r>
              <w:rPr>
                <w:sz w:val="16"/>
              </w:rPr>
              <w:t>Freeze cannot be reproduced from metadata alone</w:t>
            </w:r>
          </w:p>
        </w:tc>
        <w:tc>
          <w:tcPr>
            <w:tcW w:type="dxa" w:w="3317"/>
            <w:vAlign w:val="center"/>
            <w:tcMar>
              <w:top w:w="90" w:type="dxa"/>
              <w:start w:w="115" w:type="dxa"/>
              <w:bottom w:w="90" w:type="dxa"/>
              <w:end w:w="115" w:type="dxa"/>
            </w:tcMar>
          </w:tcPr>
          <w:p>
            <w:pPr>
              <w:spacing w:after="0" w:line="254" w:lineRule="auto"/>
            </w:pPr>
            <w:r>
              <w:rPr>
                <w:sz w:val="16"/>
              </w:rPr>
              <w:t>Fingerprint adapter and tokenizer files</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FinTrust evaluator gaps</w:t>
            </w:r>
          </w:p>
        </w:tc>
        <w:tc>
          <w:tcPr>
            <w:tcW w:type="dxa" w:w="3317"/>
            <w:vAlign w:val="center"/>
            <w:tcMar>
              <w:top w:w="90" w:type="dxa"/>
              <w:start w:w="115" w:type="dxa"/>
              <w:bottom w:w="90" w:type="dxa"/>
              <w:end w:w="115" w:type="dxa"/>
            </w:tcMar>
            <w:shd w:fill="F3F6F9"/>
          </w:tcPr>
          <w:p>
            <w:pPr>
              <w:spacing w:after="0" w:line="254" w:lineRule="auto"/>
            </w:pPr>
            <w:r>
              <w:rPr>
                <w:sz w:val="16"/>
              </w:rPr>
              <w:t>Incomplete seven-dimension scoring may bias the paper</w:t>
            </w:r>
          </w:p>
        </w:tc>
        <w:tc>
          <w:tcPr>
            <w:tcW w:type="dxa" w:w="3317"/>
            <w:vAlign w:val="center"/>
            <w:tcMar>
              <w:top w:w="90" w:type="dxa"/>
              <w:start w:w="115" w:type="dxa"/>
              <w:bottom w:w="90" w:type="dxa"/>
              <w:end w:w="115" w:type="dxa"/>
            </w:tcMar>
            <w:shd w:fill="F3F6F9"/>
          </w:tcPr>
          <w:p>
            <w:pPr>
              <w:spacing w:after="0" w:line="254" w:lineRule="auto"/>
            </w:pPr>
            <w:r>
              <w:rPr>
                <w:sz w:val="16"/>
              </w:rPr>
              <w:t>Explicit evaluator/metric mapping for each dimension</w:t>
            </w:r>
          </w:p>
        </w:tc>
      </w:tr>
    </w:tbl>
    <w:p>
      <w:pPr>
        <w:spacing w:after="20"/>
      </w:pPr>
    </w:p>
    <w:tbl>
      <w:tblPr>
        <w:tblW w:type="auto" w:w="0"/>
        <w:tblLayout w:type="fixed"/>
        <w:tblLook w:firstColumn="1" w:firstRow="1" w:lastColumn="0" w:lastRow="0" w:noHBand="0" w:noVBand="1" w:val="04A0"/>
      </w:tblPr>
      <w:tblGrid>
        <w:gridCol w:w="9648"/>
      </w:tblGrid>
      <w:tr>
        <w:tc>
          <w:tcPr>
            <w:tcW w:type="dxa" w:w="9950"/>
            <w:shd w:fill="EAF3F5"/>
            <w:tcMar>
              <w:top w:w="140" w:type="dxa"/>
              <w:start w:w="150" w:type="dxa"/>
              <w:bottom w:w="140" w:type="dxa"/>
              <w:end w:w="150" w:type="dxa"/>
            </w:tcMar>
          </w:tcPr>
          <w:p>
            <w:r>
              <w:rPr>
                <w:b/>
                <w:color w:val="087C86"/>
                <w:sz w:val="19"/>
              </w:rPr>
              <w:t xml:space="preserve">Definition of success   </w:t>
            </w:r>
            <w:r>
              <w:rPr>
                <w:sz w:val="19"/>
              </w:rPr>
              <w:t>Phase-3.1 does not need to beat E5 in model training. Its purpose is to ensure the results are correct, the baseline is reproducible, and the Phase-4 method can be evaluated fairly.</w:t>
            </w:r>
          </w:p>
        </w:tc>
      </w:tr>
    </w:tbl>
    <w:p>
      <w:pPr>
        <w:spacing w:after="0"/>
      </w:pPr>
    </w:p>
    <w:p>
      <w:pPr>
        <w:pStyle w:val="Heading2"/>
      </w:pPr>
      <w:r>
        <w:t>19. Phase-3.1 work packages and student allocation</w:t>
      </w:r>
    </w:p>
    <w:tbl>
      <w:tblPr>
        <w:tblStyle w:val="TableGrid"/>
        <w:tblW w:type="auto" w:w="0"/>
        <w:jc w:val="center"/>
        <w:tblLayout w:type="autofit"/>
        <w:tblLook w:firstColumn="1" w:firstRow="1" w:lastColumn="0" w:lastRow="0" w:noHBand="0" w:noVBand="1" w:val="04A0"/>
      </w:tblPr>
      <w:tblGrid>
        <w:gridCol w:w="2487"/>
        <w:gridCol w:w="2487"/>
        <w:gridCol w:w="2487"/>
        <w:gridCol w:w="2487"/>
      </w:tblGrid>
      <w:tr>
        <w:trPr>
          <w:tblHeader w:val="true"/>
        </w:trPr>
        <w:tc>
          <w:tcPr>
            <w:tcW w:type="dxa" w:w="2487"/>
            <w:shd w:fill="182B49"/>
            <w:tcMar>
              <w:top w:w="90" w:type="dxa"/>
              <w:start w:w="115" w:type="dxa"/>
              <w:bottom w:w="90" w:type="dxa"/>
              <w:end w:w="115" w:type="dxa"/>
            </w:tcMar>
          </w:tcPr>
          <w:p>
            <w:r>
              <w:rPr>
                <w:b/>
                <w:color w:val="FFFFFF"/>
                <w:sz w:val="16"/>
              </w:rPr>
              <w:t>Package</w:t>
            </w:r>
          </w:p>
        </w:tc>
        <w:tc>
          <w:tcPr>
            <w:tcW w:type="dxa" w:w="2487"/>
            <w:shd w:fill="182B49"/>
            <w:tcMar>
              <w:top w:w="90" w:type="dxa"/>
              <w:start w:w="115" w:type="dxa"/>
              <w:bottom w:w="90" w:type="dxa"/>
              <w:end w:w="115" w:type="dxa"/>
            </w:tcMar>
          </w:tcPr>
          <w:p>
            <w:r>
              <w:rPr>
                <w:b/>
                <w:color w:val="FFFFFF"/>
                <w:sz w:val="16"/>
              </w:rPr>
              <w:t>Task / deliverable</w:t>
            </w:r>
          </w:p>
        </w:tc>
        <w:tc>
          <w:tcPr>
            <w:tcW w:type="dxa" w:w="2487"/>
            <w:shd w:fill="182B49"/>
            <w:tcMar>
              <w:top w:w="90" w:type="dxa"/>
              <w:start w:w="115" w:type="dxa"/>
              <w:bottom w:w="90" w:type="dxa"/>
              <w:end w:w="115" w:type="dxa"/>
            </w:tcMar>
          </w:tcPr>
          <w:p>
            <w:r>
              <w:rPr>
                <w:b/>
                <w:color w:val="FFFFFF"/>
                <w:sz w:val="16"/>
              </w:rPr>
              <w:t>Suggested owner</w:t>
            </w:r>
          </w:p>
        </w:tc>
        <w:tc>
          <w:tcPr>
            <w:tcW w:type="dxa" w:w="2487"/>
            <w:shd w:fill="182B49"/>
            <w:tcMar>
              <w:top w:w="90" w:type="dxa"/>
              <w:start w:w="115" w:type="dxa"/>
              <w:bottom w:w="90" w:type="dxa"/>
              <w:end w:w="115" w:type="dxa"/>
            </w:tcMar>
          </w:tcPr>
          <w:p>
            <w:r>
              <w:rPr>
                <w:b/>
                <w:color w:val="FFFFFF"/>
                <w:sz w:val="16"/>
              </w:rPr>
              <w:t>Priority</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WP1</w:t>
            </w:r>
          </w:p>
        </w:tc>
        <w:tc>
          <w:tcPr>
            <w:tcW w:type="dxa" w:w="2487"/>
            <w:vAlign w:val="center"/>
            <w:tcMar>
              <w:top w:w="90" w:type="dxa"/>
              <w:start w:w="115" w:type="dxa"/>
              <w:bottom w:w="90" w:type="dxa"/>
              <w:end w:w="115" w:type="dxa"/>
            </w:tcMar>
            <w:shd w:fill="F3F6F9"/>
          </w:tcPr>
          <w:p>
            <w:pPr>
              <w:spacing w:after="0" w:line="254" w:lineRule="auto"/>
            </w:pPr>
            <w:r>
              <w:rPr>
                <w:sz w:val="15"/>
              </w:rPr>
              <w:t>Repair metrics &amp; regenerate E1–E16 tables + asserts</w:t>
            </w:r>
          </w:p>
        </w:tc>
        <w:tc>
          <w:tcPr>
            <w:tcW w:type="dxa" w:w="2487"/>
            <w:vAlign w:val="center"/>
            <w:tcMar>
              <w:top w:w="90" w:type="dxa"/>
              <w:start w:w="115" w:type="dxa"/>
              <w:bottom w:w="90" w:type="dxa"/>
              <w:end w:w="115" w:type="dxa"/>
            </w:tcMar>
            <w:shd w:fill="F3F6F9"/>
          </w:tcPr>
          <w:p>
            <w:pPr>
              <w:spacing w:after="0" w:line="254" w:lineRule="auto"/>
            </w:pPr>
            <w:r>
              <w:rPr>
                <w:sz w:val="15"/>
              </w:rPr>
              <w:t>Metrics/QA student</w:t>
            </w:r>
          </w:p>
        </w:tc>
        <w:tc>
          <w:tcPr>
            <w:tcW w:type="dxa" w:w="2487"/>
            <w:vAlign w:val="center"/>
            <w:tcMar>
              <w:top w:w="90" w:type="dxa"/>
              <w:start w:w="115" w:type="dxa"/>
              <w:bottom w:w="90" w:type="dxa"/>
              <w:end w:w="115" w:type="dxa"/>
            </w:tcMar>
            <w:shd w:fill="F3F6F9"/>
          </w:tcPr>
          <w:p>
            <w:pPr>
              <w:spacing w:after="0" w:line="254" w:lineRule="auto"/>
            </w:pPr>
            <w:r>
              <w:rPr>
                <w:sz w:val="15"/>
              </w:rPr>
              <w:t>P0</w:t>
            </w:r>
          </w:p>
        </w:tc>
      </w:tr>
      <w:tr>
        <w:trPr>
          <w:cantSplit/>
        </w:trPr>
        <w:tc>
          <w:tcPr>
            <w:tcW w:type="dxa" w:w="2487"/>
            <w:vAlign w:val="center"/>
            <w:tcMar>
              <w:top w:w="90" w:type="dxa"/>
              <w:start w:w="115" w:type="dxa"/>
              <w:bottom w:w="90" w:type="dxa"/>
              <w:end w:w="115" w:type="dxa"/>
            </w:tcMar>
          </w:tcPr>
          <w:p>
            <w:pPr>
              <w:spacing w:after="0" w:line="254" w:lineRule="auto"/>
            </w:pPr>
            <w:r>
              <w:rPr>
                <w:sz w:val="15"/>
              </w:rPr>
              <w:t>WP2</w:t>
            </w:r>
          </w:p>
        </w:tc>
        <w:tc>
          <w:tcPr>
            <w:tcW w:type="dxa" w:w="2487"/>
            <w:vAlign w:val="center"/>
            <w:tcMar>
              <w:top w:w="90" w:type="dxa"/>
              <w:start w:w="115" w:type="dxa"/>
              <w:bottom w:w="90" w:type="dxa"/>
              <w:end w:w="115" w:type="dxa"/>
            </w:tcMar>
          </w:tcPr>
          <w:p>
            <w:pPr>
              <w:spacing w:after="0" w:line="254" w:lineRule="auto"/>
            </w:pPr>
            <w:r>
              <w:rPr>
                <w:sz w:val="15"/>
              </w:rPr>
              <w:t>Independent execution, answer-reconciliation contingency</w:t>
            </w:r>
          </w:p>
        </w:tc>
        <w:tc>
          <w:tcPr>
            <w:tcW w:type="dxa" w:w="2487"/>
            <w:vAlign w:val="center"/>
            <w:tcMar>
              <w:top w:w="90" w:type="dxa"/>
              <w:start w:w="115" w:type="dxa"/>
              <w:bottom w:w="90" w:type="dxa"/>
              <w:end w:w="115" w:type="dxa"/>
            </w:tcMar>
          </w:tcPr>
          <w:p>
            <w:pPr>
              <w:spacing w:after="0" w:line="254" w:lineRule="auto"/>
            </w:pPr>
            <w:r>
              <w:rPr>
                <w:sz w:val="15"/>
              </w:rPr>
              <w:t>FinQA evaluation student</w:t>
            </w:r>
          </w:p>
        </w:tc>
        <w:tc>
          <w:tcPr>
            <w:tcW w:type="dxa" w:w="2487"/>
            <w:vAlign w:val="center"/>
            <w:tcMar>
              <w:top w:w="90" w:type="dxa"/>
              <w:start w:w="115" w:type="dxa"/>
              <w:bottom w:w="90" w:type="dxa"/>
              <w:end w:w="115" w:type="dxa"/>
            </w:tcMar>
          </w:tcPr>
          <w:p>
            <w:pPr>
              <w:spacing w:after="0" w:line="254" w:lineRule="auto"/>
            </w:pPr>
            <w:r>
              <w:rPr>
                <w:sz w:val="15"/>
              </w:rPr>
              <w:t>P0</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WP3</w:t>
            </w:r>
          </w:p>
        </w:tc>
        <w:tc>
          <w:tcPr>
            <w:tcW w:type="dxa" w:w="2487"/>
            <w:vAlign w:val="center"/>
            <w:tcMar>
              <w:top w:w="90" w:type="dxa"/>
              <w:start w:w="115" w:type="dxa"/>
              <w:bottom w:w="90" w:type="dxa"/>
              <w:end w:w="115" w:type="dxa"/>
            </w:tcMar>
            <w:shd w:fill="F3F6F9"/>
          </w:tcPr>
          <w:p>
            <w:pPr>
              <w:spacing w:after="0" w:line="254" w:lineRule="auto"/>
            </w:pPr>
            <w:r>
              <w:rPr>
                <w:sz w:val="15"/>
              </w:rPr>
              <w:t>Gold-free operand grounding and verifier design</w:t>
            </w:r>
          </w:p>
        </w:tc>
        <w:tc>
          <w:tcPr>
            <w:tcW w:type="dxa" w:w="2487"/>
            <w:vAlign w:val="center"/>
            <w:tcMar>
              <w:top w:w="90" w:type="dxa"/>
              <w:start w:w="115" w:type="dxa"/>
              <w:bottom w:w="90" w:type="dxa"/>
              <w:end w:w="115" w:type="dxa"/>
            </w:tcMar>
            <w:shd w:fill="F3F6F9"/>
          </w:tcPr>
          <w:p>
            <w:pPr>
              <w:spacing w:after="0" w:line="254" w:lineRule="auto"/>
            </w:pPr>
            <w:r>
              <w:rPr>
                <w:sz w:val="15"/>
              </w:rPr>
              <w:t>Reasoning-method student</w:t>
            </w:r>
          </w:p>
        </w:tc>
        <w:tc>
          <w:tcPr>
            <w:tcW w:type="dxa" w:w="2487"/>
            <w:vAlign w:val="center"/>
            <w:tcMar>
              <w:top w:w="90" w:type="dxa"/>
              <w:start w:w="115" w:type="dxa"/>
              <w:bottom w:w="90" w:type="dxa"/>
              <w:end w:w="115" w:type="dxa"/>
            </w:tcMar>
            <w:shd w:fill="F3F6F9"/>
          </w:tcPr>
          <w:p>
            <w:pPr>
              <w:spacing w:after="0" w:line="254" w:lineRule="auto"/>
            </w:pPr>
            <w:r>
              <w:rPr>
                <w:sz w:val="15"/>
              </w:rPr>
              <w:t>P0</w:t>
            </w:r>
          </w:p>
        </w:tc>
      </w:tr>
      <w:tr>
        <w:trPr>
          <w:cantSplit/>
        </w:trPr>
        <w:tc>
          <w:tcPr>
            <w:tcW w:type="dxa" w:w="2487"/>
            <w:vAlign w:val="center"/>
            <w:tcMar>
              <w:top w:w="90" w:type="dxa"/>
              <w:start w:w="115" w:type="dxa"/>
              <w:bottom w:w="90" w:type="dxa"/>
              <w:end w:w="115" w:type="dxa"/>
            </w:tcMar>
          </w:tcPr>
          <w:p>
            <w:pPr>
              <w:spacing w:after="0" w:line="254" w:lineRule="auto"/>
            </w:pPr>
            <w:r>
              <w:rPr>
                <w:sz w:val="15"/>
              </w:rPr>
              <w:t>WP4</w:t>
            </w:r>
          </w:p>
        </w:tc>
        <w:tc>
          <w:tcPr>
            <w:tcW w:type="dxa" w:w="2487"/>
            <w:vAlign w:val="center"/>
            <w:tcMar>
              <w:top w:w="90" w:type="dxa"/>
              <w:start w:w="115" w:type="dxa"/>
              <w:bottom w:w="90" w:type="dxa"/>
              <w:end w:w="115" w:type="dxa"/>
            </w:tcMar>
          </w:tcPr>
          <w:p>
            <w:pPr>
              <w:spacing w:after="0" w:line="254" w:lineRule="auto"/>
            </w:pPr>
            <w:r>
              <w:rPr>
                <w:sz w:val="15"/>
              </w:rPr>
              <w:t>Risk-feature audit &amp; task-aware confidence study</w:t>
            </w:r>
          </w:p>
        </w:tc>
        <w:tc>
          <w:tcPr>
            <w:tcW w:type="dxa" w:w="2487"/>
            <w:vAlign w:val="center"/>
            <w:tcMar>
              <w:top w:w="90" w:type="dxa"/>
              <w:start w:w="115" w:type="dxa"/>
              <w:bottom w:w="90" w:type="dxa"/>
              <w:end w:w="115" w:type="dxa"/>
            </w:tcMar>
          </w:tcPr>
          <w:p>
            <w:pPr>
              <w:spacing w:after="0" w:line="254" w:lineRule="auto"/>
            </w:pPr>
            <w:r>
              <w:rPr>
                <w:sz w:val="15"/>
              </w:rPr>
              <w:t>Trust/uncertainty student</w:t>
            </w:r>
          </w:p>
        </w:tc>
        <w:tc>
          <w:tcPr>
            <w:tcW w:type="dxa" w:w="2487"/>
            <w:vAlign w:val="center"/>
            <w:tcMar>
              <w:top w:w="90" w:type="dxa"/>
              <w:start w:w="115" w:type="dxa"/>
              <w:bottom w:w="90" w:type="dxa"/>
              <w:end w:w="115" w:type="dxa"/>
            </w:tcMar>
          </w:tcPr>
          <w:p>
            <w:pPr>
              <w:spacing w:after="0" w:line="254" w:lineRule="auto"/>
            </w:pPr>
            <w:r>
              <w:rPr>
                <w:sz w:val="15"/>
              </w:rPr>
              <w:t>P0</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WP5</w:t>
            </w:r>
          </w:p>
        </w:tc>
        <w:tc>
          <w:tcPr>
            <w:tcW w:type="dxa" w:w="2487"/>
            <w:vAlign w:val="center"/>
            <w:tcMar>
              <w:top w:w="90" w:type="dxa"/>
              <w:start w:w="115" w:type="dxa"/>
              <w:bottom w:w="90" w:type="dxa"/>
              <w:end w:w="115" w:type="dxa"/>
            </w:tcMar>
            <w:shd w:fill="F3F6F9"/>
          </w:tcPr>
          <w:p>
            <w:pPr>
              <w:spacing w:after="0" w:line="254" w:lineRule="auto"/>
            </w:pPr>
            <w:r>
              <w:rPr>
                <w:sz w:val="15"/>
              </w:rPr>
              <w:t>Checkpoint fingerprint + environment consistency</w:t>
            </w:r>
          </w:p>
        </w:tc>
        <w:tc>
          <w:tcPr>
            <w:tcW w:type="dxa" w:w="2487"/>
            <w:vAlign w:val="center"/>
            <w:tcMar>
              <w:top w:w="90" w:type="dxa"/>
              <w:start w:w="115" w:type="dxa"/>
              <w:bottom w:w="90" w:type="dxa"/>
              <w:end w:w="115" w:type="dxa"/>
            </w:tcMar>
            <w:shd w:fill="F3F6F9"/>
          </w:tcPr>
          <w:p>
            <w:pPr>
              <w:spacing w:after="0" w:line="254" w:lineRule="auto"/>
            </w:pPr>
            <w:r>
              <w:rPr>
                <w:sz w:val="15"/>
              </w:rPr>
              <w:t>Reproducibility student</w:t>
            </w:r>
          </w:p>
        </w:tc>
        <w:tc>
          <w:tcPr>
            <w:tcW w:type="dxa" w:w="2487"/>
            <w:vAlign w:val="center"/>
            <w:tcMar>
              <w:top w:w="90" w:type="dxa"/>
              <w:start w:w="115" w:type="dxa"/>
              <w:bottom w:w="90" w:type="dxa"/>
              <w:end w:w="115" w:type="dxa"/>
            </w:tcMar>
            <w:shd w:fill="F3F6F9"/>
          </w:tcPr>
          <w:p>
            <w:pPr>
              <w:spacing w:after="0" w:line="254" w:lineRule="auto"/>
            </w:pPr>
            <w:r>
              <w:rPr>
                <w:sz w:val="15"/>
              </w:rPr>
              <w:t>P0</w:t>
            </w:r>
          </w:p>
        </w:tc>
      </w:tr>
      <w:tr>
        <w:trPr>
          <w:cantSplit/>
        </w:trPr>
        <w:tc>
          <w:tcPr>
            <w:tcW w:type="dxa" w:w="2487"/>
            <w:vAlign w:val="center"/>
            <w:tcMar>
              <w:top w:w="90" w:type="dxa"/>
              <w:start w:w="115" w:type="dxa"/>
              <w:bottom w:w="90" w:type="dxa"/>
              <w:end w:w="115" w:type="dxa"/>
            </w:tcMar>
          </w:tcPr>
          <w:p>
            <w:pPr>
              <w:spacing w:after="0" w:line="254" w:lineRule="auto"/>
            </w:pPr>
            <w:r>
              <w:rPr>
                <w:sz w:val="15"/>
              </w:rPr>
              <w:t>WP6</w:t>
            </w:r>
          </w:p>
        </w:tc>
        <w:tc>
          <w:tcPr>
            <w:tcW w:type="dxa" w:w="2487"/>
            <w:vAlign w:val="center"/>
            <w:tcMar>
              <w:top w:w="90" w:type="dxa"/>
              <w:start w:w="115" w:type="dxa"/>
              <w:bottom w:w="90" w:type="dxa"/>
              <w:end w:w="115" w:type="dxa"/>
            </w:tcMar>
          </w:tcPr>
          <w:p>
            <w:pPr>
              <w:spacing w:after="0" w:line="254" w:lineRule="auto"/>
            </w:pPr>
            <w:r>
              <w:rPr>
                <w:sz w:val="15"/>
              </w:rPr>
              <w:t>Truncation + evidence-preserving validation pilot</w:t>
            </w:r>
          </w:p>
        </w:tc>
        <w:tc>
          <w:tcPr>
            <w:tcW w:type="dxa" w:w="2487"/>
            <w:vAlign w:val="center"/>
            <w:tcMar>
              <w:top w:w="90" w:type="dxa"/>
              <w:start w:w="115" w:type="dxa"/>
              <w:bottom w:w="90" w:type="dxa"/>
              <w:end w:w="115" w:type="dxa"/>
            </w:tcMar>
          </w:tcPr>
          <w:p>
            <w:pPr>
              <w:spacing w:after="0" w:line="254" w:lineRule="auto"/>
            </w:pPr>
            <w:r>
              <w:rPr>
                <w:sz w:val="15"/>
              </w:rPr>
              <w:t>Data/prompt student</w:t>
            </w:r>
          </w:p>
        </w:tc>
        <w:tc>
          <w:tcPr>
            <w:tcW w:type="dxa" w:w="2487"/>
            <w:vAlign w:val="center"/>
            <w:tcMar>
              <w:top w:w="90" w:type="dxa"/>
              <w:start w:w="115" w:type="dxa"/>
              <w:bottom w:w="90" w:type="dxa"/>
              <w:end w:w="115" w:type="dxa"/>
            </w:tcMar>
          </w:tcPr>
          <w:p>
            <w:pPr>
              <w:spacing w:after="0" w:line="254" w:lineRule="auto"/>
            </w:pPr>
            <w:r>
              <w:rPr>
                <w:sz w:val="15"/>
              </w:rPr>
              <w:t>P1</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5"/>
              </w:rPr>
              <w:t>WP7</w:t>
            </w:r>
          </w:p>
        </w:tc>
        <w:tc>
          <w:tcPr>
            <w:tcW w:type="dxa" w:w="2487"/>
            <w:vAlign w:val="center"/>
            <w:tcMar>
              <w:top w:w="90" w:type="dxa"/>
              <w:start w:w="115" w:type="dxa"/>
              <w:bottom w:w="90" w:type="dxa"/>
              <w:end w:w="115" w:type="dxa"/>
            </w:tcMar>
            <w:shd w:fill="F3F6F9"/>
          </w:tcPr>
          <w:p>
            <w:pPr>
              <w:spacing w:after="0" w:line="254" w:lineRule="auto"/>
            </w:pPr>
            <w:r>
              <w:rPr>
                <w:sz w:val="15"/>
              </w:rPr>
              <w:t>FinTrust scoring contracts, seven dimensions</w:t>
            </w:r>
          </w:p>
        </w:tc>
        <w:tc>
          <w:tcPr>
            <w:tcW w:type="dxa" w:w="2487"/>
            <w:vAlign w:val="center"/>
            <w:tcMar>
              <w:top w:w="90" w:type="dxa"/>
              <w:start w:w="115" w:type="dxa"/>
              <w:bottom w:w="90" w:type="dxa"/>
              <w:end w:w="115" w:type="dxa"/>
            </w:tcMar>
            <w:shd w:fill="F3F6F9"/>
          </w:tcPr>
          <w:p>
            <w:pPr>
              <w:spacing w:after="0" w:line="254" w:lineRule="auto"/>
            </w:pPr>
            <w:r>
              <w:rPr>
                <w:sz w:val="15"/>
              </w:rPr>
              <w:t>Benchmark student</w:t>
            </w:r>
          </w:p>
        </w:tc>
        <w:tc>
          <w:tcPr>
            <w:tcW w:type="dxa" w:w="2487"/>
            <w:vAlign w:val="center"/>
            <w:tcMar>
              <w:top w:w="90" w:type="dxa"/>
              <w:start w:w="115" w:type="dxa"/>
              <w:bottom w:w="90" w:type="dxa"/>
              <w:end w:w="115" w:type="dxa"/>
            </w:tcMar>
            <w:shd w:fill="F3F6F9"/>
          </w:tcPr>
          <w:p>
            <w:pPr>
              <w:spacing w:after="0" w:line="254" w:lineRule="auto"/>
            </w:pPr>
            <w:r>
              <w:rPr>
                <w:sz w:val="15"/>
              </w:rPr>
              <w:t>P0</w:t>
            </w:r>
          </w:p>
        </w:tc>
      </w:tr>
      <w:tr>
        <w:trPr>
          <w:cantSplit/>
        </w:trPr>
        <w:tc>
          <w:tcPr>
            <w:tcW w:type="dxa" w:w="2487"/>
            <w:vAlign w:val="center"/>
            <w:tcMar>
              <w:top w:w="90" w:type="dxa"/>
              <w:start w:w="115" w:type="dxa"/>
              <w:bottom w:w="90" w:type="dxa"/>
              <w:end w:w="115" w:type="dxa"/>
            </w:tcMar>
          </w:tcPr>
          <w:p>
            <w:pPr>
              <w:spacing w:after="0" w:line="254" w:lineRule="auto"/>
            </w:pPr>
            <w:r>
              <w:rPr>
                <w:sz w:val="15"/>
              </w:rPr>
              <w:t>WP8</w:t>
            </w:r>
          </w:p>
        </w:tc>
        <w:tc>
          <w:tcPr>
            <w:tcW w:type="dxa" w:w="2487"/>
            <w:vAlign w:val="center"/>
            <w:tcMar>
              <w:top w:w="90" w:type="dxa"/>
              <w:start w:w="115" w:type="dxa"/>
              <w:bottom w:w="90" w:type="dxa"/>
              <w:end w:w="115" w:type="dxa"/>
            </w:tcMar>
          </w:tcPr>
          <w:p>
            <w:pPr>
              <w:spacing w:after="0" w:line="254" w:lineRule="auto"/>
            </w:pPr>
            <w:r>
              <w:rPr>
                <w:sz w:val="15"/>
              </w:rPr>
              <w:t>Prepare protocol freeze and research notes</w:t>
            </w:r>
          </w:p>
        </w:tc>
        <w:tc>
          <w:tcPr>
            <w:tcW w:type="dxa" w:w="2487"/>
            <w:vAlign w:val="center"/>
            <w:tcMar>
              <w:top w:w="90" w:type="dxa"/>
              <w:start w:w="115" w:type="dxa"/>
              <w:bottom w:w="90" w:type="dxa"/>
              <w:end w:w="115" w:type="dxa"/>
            </w:tcMar>
          </w:tcPr>
          <w:p>
            <w:pPr>
              <w:spacing w:after="0" w:line="254" w:lineRule="auto"/>
            </w:pPr>
            <w:r>
              <w:rPr>
                <w:sz w:val="15"/>
              </w:rPr>
              <w:t>Research lead</w:t>
            </w:r>
          </w:p>
        </w:tc>
        <w:tc>
          <w:tcPr>
            <w:tcW w:type="dxa" w:w="2487"/>
            <w:vAlign w:val="center"/>
            <w:tcMar>
              <w:top w:w="90" w:type="dxa"/>
              <w:start w:w="115" w:type="dxa"/>
              <w:bottom w:w="90" w:type="dxa"/>
              <w:end w:w="115" w:type="dxa"/>
            </w:tcMar>
          </w:tcPr>
          <w:p>
            <w:pPr>
              <w:spacing w:after="0" w:line="254" w:lineRule="auto"/>
            </w:pPr>
            <w:r>
              <w:rPr>
                <w:sz w:val="15"/>
              </w:rPr>
              <w:t>P0</w:t>
            </w:r>
          </w:p>
        </w:tc>
      </w:tr>
    </w:tbl>
    <w:p>
      <w:pPr>
        <w:spacing w:after="20"/>
      </w:pPr>
    </w:p>
    <w:p>
      <w:pPr>
        <w:pStyle w:val="Heading2"/>
      </w:pPr>
      <w:r>
        <w:t>20. Sequence for students: what to run and check</w:t>
      </w:r>
    </w:p>
    <w:p>
      <w:pPr>
        <w:pStyle w:val="ListNumber"/>
      </w:pPr>
      <w:r>
        <w:t>Make a read-only backup of Phase-2.1 and Phase-3 outputs. Never overwrite the original prediction CSVs or the frozen E5 weights.</w:t>
      </w:r>
    </w:p>
    <w:p>
      <w:pPr>
        <w:pStyle w:val="ListNumber"/>
      </w:pPr>
      <w:r>
        <w:t>Rerun metric computation from raw prediction CSVs and assert every rate is between 0 and 1. Produce a before/after correction table.</w:t>
      </w:r>
    </w:p>
    <w:p>
      <w:pPr>
        <w:pStyle w:val="ListNumber"/>
      </w:pPr>
      <w:r>
        <w:t>For each FinQA prediction, compare raw ANSWER text, executable program result, and gold execution result. Export four-way contingency and representative errors.</w:t>
      </w:r>
    </w:p>
    <w:p>
      <w:pPr>
        <w:pStyle w:val="ListNumber"/>
      </w:pPr>
      <w:r>
        <w:t>Validate operand typing, allowed functions and whether numerical operands can be mapped to provided financial evidence. Mark grounding as “verified”, “unsupported”, or “indeterminate” rather than assuming numbers are grounded.</w:t>
      </w:r>
    </w:p>
    <w:p>
      <w:pPr>
        <w:pStyle w:val="ListNumber"/>
      </w:pPr>
      <w:r>
        <w:t>Recompute confidence diagnostics for the frozen task-specific prompts. Do not select abstention thresholds using protected tests.</w:t>
      </w:r>
    </w:p>
    <w:p>
      <w:pPr>
        <w:pStyle w:val="ListNumber"/>
      </w:pPr>
      <w:r>
        <w:t>Analyze capped versus uncapped contexts and run an evidence-preservation pilot on validation data only; maintain a separate result ID for any added experiment.</w:t>
      </w:r>
    </w:p>
    <w:p>
      <w:pPr>
        <w:pStyle w:val="ListNumber"/>
      </w:pPr>
      <w:r>
        <w:t>Record hashes and exact revisions for the E5 adapter, tokenizer files and model. Correct provenance mismatches between docs and manifests.</w:t>
      </w:r>
    </w:p>
    <w:p>
      <w:pPr>
        <w:pStyle w:val="ListNumber"/>
      </w:pPr>
      <w:r>
        <w:t>Map official metrics and evaluation scripts for each FinTrust dimension and document any dimension whose protocol cannot yet be reproduced.</w:t>
      </w:r>
    </w:p>
    <w:p>
      <w:pPr>
        <w:pStyle w:val="ListNumber"/>
      </w:pPr>
      <w:r>
        <w:t>Generate a final Phase-3.1 readiness report with PASS/WARN/FAIL gates and a frozen Phase-4 input contract.</w:t>
      </w:r>
    </w:p>
    <w:p>
      <w:pPr>
        <w:pStyle w:val="Heading1"/>
      </w:pPr>
      <w:r>
        <w:t>H. Phase-4 plan after Phase-3.1</w:t>
      </w:r>
    </w:p>
    <w:p>
      <w:pPr>
        <w:pStyle w:val="Heading2"/>
      </w:pPr>
      <w:r>
        <w:t>21. Proposed TrustFin-SLM components</w:t>
      </w:r>
    </w:p>
    <w:p>
      <w:r>
        <w:t>The recommended methodology keeps the E5 model fixed. It adds interpretable post-generation components rather than a second large model: (1) program syntax/type validation; (2) deterministic execution; (3) evidence grounding for numerical operands; (4) risk/confidence estimation; and (5) task-aware answer or abstain decisions.</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trPr>
        <w:tc>
          <w:tcPr>
            <w:tcW w:type="dxa" w:w="3317"/>
            <w:shd w:fill="182B49"/>
            <w:tcMar>
              <w:top w:w="90" w:type="dxa"/>
              <w:start w:w="115" w:type="dxa"/>
              <w:bottom w:w="90" w:type="dxa"/>
              <w:end w:w="115" w:type="dxa"/>
            </w:tcMar>
          </w:tcPr>
          <w:p>
            <w:r>
              <w:rPr>
                <w:b/>
                <w:color w:val="FFFFFF"/>
                <w:sz w:val="16"/>
              </w:rPr>
              <w:t>Experiment</w:t>
            </w:r>
          </w:p>
        </w:tc>
        <w:tc>
          <w:tcPr>
            <w:tcW w:type="dxa" w:w="3317"/>
            <w:shd w:fill="182B49"/>
            <w:tcMar>
              <w:top w:w="90" w:type="dxa"/>
              <w:start w:w="115" w:type="dxa"/>
              <w:bottom w:w="90" w:type="dxa"/>
              <w:end w:w="115" w:type="dxa"/>
            </w:tcMar>
          </w:tcPr>
          <w:p>
            <w:r>
              <w:rPr>
                <w:b/>
                <w:color w:val="FFFFFF"/>
                <w:sz w:val="16"/>
              </w:rPr>
              <w:t>Configuration</w:t>
            </w:r>
          </w:p>
        </w:tc>
        <w:tc>
          <w:tcPr>
            <w:tcW w:type="dxa" w:w="3317"/>
            <w:shd w:fill="182B49"/>
            <w:tcMar>
              <w:top w:w="90" w:type="dxa"/>
              <w:start w:w="115" w:type="dxa"/>
              <w:bottom w:w="90" w:type="dxa"/>
              <w:end w:w="115" w:type="dxa"/>
            </w:tcMar>
          </w:tcPr>
          <w:p>
            <w:r>
              <w:rPr>
                <w:b/>
                <w:color w:val="FFFFFF"/>
                <w:sz w:val="16"/>
              </w:rPr>
              <w:t>Question</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P4-B0</w:t>
            </w:r>
          </w:p>
        </w:tc>
        <w:tc>
          <w:tcPr>
            <w:tcW w:type="dxa" w:w="3317"/>
            <w:vAlign w:val="center"/>
            <w:tcMar>
              <w:top w:w="90" w:type="dxa"/>
              <w:start w:w="115" w:type="dxa"/>
              <w:bottom w:w="90" w:type="dxa"/>
              <w:end w:w="115" w:type="dxa"/>
            </w:tcMar>
            <w:shd w:fill="F3F6F9"/>
          </w:tcPr>
          <w:p>
            <w:pPr>
              <w:spacing w:after="0" w:line="254" w:lineRule="auto"/>
            </w:pPr>
            <w:r>
              <w:rPr>
                <w:sz w:val="16"/>
              </w:rPr>
              <w:t>Frozen E5 raw ANSWER</w:t>
            </w:r>
          </w:p>
        </w:tc>
        <w:tc>
          <w:tcPr>
            <w:tcW w:type="dxa" w:w="3317"/>
            <w:vAlign w:val="center"/>
            <w:tcMar>
              <w:top w:w="90" w:type="dxa"/>
              <w:start w:w="115" w:type="dxa"/>
              <w:bottom w:w="90" w:type="dxa"/>
              <w:end w:w="115" w:type="dxa"/>
            </w:tcMar>
            <w:shd w:fill="F3F6F9"/>
          </w:tcPr>
          <w:p>
            <w:pPr>
              <w:spacing w:after="0" w:line="254" w:lineRule="auto"/>
            </w:pPr>
            <w:r>
              <w:rPr>
                <w:sz w:val="16"/>
              </w:rPr>
              <w:t>How accurate is the original generated text?</w:t>
            </w:r>
          </w:p>
        </w:tc>
      </w:tr>
      <w:tr>
        <w:trPr>
          <w:cantSplit/>
        </w:trPr>
        <w:tc>
          <w:tcPr>
            <w:tcW w:type="dxa" w:w="3317"/>
            <w:vAlign w:val="center"/>
            <w:tcMar>
              <w:top w:w="90" w:type="dxa"/>
              <w:start w:w="115" w:type="dxa"/>
              <w:bottom w:w="90" w:type="dxa"/>
              <w:end w:w="115" w:type="dxa"/>
            </w:tcMar>
          </w:tcPr>
          <w:p>
            <w:pPr>
              <w:spacing w:after="0" w:line="254" w:lineRule="auto"/>
            </w:pPr>
            <w:r>
              <w:rPr>
                <w:sz w:val="16"/>
              </w:rPr>
              <w:t>P4-B1</w:t>
            </w:r>
          </w:p>
        </w:tc>
        <w:tc>
          <w:tcPr>
            <w:tcW w:type="dxa" w:w="3317"/>
            <w:vAlign w:val="center"/>
            <w:tcMar>
              <w:top w:w="90" w:type="dxa"/>
              <w:start w:w="115" w:type="dxa"/>
              <w:bottom w:w="90" w:type="dxa"/>
              <w:end w:w="115" w:type="dxa"/>
            </w:tcMar>
          </w:tcPr>
          <w:p>
            <w:pPr>
              <w:spacing w:after="0" w:line="254" w:lineRule="auto"/>
            </w:pPr>
            <w:r>
              <w:rPr>
                <w:sz w:val="16"/>
              </w:rPr>
              <w:t>E5 + deterministic program execution</w:t>
            </w:r>
          </w:p>
        </w:tc>
        <w:tc>
          <w:tcPr>
            <w:tcW w:type="dxa" w:w="3317"/>
            <w:vAlign w:val="center"/>
            <w:tcMar>
              <w:top w:w="90" w:type="dxa"/>
              <w:start w:w="115" w:type="dxa"/>
              <w:bottom w:w="90" w:type="dxa"/>
              <w:end w:w="115" w:type="dxa"/>
            </w:tcMar>
          </w:tcPr>
          <w:p>
            <w:pPr>
              <w:spacing w:after="0" w:line="254" w:lineRule="auto"/>
            </w:pPr>
            <w:r>
              <w:rPr>
                <w:sz w:val="16"/>
              </w:rPr>
              <w:t>How much arithmetic correction is recoverable?</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P4-B2</w:t>
            </w:r>
          </w:p>
        </w:tc>
        <w:tc>
          <w:tcPr>
            <w:tcW w:type="dxa" w:w="3317"/>
            <w:vAlign w:val="center"/>
            <w:tcMar>
              <w:top w:w="90" w:type="dxa"/>
              <w:start w:w="115" w:type="dxa"/>
              <w:bottom w:w="90" w:type="dxa"/>
              <w:end w:w="115" w:type="dxa"/>
            </w:tcMar>
            <w:shd w:fill="F3F6F9"/>
          </w:tcPr>
          <w:p>
            <w:pPr>
              <w:spacing w:after="0" w:line="254" w:lineRule="auto"/>
            </w:pPr>
            <w:r>
              <w:rPr>
                <w:sz w:val="16"/>
              </w:rPr>
              <w:t>E5 + typed, grounded program verification</w:t>
            </w:r>
          </w:p>
        </w:tc>
        <w:tc>
          <w:tcPr>
            <w:tcW w:type="dxa" w:w="3317"/>
            <w:vAlign w:val="center"/>
            <w:tcMar>
              <w:top w:w="90" w:type="dxa"/>
              <w:start w:w="115" w:type="dxa"/>
              <w:bottom w:w="90" w:type="dxa"/>
              <w:end w:w="115" w:type="dxa"/>
            </w:tcMar>
            <w:shd w:fill="F3F6F9"/>
          </w:tcPr>
          <w:p>
            <w:pPr>
              <w:spacing w:after="0" w:line="254" w:lineRule="auto"/>
            </w:pPr>
            <w:r>
              <w:rPr>
                <w:sz w:val="16"/>
              </w:rPr>
              <w:t>Do grounding checks reduce faulty reasoning?</w:t>
            </w:r>
          </w:p>
        </w:tc>
      </w:tr>
      <w:tr>
        <w:trPr>
          <w:cantSplit/>
        </w:trPr>
        <w:tc>
          <w:tcPr>
            <w:tcW w:type="dxa" w:w="3317"/>
            <w:vAlign w:val="center"/>
            <w:tcMar>
              <w:top w:w="90" w:type="dxa"/>
              <w:start w:w="115" w:type="dxa"/>
              <w:bottom w:w="90" w:type="dxa"/>
              <w:end w:w="115" w:type="dxa"/>
            </w:tcMar>
          </w:tcPr>
          <w:p>
            <w:pPr>
              <w:spacing w:after="0" w:line="254" w:lineRule="auto"/>
            </w:pPr>
            <w:r>
              <w:rPr>
                <w:sz w:val="16"/>
              </w:rPr>
              <w:t>P4-B3</w:t>
            </w:r>
          </w:p>
        </w:tc>
        <w:tc>
          <w:tcPr>
            <w:tcW w:type="dxa" w:w="3317"/>
            <w:vAlign w:val="center"/>
            <w:tcMar>
              <w:top w:w="90" w:type="dxa"/>
              <w:start w:w="115" w:type="dxa"/>
              <w:bottom w:w="90" w:type="dxa"/>
              <w:end w:w="115" w:type="dxa"/>
            </w:tcMar>
          </w:tcPr>
          <w:p>
            <w:pPr>
              <w:spacing w:after="0" w:line="254" w:lineRule="auto"/>
            </w:pPr>
            <w:r>
              <w:rPr>
                <w:sz w:val="16"/>
              </w:rPr>
              <w:t>E5 + likelihood-only abstention</w:t>
            </w:r>
          </w:p>
        </w:tc>
        <w:tc>
          <w:tcPr>
            <w:tcW w:type="dxa" w:w="3317"/>
            <w:vAlign w:val="center"/>
            <w:tcMar>
              <w:top w:w="90" w:type="dxa"/>
              <w:start w:w="115" w:type="dxa"/>
              <w:bottom w:w="90" w:type="dxa"/>
              <w:end w:w="115" w:type="dxa"/>
            </w:tcMar>
          </w:tcPr>
          <w:p>
            <w:pPr>
              <w:spacing w:after="0" w:line="254" w:lineRule="auto"/>
            </w:pPr>
            <w:r>
              <w:rPr>
                <w:sz w:val="16"/>
              </w:rPr>
              <w:t>What does basic uncertainty achieve?</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P4-B4</w:t>
            </w:r>
          </w:p>
        </w:tc>
        <w:tc>
          <w:tcPr>
            <w:tcW w:type="dxa" w:w="3317"/>
            <w:vAlign w:val="center"/>
            <w:tcMar>
              <w:top w:w="90" w:type="dxa"/>
              <w:start w:w="115" w:type="dxa"/>
              <w:bottom w:w="90" w:type="dxa"/>
              <w:end w:w="115" w:type="dxa"/>
            </w:tcMar>
            <w:shd w:fill="F3F6F9"/>
          </w:tcPr>
          <w:p>
            <w:pPr>
              <w:spacing w:after="0" w:line="254" w:lineRule="auto"/>
            </w:pPr>
            <w:r>
              <w:rPr>
                <w:sz w:val="16"/>
              </w:rPr>
              <w:t>E5 + calibrated verifier-aware risk</w:t>
            </w:r>
          </w:p>
        </w:tc>
        <w:tc>
          <w:tcPr>
            <w:tcW w:type="dxa" w:w="3317"/>
            <w:vAlign w:val="center"/>
            <w:tcMar>
              <w:top w:w="90" w:type="dxa"/>
              <w:start w:w="115" w:type="dxa"/>
              <w:bottom w:w="90" w:type="dxa"/>
              <w:end w:w="115" w:type="dxa"/>
            </w:tcMar>
            <w:shd w:fill="F3F6F9"/>
          </w:tcPr>
          <w:p>
            <w:pPr>
              <w:spacing w:after="0" w:line="254" w:lineRule="auto"/>
            </w:pPr>
            <w:r>
              <w:rPr>
                <w:sz w:val="16"/>
              </w:rPr>
              <w:t>Does risk modeling improve error detection?</w:t>
            </w:r>
          </w:p>
        </w:tc>
      </w:tr>
      <w:tr>
        <w:trPr>
          <w:cantSplit/>
        </w:trPr>
        <w:tc>
          <w:tcPr>
            <w:tcW w:type="dxa" w:w="3317"/>
            <w:vAlign w:val="center"/>
            <w:tcMar>
              <w:top w:w="90" w:type="dxa"/>
              <w:start w:w="115" w:type="dxa"/>
              <w:bottom w:w="90" w:type="dxa"/>
              <w:end w:w="115" w:type="dxa"/>
            </w:tcMar>
          </w:tcPr>
          <w:p>
            <w:pPr>
              <w:spacing w:after="0" w:line="254" w:lineRule="auto"/>
            </w:pPr>
            <w:r>
              <w:rPr>
                <w:sz w:val="16"/>
              </w:rPr>
              <w:t>P4-F</w:t>
            </w:r>
          </w:p>
        </w:tc>
        <w:tc>
          <w:tcPr>
            <w:tcW w:type="dxa" w:w="3317"/>
            <w:vAlign w:val="center"/>
            <w:tcMar>
              <w:top w:w="90" w:type="dxa"/>
              <w:start w:w="115" w:type="dxa"/>
              <w:bottom w:w="90" w:type="dxa"/>
              <w:end w:w="115" w:type="dxa"/>
            </w:tcMar>
          </w:tcPr>
          <w:p>
            <w:pPr>
              <w:spacing w:after="0" w:line="254" w:lineRule="auto"/>
            </w:pPr>
            <w:r>
              <w:rPr>
                <w:sz w:val="16"/>
              </w:rPr>
              <w:t>Full proposed TrustFin-SLM</w:t>
            </w:r>
          </w:p>
        </w:tc>
        <w:tc>
          <w:tcPr>
            <w:tcW w:type="dxa" w:w="3317"/>
            <w:vAlign w:val="center"/>
            <w:tcMar>
              <w:top w:w="90" w:type="dxa"/>
              <w:start w:w="115" w:type="dxa"/>
              <w:bottom w:w="90" w:type="dxa"/>
              <w:end w:w="115" w:type="dxa"/>
            </w:tcMar>
          </w:tcPr>
          <w:p>
            <w:pPr>
              <w:spacing w:after="0" w:line="254" w:lineRule="auto"/>
            </w:pPr>
            <w:r>
              <w:rPr>
                <w:sz w:val="16"/>
              </w:rPr>
              <w:t>Best accuracy–risk–coverage trade-off?</w:t>
            </w:r>
          </w:p>
        </w:tc>
      </w:tr>
      <w:tr>
        <w:trPr>
          <w:cantSplit/>
        </w:trPr>
        <w:tc>
          <w:tcPr>
            <w:tcW w:type="dxa" w:w="3317"/>
            <w:vAlign w:val="center"/>
            <w:tcMar>
              <w:top w:w="90" w:type="dxa"/>
              <w:start w:w="115" w:type="dxa"/>
              <w:bottom w:w="90" w:type="dxa"/>
              <w:end w:w="115" w:type="dxa"/>
            </w:tcMar>
            <w:shd w:fill="F3F6F9"/>
          </w:tcPr>
          <w:p>
            <w:pPr>
              <w:spacing w:after="0" w:line="254" w:lineRule="auto"/>
            </w:pPr>
            <w:r>
              <w:rPr>
                <w:sz w:val="16"/>
              </w:rPr>
              <w:t>P4-X</w:t>
            </w:r>
          </w:p>
        </w:tc>
        <w:tc>
          <w:tcPr>
            <w:tcW w:type="dxa" w:w="3317"/>
            <w:vAlign w:val="center"/>
            <w:tcMar>
              <w:top w:w="90" w:type="dxa"/>
              <w:start w:w="115" w:type="dxa"/>
              <w:bottom w:w="90" w:type="dxa"/>
              <w:end w:w="115" w:type="dxa"/>
            </w:tcMar>
            <w:shd w:fill="F3F6F9"/>
          </w:tcPr>
          <w:p>
            <w:pPr>
              <w:spacing w:after="0" w:line="254" w:lineRule="auto"/>
            </w:pPr>
            <w:r>
              <w:rPr>
                <w:sz w:val="16"/>
              </w:rPr>
              <w:t>E8 cross-family reference</w:t>
            </w:r>
          </w:p>
        </w:tc>
        <w:tc>
          <w:tcPr>
            <w:tcW w:type="dxa" w:w="3317"/>
            <w:vAlign w:val="center"/>
            <w:tcMar>
              <w:top w:w="90" w:type="dxa"/>
              <w:start w:w="115" w:type="dxa"/>
              <w:bottom w:w="90" w:type="dxa"/>
              <w:end w:w="115" w:type="dxa"/>
            </w:tcMar>
            <w:shd w:fill="F3F6F9"/>
          </w:tcPr>
          <w:p>
            <w:pPr>
              <w:spacing w:after="0" w:line="254" w:lineRule="auto"/>
            </w:pPr>
            <w:r>
              <w:rPr>
                <w:sz w:val="16"/>
              </w:rPr>
              <w:t>Are findings tied to Qwen alone?</w:t>
            </w:r>
          </w:p>
        </w:tc>
      </w:tr>
    </w:tbl>
    <w:p>
      <w:pPr>
        <w:spacing w:after="20"/>
      </w:pPr>
    </w:p>
    <w:p>
      <w:pPr>
        <w:pStyle w:val="Heading2"/>
      </w:pPr>
      <w:r>
        <w:t>22. Metrics to report in Phase-4</w:t>
      </w:r>
    </w:p>
    <w:p>
      <w:pPr>
        <w:pStyle w:val="ListBullet"/>
      </w:pPr>
      <w:r>
        <w:t>FinQA: raw-answer accuracy, executed-answer accuracy, program validity, input-operand grounding, selective error rate, coverage and area under risk–coverage curve.</w:t>
      </w:r>
    </w:p>
    <w:p>
      <w:pPr>
        <w:pStyle w:val="ListBullet"/>
      </w:pPr>
      <w:r>
        <w:t>FiQA: MAE, MSE, R², selective MAE, coverage and regression-appropriate uncertainty measures.</w:t>
      </w:r>
    </w:p>
    <w:p>
      <w:pPr>
        <w:pStyle w:val="ListBullet"/>
      </w:pPr>
      <w:r>
        <w:t>FinTrust: official task-specific metrics across all seven dimensions; do not combine incompatible scores into one invented accuracy.</w:t>
      </w:r>
    </w:p>
    <w:p>
      <w:pPr>
        <w:pStyle w:val="ListBullet"/>
      </w:pPr>
      <w:r>
        <w:t>Efficiency: model weights, adapter parameters, VRAM, inference latency and added verifier overhead.</w:t>
      </w:r>
    </w:p>
    <w:p>
      <w:r>
        <w:t>Calibration and abstention thresholds must be chosen only on the validation split; final protected-test evaluation must happen after the methodology, prompts, thresholds and model checkpoint are frozen.</w:t>
      </w:r>
    </w:p>
    <w:p>
      <w:pPr>
        <w:pStyle w:val="Heading1"/>
      </w:pPr>
      <w:r>
        <w:t>I. Acceptance criteria and files students must share</w:t>
      </w:r>
    </w:p>
    <w:p>
      <w:pPr>
        <w:pStyle w:val="Heading2"/>
      </w:pPr>
      <w:r>
        <w:t>23. Phase-3.1 GO / NO-GO checklist</w:t>
      </w:r>
    </w:p>
    <w:tbl>
      <w:tblPr>
        <w:tblStyle w:val="TableGrid"/>
        <w:tblW w:type="auto" w:w="0"/>
        <w:jc w:val="center"/>
        <w:tblLayout w:type="autofit"/>
        <w:tblLook w:firstColumn="1" w:firstRow="1" w:lastColumn="0" w:lastRow="0" w:noHBand="0" w:noVBand="1" w:val="04A0"/>
      </w:tblPr>
      <w:tblGrid>
        <w:gridCol w:w="4975"/>
        <w:gridCol w:w="4975"/>
      </w:tblGrid>
      <w:tr>
        <w:trPr>
          <w:tblHeader w:val="true"/>
        </w:trPr>
        <w:tc>
          <w:tcPr>
            <w:tcW w:type="dxa" w:w="4975"/>
            <w:shd w:fill="182B49"/>
            <w:tcMar>
              <w:top w:w="90" w:type="dxa"/>
              <w:start w:w="115" w:type="dxa"/>
              <w:bottom w:w="90" w:type="dxa"/>
              <w:end w:w="115" w:type="dxa"/>
            </w:tcMar>
          </w:tcPr>
          <w:p>
            <w:r>
              <w:rPr>
                <w:b/>
                <w:color w:val="FFFFFF"/>
                <w:sz w:val="16"/>
              </w:rPr>
              <w:t>Gate</w:t>
            </w:r>
          </w:p>
        </w:tc>
        <w:tc>
          <w:tcPr>
            <w:tcW w:type="dxa" w:w="4975"/>
            <w:shd w:fill="182B49"/>
            <w:tcMar>
              <w:top w:w="90" w:type="dxa"/>
              <w:start w:w="115" w:type="dxa"/>
              <w:bottom w:w="90" w:type="dxa"/>
              <w:end w:w="115" w:type="dxa"/>
            </w:tcMar>
          </w:tcPr>
          <w:p>
            <w:r>
              <w:rPr>
                <w:b/>
                <w:color w:val="FFFFFF"/>
                <w:sz w:val="16"/>
              </w:rPr>
              <w:t>PASS condition</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A. Metrics valid</w:t>
            </w:r>
          </w:p>
        </w:tc>
        <w:tc>
          <w:tcPr>
            <w:tcW w:type="dxa" w:w="4975"/>
            <w:vAlign w:val="center"/>
            <w:tcMar>
              <w:top w:w="90" w:type="dxa"/>
              <w:start w:w="115" w:type="dxa"/>
              <w:bottom w:w="90" w:type="dxa"/>
              <w:end w:w="115" w:type="dxa"/>
            </w:tcMar>
            <w:shd w:fill="F3F6F9"/>
          </w:tcPr>
          <w:p>
            <w:pPr>
              <w:spacing w:after="0" w:line="254" w:lineRule="auto"/>
            </w:pPr>
            <w:r>
              <w:rPr>
                <w:sz w:val="16"/>
              </w:rPr>
              <w:t>No impossible rates; recomputed exports match prediction-level results</w:t>
            </w:r>
          </w:p>
        </w:tc>
      </w:tr>
      <w:tr>
        <w:trPr>
          <w:cantSplit/>
        </w:trPr>
        <w:tc>
          <w:tcPr>
            <w:tcW w:type="dxa" w:w="4975"/>
            <w:vAlign w:val="center"/>
            <w:tcMar>
              <w:top w:w="90" w:type="dxa"/>
              <w:start w:w="115" w:type="dxa"/>
              <w:bottom w:w="90" w:type="dxa"/>
              <w:end w:w="115" w:type="dxa"/>
            </w:tcMar>
          </w:tcPr>
          <w:p>
            <w:pPr>
              <w:spacing w:after="0" w:line="254" w:lineRule="auto"/>
            </w:pPr>
            <w:r>
              <w:rPr>
                <w:sz w:val="16"/>
              </w:rPr>
              <w:t>B. E5 weights preserved</w:t>
            </w:r>
          </w:p>
        </w:tc>
        <w:tc>
          <w:tcPr>
            <w:tcW w:type="dxa" w:w="4975"/>
            <w:vAlign w:val="center"/>
            <w:tcMar>
              <w:top w:w="90" w:type="dxa"/>
              <w:start w:w="115" w:type="dxa"/>
              <w:bottom w:w="90" w:type="dxa"/>
              <w:end w:w="115" w:type="dxa"/>
            </w:tcMar>
          </w:tcPr>
          <w:p>
            <w:pPr>
              <w:spacing w:after="0" w:line="254" w:lineRule="auto"/>
            </w:pPr>
            <w:r>
              <w:rPr>
                <w:sz w:val="16"/>
              </w:rPr>
              <w:t>Adapter, tokenizer and revisions exist with cryptographic hashes</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C. Program evaluation trace</w:t>
            </w:r>
          </w:p>
        </w:tc>
        <w:tc>
          <w:tcPr>
            <w:tcW w:type="dxa" w:w="4975"/>
            <w:vAlign w:val="center"/>
            <w:tcMar>
              <w:top w:w="90" w:type="dxa"/>
              <w:start w:w="115" w:type="dxa"/>
              <w:bottom w:w="90" w:type="dxa"/>
              <w:end w:w="115" w:type="dxa"/>
            </w:tcMar>
            <w:shd w:fill="F3F6F9"/>
          </w:tcPr>
          <w:p>
            <w:pPr>
              <w:spacing w:after="0" w:line="254" w:lineRule="auto"/>
            </w:pPr>
            <w:r>
              <w:rPr>
                <w:sz w:val="16"/>
              </w:rPr>
              <w:t>Every FinQA validation prediction has parse/execute/error provenance</w:t>
            </w:r>
          </w:p>
        </w:tc>
      </w:tr>
      <w:tr>
        <w:trPr>
          <w:cantSplit/>
        </w:trPr>
        <w:tc>
          <w:tcPr>
            <w:tcW w:type="dxa" w:w="4975"/>
            <w:vAlign w:val="center"/>
            <w:tcMar>
              <w:top w:w="90" w:type="dxa"/>
              <w:start w:w="115" w:type="dxa"/>
              <w:bottom w:w="90" w:type="dxa"/>
              <w:end w:w="115" w:type="dxa"/>
            </w:tcMar>
          </w:tcPr>
          <w:p>
            <w:pPr>
              <w:spacing w:after="0" w:line="254" w:lineRule="auto"/>
            </w:pPr>
            <w:r>
              <w:rPr>
                <w:sz w:val="16"/>
              </w:rPr>
              <w:t>D. Grounding protocol</w:t>
            </w:r>
          </w:p>
        </w:tc>
        <w:tc>
          <w:tcPr>
            <w:tcW w:type="dxa" w:w="4975"/>
            <w:vAlign w:val="center"/>
            <w:tcMar>
              <w:top w:w="90" w:type="dxa"/>
              <w:start w:w="115" w:type="dxa"/>
              <w:bottom w:w="90" w:type="dxa"/>
              <w:end w:w="115" w:type="dxa"/>
            </w:tcMar>
          </w:tcPr>
          <w:p>
            <w:pPr>
              <w:spacing w:after="0" w:line="254" w:lineRule="auto"/>
            </w:pPr>
            <w:r>
              <w:rPr>
                <w:sz w:val="16"/>
              </w:rPr>
              <w:t>Explicit numeric-evidence matching rules, ambiguous cases identified</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E. Confidence protocol</w:t>
            </w:r>
          </w:p>
        </w:tc>
        <w:tc>
          <w:tcPr>
            <w:tcW w:type="dxa" w:w="4975"/>
            <w:vAlign w:val="center"/>
            <w:tcMar>
              <w:top w:w="90" w:type="dxa"/>
              <w:start w:w="115" w:type="dxa"/>
              <w:bottom w:w="90" w:type="dxa"/>
              <w:end w:w="115" w:type="dxa"/>
            </w:tcMar>
            <w:shd w:fill="F3F6F9"/>
          </w:tcPr>
          <w:p>
            <w:pPr>
              <w:spacing w:after="0" w:line="254" w:lineRule="auto"/>
            </w:pPr>
            <w:r>
              <w:rPr>
                <w:sz w:val="16"/>
              </w:rPr>
              <w:t>No test-set tuning; diagnostics regenerated for frozen prompts</w:t>
            </w:r>
          </w:p>
        </w:tc>
      </w:tr>
      <w:tr>
        <w:trPr>
          <w:cantSplit/>
        </w:trPr>
        <w:tc>
          <w:tcPr>
            <w:tcW w:type="dxa" w:w="4975"/>
            <w:vAlign w:val="center"/>
            <w:tcMar>
              <w:top w:w="90" w:type="dxa"/>
              <w:start w:w="115" w:type="dxa"/>
              <w:bottom w:w="90" w:type="dxa"/>
              <w:end w:w="115" w:type="dxa"/>
            </w:tcMar>
          </w:tcPr>
          <w:p>
            <w:pPr>
              <w:spacing w:after="0" w:line="254" w:lineRule="auto"/>
            </w:pPr>
            <w:r>
              <w:rPr>
                <w:sz w:val="16"/>
              </w:rPr>
              <w:t>F. Context audit</w:t>
            </w:r>
          </w:p>
        </w:tc>
        <w:tc>
          <w:tcPr>
            <w:tcW w:type="dxa" w:w="4975"/>
            <w:vAlign w:val="center"/>
            <w:tcMar>
              <w:top w:w="90" w:type="dxa"/>
              <w:start w:w="115" w:type="dxa"/>
              <w:bottom w:w="90" w:type="dxa"/>
              <w:end w:w="115" w:type="dxa"/>
            </w:tcMar>
          </w:tcPr>
          <w:p>
            <w:pPr>
              <w:spacing w:after="0" w:line="254" w:lineRule="auto"/>
            </w:pPr>
            <w:r>
              <w:rPr>
                <w:sz w:val="16"/>
              </w:rPr>
              <w:t>Truncation statistics reproduced; validation pilot independently labeled</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G. FinTrust contract</w:t>
            </w:r>
          </w:p>
        </w:tc>
        <w:tc>
          <w:tcPr>
            <w:tcW w:type="dxa" w:w="4975"/>
            <w:vAlign w:val="center"/>
            <w:tcMar>
              <w:top w:w="90" w:type="dxa"/>
              <w:start w:w="115" w:type="dxa"/>
              <w:bottom w:w="90" w:type="dxa"/>
              <w:end w:w="115" w:type="dxa"/>
            </w:tcMar>
            <w:shd w:fill="F3F6F9"/>
          </w:tcPr>
          <w:p>
            <w:pPr>
              <w:spacing w:after="0" w:line="254" w:lineRule="auto"/>
            </w:pPr>
            <w:r>
              <w:rPr>
                <w:sz w:val="16"/>
              </w:rPr>
              <w:t>Each of seven dimensions has a documented loader, metric and evaluator</w:t>
            </w:r>
          </w:p>
        </w:tc>
      </w:tr>
      <w:tr>
        <w:trPr>
          <w:cantSplit/>
        </w:trPr>
        <w:tc>
          <w:tcPr>
            <w:tcW w:type="dxa" w:w="4975"/>
            <w:vAlign w:val="center"/>
            <w:tcMar>
              <w:top w:w="90" w:type="dxa"/>
              <w:start w:w="115" w:type="dxa"/>
              <w:bottom w:w="90" w:type="dxa"/>
              <w:end w:w="115" w:type="dxa"/>
            </w:tcMar>
          </w:tcPr>
          <w:p>
            <w:pPr>
              <w:spacing w:after="0" w:line="254" w:lineRule="auto"/>
            </w:pPr>
            <w:r>
              <w:rPr>
                <w:sz w:val="16"/>
              </w:rPr>
              <w:t>H. Publication audit</w:t>
            </w:r>
          </w:p>
        </w:tc>
        <w:tc>
          <w:tcPr>
            <w:tcW w:type="dxa" w:w="4975"/>
            <w:vAlign w:val="center"/>
            <w:tcMar>
              <w:top w:w="90" w:type="dxa"/>
              <w:start w:w="115" w:type="dxa"/>
              <w:bottom w:w="90" w:type="dxa"/>
              <w:end w:w="115" w:type="dxa"/>
            </w:tcMar>
          </w:tcPr>
          <w:p>
            <w:pPr>
              <w:spacing w:after="0" w:line="254" w:lineRule="auto"/>
            </w:pPr>
            <w:r>
              <w:rPr>
                <w:sz w:val="16"/>
              </w:rPr>
              <w:t>Environment and notebook claims reconcile with the raw artifact records</w:t>
            </w:r>
          </w:p>
        </w:tc>
      </w:tr>
    </w:tbl>
    <w:p>
      <w:pPr>
        <w:spacing w:after="20"/>
      </w:pPr>
    </w:p>
    <w:p>
      <w:pPr>
        <w:pStyle w:val="Heading2"/>
      </w:pPr>
      <w:r>
        <w:t>24. Suggested Phase-3.1 deliverables</w:t>
      </w:r>
    </w:p>
    <w:tbl>
      <w:tblPr>
        <w:tblStyle w:val="TableGrid"/>
        <w:tblW w:type="auto" w:w="0"/>
        <w:jc w:val="center"/>
        <w:tblLayout w:type="autofit"/>
        <w:tblLook w:firstColumn="1" w:firstRow="1" w:lastColumn="0" w:lastRow="0" w:noHBand="0" w:noVBand="1" w:val="04A0"/>
      </w:tblPr>
      <w:tblGrid>
        <w:gridCol w:w="4975"/>
        <w:gridCol w:w="4975"/>
      </w:tblGrid>
      <w:tr>
        <w:trPr>
          <w:tblHeader w:val="true"/>
        </w:trPr>
        <w:tc>
          <w:tcPr>
            <w:tcW w:type="dxa" w:w="4975"/>
            <w:shd w:fill="182B49"/>
            <w:tcMar>
              <w:top w:w="90" w:type="dxa"/>
              <w:start w:w="115" w:type="dxa"/>
              <w:bottom w:w="90" w:type="dxa"/>
              <w:end w:w="115" w:type="dxa"/>
            </w:tcMar>
          </w:tcPr>
          <w:p>
            <w:r>
              <w:rPr>
                <w:b/>
                <w:color w:val="FFFFFF"/>
                <w:sz w:val="16"/>
              </w:rPr>
              <w:t>File</w:t>
            </w:r>
          </w:p>
        </w:tc>
        <w:tc>
          <w:tcPr>
            <w:tcW w:type="dxa" w:w="4975"/>
            <w:shd w:fill="182B49"/>
            <w:tcMar>
              <w:top w:w="90" w:type="dxa"/>
              <w:start w:w="115" w:type="dxa"/>
              <w:bottom w:w="90" w:type="dxa"/>
              <w:end w:w="115" w:type="dxa"/>
            </w:tcMar>
          </w:tcPr>
          <w:p>
            <w:r>
              <w:rPr>
                <w:b/>
                <w:color w:val="FFFFFF"/>
                <w:sz w:val="16"/>
              </w:rPr>
              <w:t>Purpose</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phase3_1_readiness_report.json</w:t>
            </w:r>
          </w:p>
        </w:tc>
        <w:tc>
          <w:tcPr>
            <w:tcW w:type="dxa" w:w="4975"/>
            <w:vAlign w:val="center"/>
            <w:tcMar>
              <w:top w:w="90" w:type="dxa"/>
              <w:start w:w="115" w:type="dxa"/>
              <w:bottom w:w="90" w:type="dxa"/>
              <w:end w:w="115" w:type="dxa"/>
            </w:tcMar>
            <w:shd w:fill="F3F6F9"/>
          </w:tcPr>
          <w:p>
            <w:pPr>
              <w:spacing w:after="0" w:line="254" w:lineRule="auto"/>
            </w:pPr>
            <w:r>
              <w:rPr>
                <w:sz w:val="16"/>
              </w:rPr>
              <w:t>Overall PASS/WARN/FAIL gate report</w:t>
            </w:r>
          </w:p>
        </w:tc>
      </w:tr>
      <w:tr>
        <w:trPr>
          <w:cantSplit/>
        </w:trPr>
        <w:tc>
          <w:tcPr>
            <w:tcW w:type="dxa" w:w="4975"/>
            <w:vAlign w:val="center"/>
            <w:tcMar>
              <w:top w:w="90" w:type="dxa"/>
              <w:start w:w="115" w:type="dxa"/>
              <w:bottom w:w="90" w:type="dxa"/>
              <w:end w:w="115" w:type="dxa"/>
            </w:tcMar>
          </w:tcPr>
          <w:p>
            <w:pPr>
              <w:spacing w:after="0" w:line="254" w:lineRule="auto"/>
            </w:pPr>
            <w:r>
              <w:rPr>
                <w:sz w:val="16"/>
              </w:rPr>
              <w:t>phase3_corrected_validation_metrics.csv</w:t>
            </w:r>
          </w:p>
        </w:tc>
        <w:tc>
          <w:tcPr>
            <w:tcW w:type="dxa" w:w="4975"/>
            <w:vAlign w:val="center"/>
            <w:tcMar>
              <w:top w:w="90" w:type="dxa"/>
              <w:start w:w="115" w:type="dxa"/>
              <w:bottom w:w="90" w:type="dxa"/>
              <w:end w:w="115" w:type="dxa"/>
            </w:tcMar>
          </w:tcPr>
          <w:p>
            <w:pPr>
              <w:spacing w:after="0" w:line="254" w:lineRule="auto"/>
            </w:pPr>
            <w:r>
              <w:rPr>
                <w:sz w:val="16"/>
              </w:rPr>
              <w:t>Recomputed E1–E11 scores with valid program-rate fields</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finqa_answer_execution_audit.csv</w:t>
            </w:r>
          </w:p>
        </w:tc>
        <w:tc>
          <w:tcPr>
            <w:tcW w:type="dxa" w:w="4975"/>
            <w:vAlign w:val="center"/>
            <w:tcMar>
              <w:top w:w="90" w:type="dxa"/>
              <w:start w:w="115" w:type="dxa"/>
              <w:bottom w:w="90" w:type="dxa"/>
              <w:end w:w="115" w:type="dxa"/>
            </w:tcMar>
            <w:shd w:fill="F3F6F9"/>
          </w:tcPr>
          <w:p>
            <w:pPr>
              <w:spacing w:after="0" w:line="254" w:lineRule="auto"/>
            </w:pPr>
            <w:r>
              <w:rPr>
                <w:sz w:val="16"/>
              </w:rPr>
              <w:t>Per-case raw/execute/gold agreement</w:t>
            </w:r>
          </w:p>
        </w:tc>
      </w:tr>
      <w:tr>
        <w:trPr>
          <w:cantSplit/>
        </w:trPr>
        <w:tc>
          <w:tcPr>
            <w:tcW w:type="dxa" w:w="4975"/>
            <w:vAlign w:val="center"/>
            <w:tcMar>
              <w:top w:w="90" w:type="dxa"/>
              <w:start w:w="115" w:type="dxa"/>
              <w:bottom w:w="90" w:type="dxa"/>
              <w:end w:w="115" w:type="dxa"/>
            </w:tcMar>
          </w:tcPr>
          <w:p>
            <w:pPr>
              <w:spacing w:after="0" w:line="254" w:lineRule="auto"/>
            </w:pPr>
            <w:r>
              <w:rPr>
                <w:sz w:val="16"/>
              </w:rPr>
              <w:t>finqa_grounding_audit.csv</w:t>
            </w:r>
          </w:p>
        </w:tc>
        <w:tc>
          <w:tcPr>
            <w:tcW w:type="dxa" w:w="4975"/>
            <w:vAlign w:val="center"/>
            <w:tcMar>
              <w:top w:w="90" w:type="dxa"/>
              <w:start w:w="115" w:type="dxa"/>
              <w:bottom w:w="90" w:type="dxa"/>
              <w:end w:w="115" w:type="dxa"/>
            </w:tcMar>
          </w:tcPr>
          <w:p>
            <w:pPr>
              <w:spacing w:after="0" w:line="254" w:lineRule="auto"/>
            </w:pPr>
            <w:r>
              <w:rPr>
                <w:sz w:val="16"/>
              </w:rPr>
              <w:t>Operand provenance and unverifiable-operand cases</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confidence_risk_diagnostics.csv</w:t>
            </w:r>
          </w:p>
        </w:tc>
        <w:tc>
          <w:tcPr>
            <w:tcW w:type="dxa" w:w="4975"/>
            <w:vAlign w:val="center"/>
            <w:tcMar>
              <w:top w:w="90" w:type="dxa"/>
              <w:start w:w="115" w:type="dxa"/>
              <w:bottom w:w="90" w:type="dxa"/>
              <w:end w:w="115" w:type="dxa"/>
            </w:tcMar>
            <w:shd w:fill="F3F6F9"/>
          </w:tcPr>
          <w:p>
            <w:pPr>
              <w:spacing w:after="0" w:line="254" w:lineRule="auto"/>
            </w:pPr>
            <w:r>
              <w:rPr>
                <w:sz w:val="16"/>
              </w:rPr>
              <w:t>Uncertainty and error relationship</w:t>
            </w:r>
          </w:p>
        </w:tc>
      </w:tr>
      <w:tr>
        <w:trPr>
          <w:cantSplit/>
        </w:trPr>
        <w:tc>
          <w:tcPr>
            <w:tcW w:type="dxa" w:w="4975"/>
            <w:vAlign w:val="center"/>
            <w:tcMar>
              <w:top w:w="90" w:type="dxa"/>
              <w:start w:w="115" w:type="dxa"/>
              <w:bottom w:w="90" w:type="dxa"/>
              <w:end w:w="115" w:type="dxa"/>
            </w:tcMar>
          </w:tcPr>
          <w:p>
            <w:pPr>
              <w:spacing w:after="0" w:line="254" w:lineRule="auto"/>
            </w:pPr>
            <w:r>
              <w:rPr>
                <w:sz w:val="16"/>
              </w:rPr>
              <w:t>truncation_impact_report.csv</w:t>
            </w:r>
          </w:p>
        </w:tc>
        <w:tc>
          <w:tcPr>
            <w:tcW w:type="dxa" w:w="4975"/>
            <w:vAlign w:val="center"/>
            <w:tcMar>
              <w:top w:w="90" w:type="dxa"/>
              <w:start w:w="115" w:type="dxa"/>
              <w:bottom w:w="90" w:type="dxa"/>
              <w:end w:w="115" w:type="dxa"/>
            </w:tcMar>
          </w:tcPr>
          <w:p>
            <w:pPr>
              <w:spacing w:after="0" w:line="254" w:lineRule="auto"/>
            </w:pPr>
            <w:r>
              <w:rPr>
                <w:sz w:val="16"/>
              </w:rPr>
              <w:t>Prompt-length strata and evidence-retention diagnostics</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fintrust_evaluator_map.json</w:t>
            </w:r>
          </w:p>
        </w:tc>
        <w:tc>
          <w:tcPr>
            <w:tcW w:type="dxa" w:w="4975"/>
            <w:vAlign w:val="center"/>
            <w:tcMar>
              <w:top w:w="90" w:type="dxa"/>
              <w:start w:w="115" w:type="dxa"/>
              <w:bottom w:w="90" w:type="dxa"/>
              <w:end w:w="115" w:type="dxa"/>
            </w:tcMar>
            <w:shd w:fill="F3F6F9"/>
          </w:tcPr>
          <w:p>
            <w:pPr>
              <w:spacing w:after="0" w:line="254" w:lineRule="auto"/>
            </w:pPr>
            <w:r>
              <w:rPr>
                <w:sz w:val="16"/>
              </w:rPr>
              <w:t>Seven benchmark dimensions and official metrics</w:t>
            </w:r>
          </w:p>
        </w:tc>
      </w:tr>
      <w:tr>
        <w:trPr>
          <w:cantSplit/>
        </w:trPr>
        <w:tc>
          <w:tcPr>
            <w:tcW w:type="dxa" w:w="4975"/>
            <w:vAlign w:val="center"/>
            <w:tcMar>
              <w:top w:w="90" w:type="dxa"/>
              <w:start w:w="115" w:type="dxa"/>
              <w:bottom w:w="90" w:type="dxa"/>
              <w:end w:w="115" w:type="dxa"/>
            </w:tcMar>
          </w:tcPr>
          <w:p>
            <w:pPr>
              <w:spacing w:after="0" w:line="254" w:lineRule="auto"/>
            </w:pPr>
            <w:r>
              <w:rPr>
                <w:sz w:val="16"/>
              </w:rPr>
              <w:t>phase3_checkpoint_fingerprints.json</w:t>
            </w:r>
          </w:p>
        </w:tc>
        <w:tc>
          <w:tcPr>
            <w:tcW w:type="dxa" w:w="4975"/>
            <w:vAlign w:val="center"/>
            <w:tcMar>
              <w:top w:w="90" w:type="dxa"/>
              <w:start w:w="115" w:type="dxa"/>
              <w:bottom w:w="90" w:type="dxa"/>
              <w:end w:w="115" w:type="dxa"/>
            </w:tcMar>
          </w:tcPr>
          <w:p>
            <w:pPr>
              <w:spacing w:after="0" w:line="254" w:lineRule="auto"/>
            </w:pPr>
            <w:r>
              <w:rPr>
                <w:sz w:val="16"/>
              </w:rPr>
              <w:t>Exact model/adapter/tokenizer provenance</w:t>
            </w:r>
          </w:p>
        </w:tc>
      </w:tr>
      <w:tr>
        <w:trPr>
          <w:cantSplit/>
        </w:trPr>
        <w:tc>
          <w:tcPr>
            <w:tcW w:type="dxa" w:w="4975"/>
            <w:vAlign w:val="center"/>
            <w:tcMar>
              <w:top w:w="90" w:type="dxa"/>
              <w:start w:w="115" w:type="dxa"/>
              <w:bottom w:w="90" w:type="dxa"/>
              <w:end w:w="115" w:type="dxa"/>
            </w:tcMar>
            <w:shd w:fill="F3F6F9"/>
          </w:tcPr>
          <w:p>
            <w:pPr>
              <w:spacing w:after="0" w:line="254" w:lineRule="auto"/>
            </w:pPr>
            <w:r>
              <w:rPr>
                <w:sz w:val="16"/>
              </w:rPr>
              <w:t>phase4_protocol_freeze.json</w:t>
            </w:r>
          </w:p>
        </w:tc>
        <w:tc>
          <w:tcPr>
            <w:tcW w:type="dxa" w:w="4975"/>
            <w:vAlign w:val="center"/>
            <w:tcMar>
              <w:top w:w="90" w:type="dxa"/>
              <w:start w:w="115" w:type="dxa"/>
              <w:bottom w:w="90" w:type="dxa"/>
              <w:end w:w="115" w:type="dxa"/>
            </w:tcMar>
            <w:shd w:fill="F3F6F9"/>
          </w:tcPr>
          <w:p>
            <w:pPr>
              <w:spacing w:after="0" w:line="254" w:lineRule="auto"/>
            </w:pPr>
            <w:r>
              <w:rPr>
                <w:sz w:val="16"/>
              </w:rPr>
              <w:t>Frozen inputs, method, thresholds policy, evaluation plan</w:t>
            </w:r>
          </w:p>
        </w:tc>
      </w:tr>
      <w:tr>
        <w:trPr>
          <w:cantSplit/>
        </w:trPr>
        <w:tc>
          <w:tcPr>
            <w:tcW w:type="dxa" w:w="4975"/>
            <w:vAlign w:val="center"/>
            <w:tcMar>
              <w:top w:w="90" w:type="dxa"/>
              <w:start w:w="115" w:type="dxa"/>
              <w:bottom w:w="90" w:type="dxa"/>
              <w:end w:w="115" w:type="dxa"/>
            </w:tcMar>
          </w:tcPr>
          <w:p>
            <w:pPr>
              <w:spacing w:after="0" w:line="254" w:lineRule="auto"/>
            </w:pPr>
            <w:r>
              <w:rPr>
                <w:sz w:val="16"/>
              </w:rPr>
              <w:t>executed Phase-3.1 notebook</w:t>
            </w:r>
          </w:p>
        </w:tc>
        <w:tc>
          <w:tcPr>
            <w:tcW w:type="dxa" w:w="4975"/>
            <w:vAlign w:val="center"/>
            <w:tcMar>
              <w:top w:w="90" w:type="dxa"/>
              <w:start w:w="115" w:type="dxa"/>
              <w:bottom w:w="90" w:type="dxa"/>
              <w:end w:w="115" w:type="dxa"/>
            </w:tcMar>
          </w:tcPr>
          <w:p>
            <w:pPr>
              <w:spacing w:after="0" w:line="254" w:lineRule="auto"/>
            </w:pPr>
            <w:r>
              <w:rPr>
                <w:sz w:val="16"/>
              </w:rPr>
              <w:t>Full audit log, reproducible without tests</w:t>
            </w:r>
          </w:p>
        </w:tc>
      </w:tr>
    </w:tbl>
    <w:p>
      <w:pPr>
        <w:spacing w:after="20"/>
      </w:pPr>
    </w:p>
    <w:p>
      <w:pPr>
        <w:pStyle w:val="Heading2"/>
      </w:pPr>
      <w:r>
        <w:t>25. What the students should write in the paper at this point</w:t>
      </w:r>
    </w:p>
    <w:p>
      <w:r>
        <w:rPr>
          <w:b/>
        </w:rPr>
        <w:t xml:space="preserve">Safe claim. </w:t>
      </w:r>
      <w:r>
        <w:t>Joint QLoRA produced competent performance on two different financial validation tasks; the frozen E5 model achieved 67.5% executable-result accuracy on FinQA and FiQA MAE 0.130.</w:t>
      </w:r>
    </w:p>
    <w:p>
      <w:r>
        <w:rPr>
          <w:b/>
        </w:rPr>
        <w:t xml:space="preserve">Strongest motivating observation. </w:t>
      </w:r>
      <w:r>
        <w:t>The same E5 model produced correct written numerical answers in only 37.6% of FinQA cases, indicating a substantial answer–execution discrepancy that can motivate a verifier.</w:t>
      </w:r>
    </w:p>
    <w:p>
      <w:r>
        <w:rPr>
          <w:b/>
        </w:rPr>
        <w:t xml:space="preserve">Not yet supported. </w:t>
      </w:r>
      <w:r>
        <w:t>The proposed verifier reduces financial hallucinations, improves fairness/privacy, or produces calibrated confidence. These remain hypotheses until Phase-4 experiments are completed.</w:t>
      </w:r>
    </w:p>
    <w:p>
      <w:pPr>
        <w:pStyle w:val="Heading2"/>
      </w:pPr>
      <w:r>
        <w:t>26. Final recommendation</w:t>
      </w:r>
    </w:p>
    <w:tbl>
      <w:tblPr>
        <w:tblW w:type="auto" w:w="0"/>
        <w:tblLayout w:type="fixed"/>
        <w:tblLook w:firstColumn="1" w:firstRow="1" w:lastColumn="0" w:lastRow="0" w:noHBand="0" w:noVBand="1" w:val="04A0"/>
      </w:tblPr>
      <w:tblGrid>
        <w:gridCol w:w="9648"/>
      </w:tblGrid>
      <w:tr>
        <w:tc>
          <w:tcPr>
            <w:tcW w:type="dxa" w:w="9950"/>
            <w:shd w:fill="EAF3F5"/>
            <w:tcMar>
              <w:top w:w="140" w:type="dxa"/>
              <w:start w:w="150" w:type="dxa"/>
              <w:bottom w:w="140" w:type="dxa"/>
              <w:end w:w="150" w:type="dxa"/>
            </w:tcMar>
          </w:tcPr>
          <w:p>
            <w:r>
              <w:rPr>
                <w:b/>
                <w:color w:val="087C86"/>
                <w:sz w:val="19"/>
              </w:rPr>
              <w:t xml:space="preserve">NEXT: Phase-3.1   </w:t>
            </w:r>
            <w:r>
              <w:rPr>
                <w:sz w:val="19"/>
              </w:rPr>
              <w:t>Keep Phase-3 “implemented and frozen at validation selection level.” Do not rerun all E1–E16. Repair the documented metric bug, validate the executable-answer premise, fingerprint E5 and freeze the full Phase-4 evaluation contract. Then execute Phase-4 validation ablations before accessing protected test sets.</w:t>
            </w:r>
          </w:p>
        </w:tc>
      </w:tr>
    </w:tbl>
    <w:p>
      <w:pPr>
        <w:spacing w:after="0"/>
      </w:pPr>
    </w:p>
    <w:p>
      <w:pPr>
        <w:pStyle w:val="Heading1"/>
      </w:pPr>
      <w:r>
        <w:t>Appendix — Source traceability</w:t>
      </w:r>
    </w:p>
    <w:p>
      <w:r>
        <w:t>Primary source: Phase3_TrustFin_Deliverable.zip supplied by the research team. The numerical results in this report were checked against its metrics/, predictions/, analysis/, manifests/ and notebooks/ directories.</w:t>
      </w:r>
    </w:p>
    <w:p>
      <w:r>
        <w:t>Specific audit files: metrics/E5.json, metrics/E8.json, metrics/E11.json, metrics/E16_joint_candidate_comparison.csv; predictions/E5.csv; analysis/E9_finqa_prompt_ablation.csv, E10_fiqa_prompt_ablation.csv, E11_sampling_ablation.csv, E12_finqa_failure_summary.csv, E13_fiqa_failure_summary.csv, E14_confidence_error_correlation.csv, E15_efficiency_profile.csv; manifests/phase3_freeze.json, environment.json and phase3_completion_report.json.</w:t>
      </w:r>
    </w:p>
    <w:p>
      <w:r>
        <w:t>All values here are Phase-3 validation results or calculations based on supplied predictions; no protected test results or Phase-4 improvement are asserted.</w:t>
      </w:r>
    </w:p>
    <w:p>
      <w:pPr>
        <w:pStyle w:val="Heading2"/>
      </w:pPr>
      <w:r>
        <w:t>Student team progress tracker (complete during Phase-3.1)</w:t>
      </w:r>
    </w:p>
    <w:tbl>
      <w:tblPr>
        <w:tblStyle w:val="TableGrid"/>
        <w:tblW w:type="auto" w:w="0"/>
        <w:jc w:val="center"/>
        <w:tblLayout w:type="autofit"/>
        <w:tblLook w:firstColumn="1" w:firstRow="1" w:lastColumn="0" w:lastRow="0" w:noHBand="0" w:noVBand="1" w:val="04A0"/>
      </w:tblPr>
      <w:tblGrid>
        <w:gridCol w:w="2487"/>
        <w:gridCol w:w="2487"/>
        <w:gridCol w:w="2487"/>
        <w:gridCol w:w="2487"/>
      </w:tblGrid>
      <w:tr>
        <w:trPr>
          <w:tblHeader w:val="true"/>
        </w:trPr>
        <w:tc>
          <w:tcPr>
            <w:tcW w:type="dxa" w:w="2487"/>
            <w:shd w:fill="182B49"/>
            <w:tcMar>
              <w:top w:w="90" w:type="dxa"/>
              <w:start w:w="115" w:type="dxa"/>
              <w:bottom w:w="90" w:type="dxa"/>
              <w:end w:w="115" w:type="dxa"/>
            </w:tcMar>
          </w:tcPr>
          <w:p>
            <w:r>
              <w:rPr>
                <w:b/>
                <w:color w:val="FFFFFF"/>
                <w:sz w:val="16"/>
              </w:rPr>
              <w:t>Work package</w:t>
            </w:r>
          </w:p>
        </w:tc>
        <w:tc>
          <w:tcPr>
            <w:tcW w:type="dxa" w:w="2487"/>
            <w:shd w:fill="182B49"/>
            <w:tcMar>
              <w:top w:w="90" w:type="dxa"/>
              <w:start w:w="115" w:type="dxa"/>
              <w:bottom w:w="90" w:type="dxa"/>
              <w:end w:w="115" w:type="dxa"/>
            </w:tcMar>
          </w:tcPr>
          <w:p>
            <w:r>
              <w:rPr>
                <w:b/>
                <w:color w:val="FFFFFF"/>
                <w:sz w:val="16"/>
              </w:rPr>
              <w:t>Assigned student</w:t>
            </w:r>
          </w:p>
        </w:tc>
        <w:tc>
          <w:tcPr>
            <w:tcW w:type="dxa" w:w="2487"/>
            <w:shd w:fill="182B49"/>
            <w:tcMar>
              <w:top w:w="90" w:type="dxa"/>
              <w:start w:w="115" w:type="dxa"/>
              <w:bottom w:w="90" w:type="dxa"/>
              <w:end w:w="115" w:type="dxa"/>
            </w:tcMar>
          </w:tcPr>
          <w:p>
            <w:r>
              <w:rPr>
                <w:b/>
                <w:color w:val="FFFFFF"/>
                <w:sz w:val="16"/>
              </w:rPr>
              <w:t>Status</w:t>
            </w:r>
          </w:p>
        </w:tc>
        <w:tc>
          <w:tcPr>
            <w:tcW w:type="dxa" w:w="2487"/>
            <w:shd w:fill="182B49"/>
            <w:tcMar>
              <w:top w:w="90" w:type="dxa"/>
              <w:start w:w="115" w:type="dxa"/>
              <w:bottom w:w="90" w:type="dxa"/>
              <w:end w:w="115" w:type="dxa"/>
            </w:tcMar>
          </w:tcPr>
          <w:p>
            <w:r>
              <w:rPr>
                <w:b/>
                <w:color w:val="FFFFFF"/>
                <w:sz w:val="16"/>
              </w:rPr>
              <w:t>Evidence / review note</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6"/>
              </w:rPr>
              <w:t>WP1  Metrics repair</w:t>
            </w:r>
          </w:p>
        </w:tc>
        <w:tc>
          <w:tcPr>
            <w:tcW w:type="dxa" w:w="2487"/>
            <w:vAlign w:val="center"/>
            <w:tcMar>
              <w:top w:w="90" w:type="dxa"/>
              <w:start w:w="115" w:type="dxa"/>
              <w:bottom w:w="90" w:type="dxa"/>
              <w:end w:w="115" w:type="dxa"/>
            </w:tcMar>
            <w:shd w:fill="F3F6F9"/>
          </w:tcPr>
          <w:p>
            <w:pPr>
              <w:spacing w:after="0" w:line="254" w:lineRule="auto"/>
            </w:pPr>
            <w:r>
              <w:rPr>
                <w:sz w:val="16"/>
              </w:rPr>
              <w:t>_______________</w:t>
            </w:r>
          </w:p>
        </w:tc>
        <w:tc>
          <w:tcPr>
            <w:tcW w:type="dxa" w:w="2487"/>
            <w:vAlign w:val="center"/>
            <w:tcMar>
              <w:top w:w="90" w:type="dxa"/>
              <w:start w:w="115" w:type="dxa"/>
              <w:bottom w:w="90" w:type="dxa"/>
              <w:end w:w="115" w:type="dxa"/>
            </w:tcMar>
            <w:shd w:fill="F3F6F9"/>
          </w:tcPr>
          <w:p>
            <w:pPr>
              <w:spacing w:after="0" w:line="254" w:lineRule="auto"/>
            </w:pPr>
            <w:r>
              <w:rPr>
                <w:sz w:val="16"/>
              </w:rPr>
              <w:t>Not started</w:t>
            </w:r>
          </w:p>
        </w:tc>
        <w:tc>
          <w:tcPr>
            <w:tcW w:type="dxa" w:w="2487"/>
            <w:vAlign w:val="center"/>
            <w:tcMar>
              <w:top w:w="90" w:type="dxa"/>
              <w:start w:w="115" w:type="dxa"/>
              <w:bottom w:w="90" w:type="dxa"/>
              <w:end w:w="115" w:type="dxa"/>
            </w:tcMar>
            <w:shd w:fill="F3F6F9"/>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tcPr>
          <w:p>
            <w:pPr>
              <w:spacing w:after="0" w:line="254" w:lineRule="auto"/>
            </w:pPr>
            <w:r>
              <w:rPr>
                <w:sz w:val="16"/>
              </w:rPr>
              <w:t>WP2  FinQA reconciliation</w:t>
            </w:r>
          </w:p>
        </w:tc>
        <w:tc>
          <w:tcPr>
            <w:tcW w:type="dxa" w:w="2487"/>
            <w:vAlign w:val="center"/>
            <w:tcMar>
              <w:top w:w="90" w:type="dxa"/>
              <w:start w:w="115" w:type="dxa"/>
              <w:bottom w:w="90" w:type="dxa"/>
              <w:end w:w="115" w:type="dxa"/>
            </w:tcMar>
          </w:tcPr>
          <w:p>
            <w:pPr>
              <w:spacing w:after="0" w:line="254" w:lineRule="auto"/>
            </w:pPr>
            <w:r>
              <w:rPr>
                <w:sz w:val="16"/>
              </w:rPr>
              <w:t>_______________</w:t>
            </w:r>
          </w:p>
        </w:tc>
        <w:tc>
          <w:tcPr>
            <w:tcW w:type="dxa" w:w="2487"/>
            <w:vAlign w:val="center"/>
            <w:tcMar>
              <w:top w:w="90" w:type="dxa"/>
              <w:start w:w="115" w:type="dxa"/>
              <w:bottom w:w="90" w:type="dxa"/>
              <w:end w:w="115" w:type="dxa"/>
            </w:tcMar>
          </w:tcPr>
          <w:p>
            <w:pPr>
              <w:spacing w:after="0" w:line="254" w:lineRule="auto"/>
            </w:pPr>
            <w:r>
              <w:rPr>
                <w:sz w:val="16"/>
              </w:rPr>
              <w:t>Not started</w:t>
            </w:r>
          </w:p>
        </w:tc>
        <w:tc>
          <w:tcPr>
            <w:tcW w:type="dxa" w:w="2487"/>
            <w:vAlign w:val="center"/>
            <w:tcMar>
              <w:top w:w="90" w:type="dxa"/>
              <w:start w:w="115" w:type="dxa"/>
              <w:bottom w:w="90" w:type="dxa"/>
              <w:end w:w="115" w:type="dxa"/>
            </w:tcMar>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6"/>
              </w:rPr>
              <w:t>WP3  Operand grounding</w:t>
            </w:r>
          </w:p>
        </w:tc>
        <w:tc>
          <w:tcPr>
            <w:tcW w:type="dxa" w:w="2487"/>
            <w:vAlign w:val="center"/>
            <w:tcMar>
              <w:top w:w="90" w:type="dxa"/>
              <w:start w:w="115" w:type="dxa"/>
              <w:bottom w:w="90" w:type="dxa"/>
              <w:end w:w="115" w:type="dxa"/>
            </w:tcMar>
            <w:shd w:fill="F3F6F9"/>
          </w:tcPr>
          <w:p>
            <w:pPr>
              <w:spacing w:after="0" w:line="254" w:lineRule="auto"/>
            </w:pPr>
            <w:r>
              <w:rPr>
                <w:sz w:val="16"/>
              </w:rPr>
              <w:t>_______________</w:t>
            </w:r>
          </w:p>
        </w:tc>
        <w:tc>
          <w:tcPr>
            <w:tcW w:type="dxa" w:w="2487"/>
            <w:vAlign w:val="center"/>
            <w:tcMar>
              <w:top w:w="90" w:type="dxa"/>
              <w:start w:w="115" w:type="dxa"/>
              <w:bottom w:w="90" w:type="dxa"/>
              <w:end w:w="115" w:type="dxa"/>
            </w:tcMar>
            <w:shd w:fill="F3F6F9"/>
          </w:tcPr>
          <w:p>
            <w:pPr>
              <w:spacing w:after="0" w:line="254" w:lineRule="auto"/>
            </w:pPr>
            <w:r>
              <w:rPr>
                <w:sz w:val="16"/>
              </w:rPr>
              <w:t>Not started</w:t>
            </w:r>
          </w:p>
        </w:tc>
        <w:tc>
          <w:tcPr>
            <w:tcW w:type="dxa" w:w="2487"/>
            <w:vAlign w:val="center"/>
            <w:tcMar>
              <w:top w:w="90" w:type="dxa"/>
              <w:start w:w="115" w:type="dxa"/>
              <w:bottom w:w="90" w:type="dxa"/>
              <w:end w:w="115" w:type="dxa"/>
            </w:tcMar>
            <w:shd w:fill="F3F6F9"/>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tcPr>
          <w:p>
            <w:pPr>
              <w:spacing w:after="0" w:line="254" w:lineRule="auto"/>
            </w:pPr>
            <w:r>
              <w:rPr>
                <w:sz w:val="16"/>
              </w:rPr>
              <w:t>WP4  Confidence diagnostics</w:t>
            </w:r>
          </w:p>
        </w:tc>
        <w:tc>
          <w:tcPr>
            <w:tcW w:type="dxa" w:w="2487"/>
            <w:vAlign w:val="center"/>
            <w:tcMar>
              <w:top w:w="90" w:type="dxa"/>
              <w:start w:w="115" w:type="dxa"/>
              <w:bottom w:w="90" w:type="dxa"/>
              <w:end w:w="115" w:type="dxa"/>
            </w:tcMar>
          </w:tcPr>
          <w:p>
            <w:pPr>
              <w:spacing w:after="0" w:line="254" w:lineRule="auto"/>
            </w:pPr>
            <w:r>
              <w:rPr>
                <w:sz w:val="16"/>
              </w:rPr>
              <w:t>_______________</w:t>
            </w:r>
          </w:p>
        </w:tc>
        <w:tc>
          <w:tcPr>
            <w:tcW w:type="dxa" w:w="2487"/>
            <w:vAlign w:val="center"/>
            <w:tcMar>
              <w:top w:w="90" w:type="dxa"/>
              <w:start w:w="115" w:type="dxa"/>
              <w:bottom w:w="90" w:type="dxa"/>
              <w:end w:w="115" w:type="dxa"/>
            </w:tcMar>
          </w:tcPr>
          <w:p>
            <w:pPr>
              <w:spacing w:after="0" w:line="254" w:lineRule="auto"/>
            </w:pPr>
            <w:r>
              <w:rPr>
                <w:sz w:val="16"/>
              </w:rPr>
              <w:t>Not started</w:t>
            </w:r>
          </w:p>
        </w:tc>
        <w:tc>
          <w:tcPr>
            <w:tcW w:type="dxa" w:w="2487"/>
            <w:vAlign w:val="center"/>
            <w:tcMar>
              <w:top w:w="90" w:type="dxa"/>
              <w:start w:w="115" w:type="dxa"/>
              <w:bottom w:w="90" w:type="dxa"/>
              <w:end w:w="115" w:type="dxa"/>
            </w:tcMar>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6"/>
              </w:rPr>
              <w:t>WP5  Checkpoint reproducibility</w:t>
            </w:r>
          </w:p>
        </w:tc>
        <w:tc>
          <w:tcPr>
            <w:tcW w:type="dxa" w:w="2487"/>
            <w:vAlign w:val="center"/>
            <w:tcMar>
              <w:top w:w="90" w:type="dxa"/>
              <w:start w:w="115" w:type="dxa"/>
              <w:bottom w:w="90" w:type="dxa"/>
              <w:end w:w="115" w:type="dxa"/>
            </w:tcMar>
            <w:shd w:fill="F3F6F9"/>
          </w:tcPr>
          <w:p>
            <w:pPr>
              <w:spacing w:after="0" w:line="254" w:lineRule="auto"/>
            </w:pPr>
            <w:r>
              <w:rPr>
                <w:sz w:val="16"/>
              </w:rPr>
              <w:t>_______________</w:t>
            </w:r>
          </w:p>
        </w:tc>
        <w:tc>
          <w:tcPr>
            <w:tcW w:type="dxa" w:w="2487"/>
            <w:vAlign w:val="center"/>
            <w:tcMar>
              <w:top w:w="90" w:type="dxa"/>
              <w:start w:w="115" w:type="dxa"/>
              <w:bottom w:w="90" w:type="dxa"/>
              <w:end w:w="115" w:type="dxa"/>
            </w:tcMar>
            <w:shd w:fill="F3F6F9"/>
          </w:tcPr>
          <w:p>
            <w:pPr>
              <w:spacing w:after="0" w:line="254" w:lineRule="auto"/>
            </w:pPr>
            <w:r>
              <w:rPr>
                <w:sz w:val="16"/>
              </w:rPr>
              <w:t>Not started</w:t>
            </w:r>
          </w:p>
        </w:tc>
        <w:tc>
          <w:tcPr>
            <w:tcW w:type="dxa" w:w="2487"/>
            <w:vAlign w:val="center"/>
            <w:tcMar>
              <w:top w:w="90" w:type="dxa"/>
              <w:start w:w="115" w:type="dxa"/>
              <w:bottom w:w="90" w:type="dxa"/>
              <w:end w:w="115" w:type="dxa"/>
            </w:tcMar>
            <w:shd w:fill="F3F6F9"/>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tcPr>
          <w:p>
            <w:pPr>
              <w:spacing w:after="0" w:line="254" w:lineRule="auto"/>
            </w:pPr>
            <w:r>
              <w:rPr>
                <w:sz w:val="16"/>
              </w:rPr>
              <w:t>WP6  Truncation pilot</w:t>
            </w:r>
          </w:p>
        </w:tc>
        <w:tc>
          <w:tcPr>
            <w:tcW w:type="dxa" w:w="2487"/>
            <w:vAlign w:val="center"/>
            <w:tcMar>
              <w:top w:w="90" w:type="dxa"/>
              <w:start w:w="115" w:type="dxa"/>
              <w:bottom w:w="90" w:type="dxa"/>
              <w:end w:w="115" w:type="dxa"/>
            </w:tcMar>
          </w:tcPr>
          <w:p>
            <w:pPr>
              <w:spacing w:after="0" w:line="254" w:lineRule="auto"/>
            </w:pPr>
            <w:r>
              <w:rPr>
                <w:sz w:val="16"/>
              </w:rPr>
              <w:t>_______________</w:t>
            </w:r>
          </w:p>
        </w:tc>
        <w:tc>
          <w:tcPr>
            <w:tcW w:type="dxa" w:w="2487"/>
            <w:vAlign w:val="center"/>
            <w:tcMar>
              <w:top w:w="90" w:type="dxa"/>
              <w:start w:w="115" w:type="dxa"/>
              <w:bottom w:w="90" w:type="dxa"/>
              <w:end w:w="115" w:type="dxa"/>
            </w:tcMar>
          </w:tcPr>
          <w:p>
            <w:pPr>
              <w:spacing w:after="0" w:line="254" w:lineRule="auto"/>
            </w:pPr>
            <w:r>
              <w:rPr>
                <w:sz w:val="16"/>
              </w:rPr>
              <w:t>Not started</w:t>
            </w:r>
          </w:p>
        </w:tc>
        <w:tc>
          <w:tcPr>
            <w:tcW w:type="dxa" w:w="2487"/>
            <w:vAlign w:val="center"/>
            <w:tcMar>
              <w:top w:w="90" w:type="dxa"/>
              <w:start w:w="115" w:type="dxa"/>
              <w:bottom w:w="90" w:type="dxa"/>
              <w:end w:w="115" w:type="dxa"/>
            </w:tcMar>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shd w:fill="F3F6F9"/>
          </w:tcPr>
          <w:p>
            <w:pPr>
              <w:spacing w:after="0" w:line="254" w:lineRule="auto"/>
            </w:pPr>
            <w:r>
              <w:rPr>
                <w:sz w:val="16"/>
              </w:rPr>
              <w:t>WP7  FinTrust evaluators</w:t>
            </w:r>
          </w:p>
        </w:tc>
        <w:tc>
          <w:tcPr>
            <w:tcW w:type="dxa" w:w="2487"/>
            <w:vAlign w:val="center"/>
            <w:tcMar>
              <w:top w:w="90" w:type="dxa"/>
              <w:start w:w="115" w:type="dxa"/>
              <w:bottom w:w="90" w:type="dxa"/>
              <w:end w:w="115" w:type="dxa"/>
            </w:tcMar>
            <w:shd w:fill="F3F6F9"/>
          </w:tcPr>
          <w:p>
            <w:pPr>
              <w:spacing w:after="0" w:line="254" w:lineRule="auto"/>
            </w:pPr>
            <w:r>
              <w:rPr>
                <w:sz w:val="16"/>
              </w:rPr>
              <w:t>_______________</w:t>
            </w:r>
          </w:p>
        </w:tc>
        <w:tc>
          <w:tcPr>
            <w:tcW w:type="dxa" w:w="2487"/>
            <w:vAlign w:val="center"/>
            <w:tcMar>
              <w:top w:w="90" w:type="dxa"/>
              <w:start w:w="115" w:type="dxa"/>
              <w:bottom w:w="90" w:type="dxa"/>
              <w:end w:w="115" w:type="dxa"/>
            </w:tcMar>
            <w:shd w:fill="F3F6F9"/>
          </w:tcPr>
          <w:p>
            <w:pPr>
              <w:spacing w:after="0" w:line="254" w:lineRule="auto"/>
            </w:pPr>
            <w:r>
              <w:rPr>
                <w:sz w:val="16"/>
              </w:rPr>
              <w:t>Not started</w:t>
            </w:r>
          </w:p>
        </w:tc>
        <w:tc>
          <w:tcPr>
            <w:tcW w:type="dxa" w:w="2487"/>
            <w:vAlign w:val="center"/>
            <w:tcMar>
              <w:top w:w="90" w:type="dxa"/>
              <w:start w:w="115" w:type="dxa"/>
              <w:bottom w:w="90" w:type="dxa"/>
              <w:end w:w="115" w:type="dxa"/>
            </w:tcMar>
            <w:shd w:fill="F3F6F9"/>
          </w:tcPr>
          <w:p>
            <w:pPr>
              <w:spacing w:after="0" w:line="254" w:lineRule="auto"/>
            </w:pPr>
            <w:r>
              <w:rPr>
                <w:sz w:val="16"/>
              </w:rPr>
              <w:t>__________________</w:t>
            </w:r>
          </w:p>
        </w:tc>
      </w:tr>
      <w:tr>
        <w:trPr>
          <w:cantSplit/>
        </w:trPr>
        <w:tc>
          <w:tcPr>
            <w:tcW w:type="dxa" w:w="2487"/>
            <w:vAlign w:val="center"/>
            <w:tcMar>
              <w:top w:w="90" w:type="dxa"/>
              <w:start w:w="115" w:type="dxa"/>
              <w:bottom w:w="90" w:type="dxa"/>
              <w:end w:w="115" w:type="dxa"/>
            </w:tcMar>
          </w:tcPr>
          <w:p>
            <w:pPr>
              <w:spacing w:after="0" w:line="254" w:lineRule="auto"/>
            </w:pPr>
            <w:r>
              <w:rPr>
                <w:sz w:val="16"/>
              </w:rPr>
              <w:t>WP8  Phase-4 protocol freeze</w:t>
            </w:r>
          </w:p>
        </w:tc>
        <w:tc>
          <w:tcPr>
            <w:tcW w:type="dxa" w:w="2487"/>
            <w:vAlign w:val="center"/>
            <w:tcMar>
              <w:top w:w="90" w:type="dxa"/>
              <w:start w:w="115" w:type="dxa"/>
              <w:bottom w:w="90" w:type="dxa"/>
              <w:end w:w="115" w:type="dxa"/>
            </w:tcMar>
          </w:tcPr>
          <w:p>
            <w:pPr>
              <w:spacing w:after="0" w:line="254" w:lineRule="auto"/>
            </w:pPr>
            <w:r>
              <w:rPr>
                <w:sz w:val="16"/>
              </w:rPr>
              <w:t>_______________</w:t>
            </w:r>
          </w:p>
        </w:tc>
        <w:tc>
          <w:tcPr>
            <w:tcW w:type="dxa" w:w="2487"/>
            <w:vAlign w:val="center"/>
            <w:tcMar>
              <w:top w:w="90" w:type="dxa"/>
              <w:start w:w="115" w:type="dxa"/>
              <w:bottom w:w="90" w:type="dxa"/>
              <w:end w:w="115" w:type="dxa"/>
            </w:tcMar>
          </w:tcPr>
          <w:p>
            <w:pPr>
              <w:spacing w:after="0" w:line="254" w:lineRule="auto"/>
            </w:pPr>
            <w:r>
              <w:rPr>
                <w:sz w:val="16"/>
              </w:rPr>
              <w:t>Not started</w:t>
            </w:r>
          </w:p>
        </w:tc>
        <w:tc>
          <w:tcPr>
            <w:tcW w:type="dxa" w:w="2487"/>
            <w:vAlign w:val="center"/>
            <w:tcMar>
              <w:top w:w="90" w:type="dxa"/>
              <w:start w:w="115" w:type="dxa"/>
              <w:bottom w:w="90" w:type="dxa"/>
              <w:end w:w="115" w:type="dxa"/>
            </w:tcMar>
          </w:tcPr>
          <w:p>
            <w:pPr>
              <w:spacing w:after="0" w:line="254" w:lineRule="auto"/>
            </w:pPr>
            <w:r>
              <w:rPr>
                <w:sz w:val="16"/>
              </w:rPr>
              <w:t>__________________</w:t>
            </w:r>
          </w:p>
        </w:tc>
      </w:tr>
    </w:tbl>
    <w:p>
      <w:pPr>
        <w:spacing w:after="20"/>
      </w:pPr>
    </w:p>
    <w:p>
      <w:pPr>
        <w:pStyle w:val="Heading2"/>
      </w:pPr>
      <w:r>
        <w:t>Questions for the next student review meeting</w:t>
      </w:r>
    </w:p>
    <w:p>
      <w:pPr>
        <w:pStyle w:val="ListBullet"/>
      </w:pPr>
      <w:r>
        <w:t>Which FinQA errors can be fixed by execution alone, and which need grounded program checking?</w:t>
      </w:r>
    </w:p>
    <w:p>
      <w:pPr>
        <w:pStyle w:val="ListBullet"/>
      </w:pPr>
      <w:r>
        <w:t>Are weak confidence estimates sufficiently predictive to support abstention without additional verifier features?</w:t>
      </w:r>
    </w:p>
    <w:p>
      <w:pPr>
        <w:pStyle w:val="ListBullet"/>
      </w:pPr>
      <w:r>
        <w:t>Can every reported table be reproduced from predictions and frozen configs without opening protected tests?</w:t>
      </w:r>
    </w:p>
    <w:sectPr w:rsidR="00FC693F" w:rsidRPr="0006063C" w:rsidSect="00034616">
      <w:headerReference w:type="default" r:id="rId9"/>
      <w:footerReference w:type="default" r:id="rId10"/>
      <w:pgSz w:w="12240" w:h="15840"/>
      <w:pgMar w:top="1094" w:right="1109" w:bottom="979" w:left="1181"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87"/>
        <w:sz w:val="16"/>
      </w:rPr>
      <w:t xml:space="preserve">Research working document  •  20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387"/>
        <w:sz w:val="16"/>
      </w:rPr>
      <w:t>TRUSTFIN-SLM  |  STUDENT RESEARCH GUIDE  |  PHASE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82B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82B4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2B49"/>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82B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2B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32B642A15C5147A8D960A3C98CC766" ma:contentTypeVersion="0" ma:contentTypeDescription="Create a new document." ma:contentTypeScope="" ma:versionID="dcd6c3aef9e9e217b766d3e85aa3717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DEF7E-B511-4F21-B4F7-192DB7DDD3C5}"/>
</file>

<file path=customXml/itemProps3.xml><?xml version="1.0" encoding="utf-8"?>
<ds:datastoreItem xmlns:ds="http://schemas.openxmlformats.org/officeDocument/2006/customXml" ds:itemID="{AD1E38D4-1AC4-4979-8085-51506752929B}"/>
</file>

<file path=customXml/itemProps4.xml><?xml version="1.0" encoding="utf-8"?>
<ds:datastoreItem xmlns:ds="http://schemas.openxmlformats.org/officeDocument/2006/customXml" ds:itemID="{12CBC6F2-E4A0-4367-BC41-3B85F9029BF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TrustFin-SLM Phase-3 Results Analysis and Phase-3.1 Student Guide</dc:title>
  <dc:subject>Finance SLM research methods and Phase-3.1 readiness</dc:subject>
  <dc:creator>Research Team</dc:creator>
  <cp:keywords>TrustFin-SLM, FinQA, FiQA, Phase-3, Phase-3.1, QLoRA</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0x010100A332B642A15C5147A8D960A3C98CC766</vt:lpwstr>
  </property>
</Properties>
</file>