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color w:val="0D6F71"/>
          <w:sz w:val="20"/>
        </w:rPr>
        <w:t>DOCUMENT 1 OF 2</w:t>
      </w:r>
    </w:p>
    <w:p>
      <w:pPr>
        <w:pStyle w:val="Title"/>
      </w:pPr>
      <w:r>
        <w:t>INTRODUCTION</w:t>
      </w:r>
    </w:p>
    <w:p>
      <w:pPr/>
      <w:r>
        <w:t>Paper reading list and writing instructions for the TrustFin-SLM conference manuscript.</w:t>
      </w:r>
    </w:p>
    <w:p>
      <w:r>
        <w:rPr>
          <w:b/>
          <w:color w:val="0D6F71"/>
        </w:rPr>
        <w:t>Verified research papers • Clickable academic links • No duplicate papers across the two guides</w:t>
      </w:r>
    </w:p>
    <w:p>
      <w:pPr>
        <w:pStyle w:val="Heading1"/>
      </w:pPr>
      <w:r>
        <w:t>Purpose and non-overlap rule</w:t>
      </w:r>
    </w:p>
    <w:p>
      <w:r>
        <w:t>This guide assigns six verified papers exclusively to the Introduction. Students should read these original sources to establish the financial task context, the motivation for small models, the trust problem, and the research gap. The Related Work guide contains a different set of fourteen papers focused on specific prior methods.</w:t>
      </w:r>
    </w:p>
    <w:p>
      <w:r>
        <w:t>Target: approximately 550–700 words, normally 5 concise paragraphs for a 6–8 page conference submission; adjust to the actual venue template. This is a reading-and-writing guide, not manuscript text to copy.</w:t>
      </w:r>
    </w:p>
    <w:p>
      <w:pPr>
        <w:pStyle w:val="Heading1"/>
      </w:pPr>
      <w:r>
        <w:t>Recommended paragraph plan</w:t>
      </w:r>
    </w:p>
    <w:tbl>
      <w:tblPr>
        <w:tblStyle w:val="LightShading-Accent1"/>
        <w:tblW w:type="auto" w:w="0"/>
        <w:jc w:val="center"/>
        <w:tblLook w:firstColumn="1" w:firstRow="1" w:lastColumn="0" w:lastRow="0" w:noHBand="0" w:noVBand="1" w:val="04A0"/>
      </w:tblPr>
      <w:tblGrid>
        <w:gridCol w:w="3288"/>
        <w:gridCol w:w="3288"/>
        <w:gridCol w:w="3288"/>
      </w:tblGrid>
      <w:tr>
        <w:trPr>
          <w:tblHeader w:val="true"/>
        </w:trPr>
        <w:tc>
          <w:tcPr>
            <w:tcW w:type="dxa" w:w="3288"/>
            <w:vAlign w:val="center"/>
            <w:shd w:fill="DFEAF2"/>
          </w:tcPr>
          <w:p>
            <w:r/>
            <w:r>
              <w:rPr>
                <w:b/>
                <w:color w:val="1A314D"/>
                <w:sz w:val="18"/>
              </w:rPr>
              <w:t>Paragraph</w:t>
            </w:r>
          </w:p>
        </w:tc>
        <w:tc>
          <w:tcPr>
            <w:tcW w:type="dxa" w:w="3288"/>
            <w:vAlign w:val="center"/>
            <w:shd w:fill="DFEAF2"/>
          </w:tcPr>
          <w:p>
            <w:r/>
            <w:r>
              <w:rPr>
                <w:b/>
                <w:color w:val="1A314D"/>
                <w:sz w:val="18"/>
              </w:rPr>
              <w:t>Purpose</w:t>
            </w:r>
          </w:p>
        </w:tc>
        <w:tc>
          <w:tcPr>
            <w:tcW w:type="dxa" w:w="3288"/>
            <w:vAlign w:val="center"/>
            <w:shd w:fill="DFEAF2"/>
          </w:tcPr>
          <w:p>
            <w:r/>
            <w:r>
              <w:rPr>
                <w:b/>
                <w:color w:val="1A314D"/>
                <w:sz w:val="18"/>
              </w:rPr>
              <w:t>Assigned papers</w:t>
            </w:r>
          </w:p>
        </w:tc>
      </w:tr>
      <w:tr>
        <w:tc>
          <w:tcPr>
            <w:tcW w:type="dxa" w:w="3288"/>
            <w:vAlign w:val="center"/>
          </w:tcPr>
          <w:p>
            <w:r/>
            <w:r>
              <w:rPr>
                <w:b w:val="0"/>
                <w:sz w:val="17"/>
              </w:rPr>
              <w:t>P1 • 100–130 words</w:t>
            </w:r>
          </w:p>
        </w:tc>
        <w:tc>
          <w:tcPr>
            <w:tcW w:type="dxa" w:w="3288"/>
            <w:vAlign w:val="center"/>
          </w:tcPr>
          <w:p>
            <w:r/>
            <w:r>
              <w:rPr>
                <w:b w:val="0"/>
                <w:sz w:val="17"/>
              </w:rPr>
              <w:t>Financial NLP tasks: unstructured opinions and numerical reports; why specialized evidence matters.</w:t>
            </w:r>
          </w:p>
        </w:tc>
        <w:tc>
          <w:tcPr>
            <w:tcW w:type="dxa" w:w="3288"/>
            <w:vAlign w:val="center"/>
          </w:tcPr>
          <w:p>
            <w:r/>
            <w:r>
              <w:rPr>
                <w:b w:val="0"/>
                <w:sz w:val="17"/>
              </w:rPr>
              <w:t>I01, I02</w:t>
            </w:r>
          </w:p>
        </w:tc>
      </w:tr>
      <w:tr>
        <w:tc>
          <w:tcPr>
            <w:tcW w:type="dxa" w:w="3288"/>
            <w:vAlign w:val="center"/>
            <w:shd w:fill="F4F8FA"/>
          </w:tcPr>
          <w:p>
            <w:r/>
            <w:r>
              <w:rPr>
                <w:b w:val="0"/>
                <w:sz w:val="17"/>
              </w:rPr>
              <w:t>P2 • 100–120 words</w:t>
            </w:r>
          </w:p>
        </w:tc>
        <w:tc>
          <w:tcPr>
            <w:tcW w:type="dxa" w:w="3288"/>
            <w:vAlign w:val="center"/>
            <w:shd w:fill="F4F8FA"/>
          </w:tcPr>
          <w:p>
            <w:r/>
            <w:r>
              <w:rPr>
                <w:b w:val="0"/>
                <w:sz w:val="17"/>
              </w:rPr>
              <w:t>Concrete difficulty: arithmetic, tables/text, generated programs and erroneous final answers.</w:t>
            </w:r>
          </w:p>
        </w:tc>
        <w:tc>
          <w:tcPr>
            <w:tcW w:type="dxa" w:w="3288"/>
            <w:vAlign w:val="center"/>
            <w:shd w:fill="F4F8FA"/>
          </w:tcPr>
          <w:p>
            <w:r/>
            <w:r>
              <w:rPr>
                <w:b w:val="0"/>
                <w:sz w:val="17"/>
              </w:rPr>
              <w:t>I02</w:t>
            </w:r>
          </w:p>
        </w:tc>
      </w:tr>
      <w:tr>
        <w:tc>
          <w:tcPr>
            <w:tcW w:type="dxa" w:w="3288"/>
            <w:vAlign w:val="center"/>
          </w:tcPr>
          <w:p>
            <w:r/>
            <w:r>
              <w:rPr>
                <w:b w:val="0"/>
                <w:sz w:val="17"/>
              </w:rPr>
              <w:t>P3 • 100–130 words</w:t>
            </w:r>
          </w:p>
        </w:tc>
        <w:tc>
          <w:tcPr>
            <w:tcW w:type="dxa" w:w="3288"/>
            <w:vAlign w:val="center"/>
          </w:tcPr>
          <w:p>
            <w:r/>
            <w:r>
              <w:rPr>
                <w:b w:val="0"/>
                <w:sz w:val="17"/>
              </w:rPr>
              <w:t>Finance LMs and accessibility: domain adaptation versus large-model compute; motivate SLM and QLoRA study.</w:t>
            </w:r>
          </w:p>
        </w:tc>
        <w:tc>
          <w:tcPr>
            <w:tcW w:type="dxa" w:w="3288"/>
            <w:vAlign w:val="center"/>
          </w:tcPr>
          <w:p>
            <w:r/>
            <w:r>
              <w:rPr>
                <w:b w:val="0"/>
                <w:sz w:val="17"/>
              </w:rPr>
              <w:t>I03, I04</w:t>
            </w:r>
          </w:p>
        </w:tc>
      </w:tr>
      <w:tr>
        <w:tc>
          <w:tcPr>
            <w:tcW w:type="dxa" w:w="3288"/>
            <w:vAlign w:val="center"/>
            <w:shd w:fill="F4F8FA"/>
          </w:tcPr>
          <w:p>
            <w:r/>
            <w:r>
              <w:rPr>
                <w:b w:val="0"/>
                <w:sz w:val="17"/>
              </w:rPr>
              <w:t>P4 • 100–120 words</w:t>
            </w:r>
          </w:p>
        </w:tc>
        <w:tc>
          <w:tcPr>
            <w:tcW w:type="dxa" w:w="3288"/>
            <w:vAlign w:val="center"/>
            <w:shd w:fill="F4F8FA"/>
          </w:tcPr>
          <w:p>
            <w:r/>
            <w:r>
              <w:rPr>
                <w:b w:val="0"/>
                <w:sz w:val="17"/>
              </w:rPr>
              <w:t>Accuracy alone is insufficient: task diversity and finance-specific trust dimensions.</w:t>
            </w:r>
          </w:p>
        </w:tc>
        <w:tc>
          <w:tcPr>
            <w:tcW w:type="dxa" w:w="3288"/>
            <w:vAlign w:val="center"/>
            <w:shd w:fill="F4F8FA"/>
          </w:tcPr>
          <w:p>
            <w:r/>
            <w:r>
              <w:rPr>
                <w:b w:val="0"/>
                <w:sz w:val="17"/>
              </w:rPr>
              <w:t>I05, I06</w:t>
            </w:r>
          </w:p>
        </w:tc>
      </w:tr>
      <w:tr>
        <w:tc>
          <w:tcPr>
            <w:tcW w:type="dxa" w:w="3288"/>
            <w:vAlign w:val="center"/>
          </w:tcPr>
          <w:p>
            <w:r/>
            <w:r>
              <w:rPr>
                <w:b w:val="0"/>
                <w:sz w:val="17"/>
              </w:rPr>
              <w:t>P5 • 130–170 words</w:t>
            </w:r>
          </w:p>
        </w:tc>
        <w:tc>
          <w:tcPr>
            <w:tcW w:type="dxa" w:w="3288"/>
            <w:vAlign w:val="center"/>
          </w:tcPr>
          <w:p>
            <w:r/>
            <w:r>
              <w:rPr>
                <w:b w:val="0"/>
                <w:sz w:val="17"/>
              </w:rPr>
              <w:t>State narrow research gap, proposed pipeline, research questions and *supported* contributions.</w:t>
            </w:r>
          </w:p>
        </w:tc>
        <w:tc>
          <w:tcPr>
            <w:tcW w:type="dxa" w:w="3288"/>
            <w:vAlign w:val="center"/>
          </w:tcPr>
          <w:p>
            <w:r/>
            <w:r>
              <w:rPr>
                <w:b w:val="0"/>
                <w:sz w:val="17"/>
              </w:rPr>
              <w:t>Synthesize I01–I06 + own verified results</w:t>
            </w:r>
          </w:p>
        </w:tc>
      </w:tr>
    </w:tbl>
    <w:p>
      <w:pPr>
        <w:pStyle w:val="Heading1"/>
      </w:pPr>
      <w:r>
        <w:t>Papers to read — Introduction only</w:t>
      </w:r>
    </w:p>
    <w:p>
      <w:pPr>
        <w:pStyle w:val="Heading2"/>
        <w:keepNext/>
      </w:pPr>
      <w:r>
        <w:t>I01  WWW'18 Open Challenge: Financial Opinion Mining and Question Answering</w:t>
      </w:r>
    </w:p>
    <w:p>
      <w:pPr>
        <w:spacing w:after="60"/>
      </w:pPr>
      <w:r>
        <w:rPr>
          <w:i/>
          <w:sz w:val="18"/>
        </w:rPr>
        <w:t>Maia et al. (2018)  |  The Web Conference (WWW) 2018 Companion</w:t>
      </w:r>
    </w:p>
    <w:p>
      <w:pPr>
        <w:spacing w:after="100"/>
      </w:pPr>
      <w:r>
        <w:rPr>
          <w:b/>
        </w:rPr>
        <w:t xml:space="preserve">Read the paper:  </w:t>
      </w:r>
      <w:hyperlink r:id="rId11">
        <w:r>
          <w:rPr>
            <w:color w:val="1C608D"/>
            <w:u w:val="single"/>
          </w:rPr>
          <w:t>https://doi.org/10.1145/3184558.3192301</w:t>
        </w:r>
      </w:hyperlink>
    </w:p>
    <w:p>
      <w:pPr>
        <w:spacing w:after="80"/>
      </w:pPr>
      <w:r>
        <w:rPr>
          <w:b/>
          <w:color w:val="1A314D"/>
        </w:rPr>
        <w:t xml:space="preserve">Why assigned:  </w:t>
      </w:r>
      <w:r>
        <w:t>Motivate financial opinion mining and the distinction between sentiment and question answering.</w:t>
      </w:r>
    </w:p>
    <w:p>
      <w:pPr>
        <w:spacing w:after="80"/>
      </w:pPr>
      <w:r>
        <w:rPr>
          <w:b/>
          <w:color w:val="1A314D"/>
        </w:rPr>
        <w:t xml:space="preserve">Read specifically:  </w:t>
      </w:r>
      <w:r>
        <w:t>Challenge description, Task 1, the nature of opinion/score labels, and the task motivation.</w:t>
      </w:r>
    </w:p>
    <w:p>
      <w:pPr>
        <w:spacing w:after="80"/>
      </w:pPr>
      <w:r>
        <w:rPr>
          <w:b/>
          <w:color w:val="1A314D"/>
        </w:rPr>
        <w:t xml:space="preserve">Student extraction task:  </w:t>
      </w:r>
      <w:r>
        <w:t>What financial text sources are used? What is the original task definition? Which claims can be made about sentiment analysis without misrepresenting FiQA as three-class classification?</w:t>
      </w:r>
    </w:p>
    <w:p>
      <w:pPr>
        <w:spacing w:after="80"/>
      </w:pPr>
      <w:r>
        <w:rPr>
          <w:b/>
          <w:color w:val="1A314D"/>
        </w:rPr>
        <w:t xml:space="preserve">Use in manuscript:  </w:t>
      </w:r>
      <w:r>
        <w:t>Introduction paragraph 1; later dataset-description source for FiQA.</w:t>
      </w:r>
    </w:p>
    <w:p>
      <w:pPr>
        <w:spacing w:after="20"/>
        <w:pBdr>
          <w:bottom w:val="single" w:sz="4" w:color="D9E5EB"/>
        </w:pBdr>
      </w:pPr>
    </w:p>
    <w:p>
      <w:pPr>
        <w:pStyle w:val="Heading2"/>
        <w:keepNext/>
      </w:pPr>
      <w:r>
        <w:t>I02  FinQA: A Dataset of Numerical Reasoning over Financial Data</w:t>
      </w:r>
    </w:p>
    <w:p>
      <w:pPr>
        <w:spacing w:after="60"/>
      </w:pPr>
      <w:r>
        <w:rPr>
          <w:i/>
          <w:sz w:val="18"/>
        </w:rPr>
        <w:t>Chen et al. (2021)  |  EMNLP 2021</w:t>
      </w:r>
    </w:p>
    <w:p>
      <w:pPr>
        <w:spacing w:after="100"/>
      </w:pPr>
      <w:r>
        <w:rPr>
          <w:b/>
        </w:rPr>
        <w:t xml:space="preserve">Read the paper:  </w:t>
      </w:r>
      <w:hyperlink r:id="rId12">
        <w:r>
          <w:rPr>
            <w:color w:val="1C608D"/>
            <w:u w:val="single"/>
          </w:rPr>
          <w:t>https://aclanthology.org/2021.emnlp-main.300/</w:t>
        </w:r>
      </w:hyperlink>
    </w:p>
    <w:p>
      <w:pPr>
        <w:spacing w:after="80"/>
      </w:pPr>
      <w:r>
        <w:rPr>
          <w:b/>
          <w:color w:val="1A314D"/>
        </w:rPr>
        <w:t xml:space="preserve">Why assigned:  </w:t>
      </w:r>
      <w:r>
        <w:t>Show why numerical reasoning over financial tables and narrative text is challenging.</w:t>
      </w:r>
    </w:p>
    <w:p>
      <w:pPr>
        <w:spacing w:after="80"/>
      </w:pPr>
      <w:r>
        <w:rPr>
          <w:b/>
          <w:color w:val="1A314D"/>
        </w:rPr>
        <w:t xml:space="preserve">Read specifically:  </w:t>
      </w:r>
      <w:r>
        <w:t>Introduction, task/dataset construction, reasoning-program format, and baseline discussion.</w:t>
      </w:r>
    </w:p>
    <w:p>
      <w:pPr>
        <w:spacing w:after="80"/>
      </w:pPr>
      <w:r>
        <w:rPr>
          <w:b/>
          <w:color w:val="1A314D"/>
        </w:rPr>
        <w:t xml:space="preserve">Student extraction task:  </w:t>
      </w:r>
      <w:r>
        <w:t>Why does finance require multi-step arithmetic? Why are gold executable programs useful? Distinguish arithmetic execution from determining which operation is correct.</w:t>
      </w:r>
    </w:p>
    <w:p>
      <w:pPr>
        <w:spacing w:after="80"/>
      </w:pPr>
      <w:r>
        <w:rPr>
          <w:b/>
          <w:color w:val="1A314D"/>
        </w:rPr>
        <w:t xml:space="preserve">Use in manuscript:  </w:t>
      </w:r>
      <w:r>
        <w:t>Introduction paragraphs 1–2; cite again as needed for dataset definition.</w:t>
      </w:r>
    </w:p>
    <w:p>
      <w:pPr>
        <w:spacing w:after="20"/>
        <w:pBdr>
          <w:bottom w:val="single" w:sz="4" w:color="D9E5EB"/>
        </w:pBdr>
      </w:pPr>
    </w:p>
    <w:p>
      <w:pPr>
        <w:pStyle w:val="Heading2"/>
        <w:keepNext/>
      </w:pPr>
      <w:r>
        <w:t>I03  BloombergGPT: A Large Language Model for Finance</w:t>
      </w:r>
    </w:p>
    <w:p>
      <w:pPr>
        <w:spacing w:after="60"/>
      </w:pPr>
      <w:r>
        <w:rPr>
          <w:i/>
          <w:sz w:val="18"/>
        </w:rPr>
        <w:t>Wu et al. (2023)  |  arXiv preprint</w:t>
      </w:r>
    </w:p>
    <w:p>
      <w:pPr>
        <w:spacing w:after="100"/>
      </w:pPr>
      <w:r>
        <w:rPr>
          <w:b/>
        </w:rPr>
        <w:t xml:space="preserve">Read the paper:  </w:t>
      </w:r>
      <w:hyperlink r:id="rId13">
        <w:r>
          <w:rPr>
            <w:color w:val="1C608D"/>
            <w:u w:val="single"/>
          </w:rPr>
          <w:t>https://arxiv.org/abs/2303.17564</w:t>
        </w:r>
      </w:hyperlink>
    </w:p>
    <w:p>
      <w:pPr>
        <w:spacing w:after="80"/>
      </w:pPr>
      <w:r>
        <w:rPr>
          <w:b/>
          <w:color w:val="1A314D"/>
        </w:rPr>
        <w:t xml:space="preserve">Why assigned:  </w:t>
      </w:r>
      <w:r>
        <w:t>Introduce domain-specialized language models and the resource footprint of very large finance LMs.</w:t>
      </w:r>
    </w:p>
    <w:p>
      <w:pPr>
        <w:spacing w:after="80"/>
      </w:pPr>
      <w:r>
        <w:rPr>
          <w:b/>
          <w:color w:val="1A314D"/>
        </w:rPr>
        <w:t xml:space="preserve">Read specifically:  </w:t>
      </w:r>
      <w:r>
        <w:t>Abstract, Introduction and model/data overview.</w:t>
      </w:r>
    </w:p>
    <w:p>
      <w:pPr>
        <w:spacing w:after="80"/>
      </w:pPr>
      <w:r>
        <w:rPr>
          <w:b/>
          <w:color w:val="1A314D"/>
        </w:rPr>
        <w:t xml:space="preserve">Student extraction task:  </w:t>
      </w:r>
      <w:r>
        <w:t>Which applications motivate domain language models? What is the model scale? Explain why a smaller, reproducible alternative is a reasonable research direction; do not imply a head-to-head comparison was conducted.</w:t>
      </w:r>
    </w:p>
    <w:p>
      <w:pPr>
        <w:spacing w:after="80"/>
      </w:pPr>
      <w:r>
        <w:rPr>
          <w:b/>
          <w:color w:val="1A314D"/>
        </w:rPr>
        <w:t xml:space="preserve">Use in manuscript:  </w:t>
      </w:r>
      <w:r>
        <w:t>Introduction paragraph 3.</w:t>
      </w:r>
    </w:p>
    <w:p>
      <w:pPr>
        <w:spacing w:after="20"/>
        <w:pBdr>
          <w:bottom w:val="single" w:sz="4" w:color="D9E5EB"/>
        </w:pBdr>
      </w:pPr>
    </w:p>
    <w:p>
      <w:pPr>
        <w:pStyle w:val="Heading2"/>
        <w:keepNext/>
      </w:pPr>
      <w:r>
        <w:t>I04  FinGPT: Open-Source Financial Large Language Models</w:t>
      </w:r>
    </w:p>
    <w:p>
      <w:pPr>
        <w:spacing w:after="60"/>
      </w:pPr>
      <w:r>
        <w:rPr>
          <w:i/>
          <w:sz w:val="18"/>
        </w:rPr>
        <w:t>Yang et al. (2023)  |  FinLLM Workshop (IJCAI 2023); arXiv</w:t>
      </w:r>
    </w:p>
    <w:p>
      <w:pPr>
        <w:spacing w:after="100"/>
      </w:pPr>
      <w:r>
        <w:rPr>
          <w:b/>
        </w:rPr>
        <w:t xml:space="preserve">Read the paper:  </w:t>
      </w:r>
      <w:hyperlink r:id="rId14">
        <w:r>
          <w:rPr>
            <w:color w:val="1C608D"/>
            <w:u w:val="single"/>
          </w:rPr>
          <w:t>https://arxiv.org/abs/2306.06031</w:t>
        </w:r>
      </w:hyperlink>
    </w:p>
    <w:p>
      <w:pPr>
        <w:spacing w:after="80"/>
      </w:pPr>
      <w:r>
        <w:rPr>
          <w:b/>
          <w:color w:val="1A314D"/>
        </w:rPr>
        <w:t xml:space="preserve">Why assigned:  </w:t>
      </w:r>
      <w:r>
        <w:t>Motivate open and parameter-efficient financial LMs rather than expensive closed-model development.</w:t>
      </w:r>
    </w:p>
    <w:p>
      <w:pPr>
        <w:spacing w:after="80"/>
      </w:pPr>
      <w:r>
        <w:rPr>
          <w:b/>
          <w:color w:val="1A314D"/>
        </w:rPr>
        <w:t xml:space="preserve">Read specifically:  </w:t>
      </w:r>
      <w:r>
        <w:t>Abstract, Introduction, financial data pipeline and adaptation discussion.</w:t>
      </w:r>
    </w:p>
    <w:p>
      <w:pPr>
        <w:spacing w:after="80"/>
      </w:pPr>
      <w:r>
        <w:rPr>
          <w:b/>
          <w:color w:val="1A314D"/>
        </w:rPr>
        <w:t xml:space="preserve">Student extraction task:  </w:t>
      </w:r>
      <w:r>
        <w:t>What motivates openness and lightweight adaptation? What is already established in FinGPT, so TrustFin-SLM must not claim open financial adaptation as original?</w:t>
      </w:r>
    </w:p>
    <w:p>
      <w:pPr>
        <w:spacing w:after="80"/>
      </w:pPr>
      <w:r>
        <w:rPr>
          <w:b/>
          <w:color w:val="1A314D"/>
        </w:rPr>
        <w:t xml:space="preserve">Use in manuscript:  </w:t>
      </w:r>
      <w:r>
        <w:t>Introduction paragraph 3.</w:t>
      </w:r>
    </w:p>
    <w:p>
      <w:pPr>
        <w:spacing w:after="20"/>
        <w:pBdr>
          <w:bottom w:val="single" w:sz="4" w:color="D9E5EB"/>
        </w:pBdr>
      </w:pPr>
    </w:p>
    <w:p>
      <w:pPr>
        <w:pStyle w:val="Heading2"/>
        <w:keepNext/>
      </w:pPr>
      <w:r>
        <w:t>I05  FinBen: A Holistic Financial Benchmark for Large Language Models</w:t>
      </w:r>
    </w:p>
    <w:p>
      <w:pPr>
        <w:spacing w:after="60"/>
      </w:pPr>
      <w:r>
        <w:rPr>
          <w:i/>
          <w:sz w:val="18"/>
        </w:rPr>
        <w:t>Xie et al. (2024)  |  NeurIPS 2024 Datasets and Benchmarks</w:t>
      </w:r>
    </w:p>
    <w:p>
      <w:pPr>
        <w:spacing w:after="100"/>
      </w:pPr>
      <w:r>
        <w:rPr>
          <w:b/>
        </w:rPr>
        <w:t xml:space="preserve">Read the paper:  </w:t>
      </w:r>
      <w:hyperlink r:id="rId15">
        <w:r>
          <w:rPr>
            <w:color w:val="1C608D"/>
            <w:u w:val="single"/>
          </w:rPr>
          <w:t>https://proceedings.nips.cc/paper_files/paper/2024/hash/adb1d9fa8be4576d28703b396b82ba1b-Abstract-Datasets_and_Benchmarks_Track.html</w:t>
        </w:r>
      </w:hyperlink>
    </w:p>
    <w:p>
      <w:pPr>
        <w:spacing w:after="80"/>
      </w:pPr>
      <w:r>
        <w:rPr>
          <w:b/>
          <w:color w:val="1A314D"/>
        </w:rPr>
        <w:t xml:space="preserve">Why assigned:  </w:t>
      </w:r>
      <w:r>
        <w:t>Establish that financial language-model evaluation spans diverse tasks and that one score is insufficient.</w:t>
      </w:r>
    </w:p>
    <w:p>
      <w:pPr>
        <w:spacing w:after="80"/>
      </w:pPr>
      <w:r>
        <w:rPr>
          <w:b/>
          <w:color w:val="1A314D"/>
        </w:rPr>
        <w:t xml:space="preserve">Read specifically:  </w:t>
      </w:r>
      <w:r>
        <w:t>Abstract, taxonomy of financial tasks, evaluation scope and limitations.</w:t>
      </w:r>
    </w:p>
    <w:p>
      <w:pPr>
        <w:spacing w:after="80"/>
      </w:pPr>
      <w:r>
        <w:rPr>
          <w:b/>
          <w:color w:val="1A314D"/>
        </w:rPr>
        <w:t xml:space="preserve">Student extraction task:  </w:t>
      </w:r>
      <w:r>
        <w:t>Which capabilities are measured? Why evaluate reasoning and sentiment separately? Do not claim that TrustFin-SLM was evaluated on all FinBen tasks.</w:t>
      </w:r>
    </w:p>
    <w:p>
      <w:pPr>
        <w:spacing w:after="80"/>
      </w:pPr>
      <w:r>
        <w:rPr>
          <w:b/>
          <w:color w:val="1A314D"/>
        </w:rPr>
        <w:t xml:space="preserve">Use in manuscript:  </w:t>
      </w:r>
      <w:r>
        <w:t>Introduction paragraph 4.</w:t>
      </w:r>
    </w:p>
    <w:p>
      <w:pPr>
        <w:spacing w:after="20"/>
        <w:pBdr>
          <w:bottom w:val="single" w:sz="4" w:color="D9E5EB"/>
        </w:pBdr>
      </w:pPr>
    </w:p>
    <w:p>
      <w:pPr>
        <w:pStyle w:val="Heading2"/>
        <w:keepNext/>
      </w:pPr>
      <w:r>
        <w:t>I06  FinTrust: A Comprehensive Benchmark of Trustworthiness Evaluation in Finance Domain</w:t>
      </w:r>
    </w:p>
    <w:p>
      <w:pPr>
        <w:spacing w:after="60"/>
      </w:pPr>
      <w:r>
        <w:rPr>
          <w:i/>
          <w:sz w:val="18"/>
        </w:rPr>
        <w:t>Hu et al. (2025)  |  EMNLP 2025</w:t>
      </w:r>
    </w:p>
    <w:p>
      <w:pPr>
        <w:spacing w:after="100"/>
      </w:pPr>
      <w:r>
        <w:rPr>
          <w:b/>
        </w:rPr>
        <w:t xml:space="preserve">Read the paper:  </w:t>
      </w:r>
      <w:hyperlink r:id="rId16">
        <w:r>
          <w:rPr>
            <w:color w:val="1C608D"/>
            <w:u w:val="single"/>
          </w:rPr>
          <w:t>https://aclanthology.org/2025.emnlp-main.512/</w:t>
        </w:r>
      </w:hyperlink>
    </w:p>
    <w:p>
      <w:pPr>
        <w:spacing w:after="80"/>
      </w:pPr>
      <w:r>
        <w:rPr>
          <w:b/>
          <w:color w:val="1A314D"/>
        </w:rPr>
        <w:t xml:space="preserve">Why assigned:  </w:t>
      </w:r>
      <w:r>
        <w:t>Motivate why high-stakes financial use requires trustworthiness beyond ordinary task accuracy.</w:t>
      </w:r>
    </w:p>
    <w:p>
      <w:pPr>
        <w:spacing w:after="80"/>
      </w:pPr>
      <w:r>
        <w:rPr>
          <w:b/>
          <w:color w:val="1A314D"/>
        </w:rPr>
        <w:t xml:space="preserve">Read specifically:  </w:t>
      </w:r>
      <w:r>
        <w:t>Introduction, the seven trust dimensions, dataset construction and evaluation methodology.</w:t>
      </w:r>
    </w:p>
    <w:p>
      <w:pPr>
        <w:spacing w:after="80"/>
      </w:pPr>
      <w:r>
        <w:rPr>
          <w:b/>
          <w:color w:val="1A314D"/>
        </w:rPr>
        <w:t xml:space="preserve">Student extraction task:  </w:t>
      </w:r>
      <w:r>
        <w:t>What is meant by trustfulness, robustness, safety, fairness, privacy, transparency, and knowledge discovery? Distinguish planned FinTrust evaluation from verified experimental results.</w:t>
      </w:r>
    </w:p>
    <w:p>
      <w:pPr>
        <w:spacing w:after="80"/>
      </w:pPr>
      <w:r>
        <w:rPr>
          <w:b/>
          <w:color w:val="1A314D"/>
        </w:rPr>
        <w:t xml:space="preserve">Use in manuscript:  </w:t>
      </w:r>
      <w:r>
        <w:t>Introduction paragraph 4–5.</w:t>
      </w:r>
    </w:p>
    <w:p>
      <w:pPr>
        <w:spacing w:after="20"/>
        <w:pBdr>
          <w:bottom w:val="single" w:sz="4" w:color="D9E5EB"/>
        </w:pBdr>
      </w:pPr>
    </w:p>
    <w:p>
      <w:pPr>
        <w:pStyle w:val="Heading1"/>
      </w:pPr>
      <w:r>
        <w:t>How students should write the Introduction</w:t>
      </w:r>
    </w:p>
    <w:p>
      <w:pPr>
        <w:pStyle w:val="ListBullet"/>
      </w:pPr>
      <w:r>
        <w:t>Read at least Abstract + Introduction + the relevant task/method subsection for every assigned paper; record page numbers for any exact factual claims.</w:t>
      </w:r>
    </w:p>
    <w:p>
      <w:pPr>
        <w:pStyle w:val="ListBullet"/>
      </w:pPr>
      <w:r>
        <w:t>Use one clear idea per paragraph and cite the papers at the point where their information is used. Avoid six isolated paper summaries.</w:t>
      </w:r>
    </w:p>
    <w:p>
      <w:pPr>
        <w:pStyle w:val="ListBullet"/>
      </w:pPr>
      <w:r>
        <w:t>The problem is twofold: an SLM must produce a useful financial answer, and a system must recognize when its program or evidence is unreliable.</w:t>
      </w:r>
    </w:p>
    <w:p>
      <w:pPr>
        <w:pStyle w:val="ListBullet"/>
      </w:pPr>
      <w:r>
        <w:t>Mention FinQA numerical QA and FiQA continuous sentiment as the two *actually used* development tasks. Do not claim FinNLI training or seven completed FinTrust evaluations.</w:t>
      </w:r>
    </w:p>
    <w:p>
      <w:pPr>
        <w:pStyle w:val="ListBullet"/>
      </w:pPr>
      <w:r>
        <w:t>Use the verified validation distinction: generated-answer accuracy 37.60% and execution-based result accuracy 67.50% (E5/FinQA validation); these are *our results*, not literature findings, and may be better reported in Results rather than Introduction.</w:t>
      </w:r>
    </w:p>
    <w:p>
      <w:pPr>
        <w:pStyle w:val="ListBullet"/>
      </w:pPr>
      <w:r>
        <w:t>Describe verifier-aware selective prediction as a tested research direction; do not claim a confirmed significant improvement until the frozen protected-test results support it.</w:t>
      </w:r>
    </w:p>
    <w:p>
      <w:pPr>
        <w:pStyle w:val="ListBullet"/>
      </w:pPr>
      <w:r>
        <w:t>Finish with 2–3 defensible contributions, avoiding invented novelty. Program execution, QLoRA, and generic confidence calibration are established methods.</w:t>
      </w:r>
    </w:p>
    <w:p>
      <w:pPr>
        <w:pStyle w:val="Heading1"/>
      </w:pPr>
      <w:r>
        <w:t>Student worksheet: evidence before writing</w:t>
      </w:r>
    </w:p>
    <w:tbl>
      <w:tblPr>
        <w:tblStyle w:val="LightShading-Accent1"/>
        <w:tblW w:type="auto" w:w="0"/>
        <w:jc w:val="center"/>
        <w:tblLook w:firstColumn="1" w:firstRow="1" w:lastColumn="0" w:lastRow="0" w:noHBand="0" w:noVBand="1" w:val="04A0"/>
      </w:tblPr>
      <w:tblGrid>
        <w:gridCol w:w="3288"/>
        <w:gridCol w:w="3288"/>
        <w:gridCol w:w="3288"/>
      </w:tblGrid>
      <w:tr>
        <w:trPr>
          <w:tblHeader w:val="true"/>
        </w:trPr>
        <w:tc>
          <w:tcPr>
            <w:tcW w:type="dxa" w:w="3288"/>
            <w:vAlign w:val="center"/>
            <w:shd w:fill="DFEAF2"/>
          </w:tcPr>
          <w:p>
            <w:r/>
            <w:r>
              <w:rPr>
                <w:b/>
                <w:color w:val="1A314D"/>
                <w:sz w:val="18"/>
              </w:rPr>
              <w:t>Paper</w:t>
            </w:r>
          </w:p>
        </w:tc>
        <w:tc>
          <w:tcPr>
            <w:tcW w:type="dxa" w:w="3288"/>
            <w:vAlign w:val="center"/>
            <w:shd w:fill="DFEAF2"/>
          </w:tcPr>
          <w:p>
            <w:r/>
            <w:r>
              <w:rPr>
                <w:b/>
                <w:color w:val="1A314D"/>
                <w:sz w:val="18"/>
              </w:rPr>
              <w:t>One verified fact (with page/section)</w:t>
            </w:r>
          </w:p>
        </w:tc>
        <w:tc>
          <w:tcPr>
            <w:tcW w:type="dxa" w:w="3288"/>
            <w:vAlign w:val="center"/>
            <w:shd w:fill="DFEAF2"/>
          </w:tcPr>
          <w:p>
            <w:r/>
            <w:r>
              <w:rPr>
                <w:b/>
                <w:color w:val="1A314D"/>
                <w:sz w:val="18"/>
              </w:rPr>
              <w:t>One sentence explaining how it supports the gap</w:t>
            </w:r>
          </w:p>
        </w:tc>
      </w:tr>
      <w:tr>
        <w:tc>
          <w:tcPr>
            <w:tcW w:type="dxa" w:w="3288"/>
            <w:vAlign w:val="center"/>
          </w:tcPr>
          <w:p>
            <w:r/>
            <w:r>
              <w:rPr>
                <w:b w:val="0"/>
                <w:sz w:val="17"/>
              </w:rPr>
              <w:t>I01</w:t>
            </w:r>
          </w:p>
        </w:tc>
        <w:tc>
          <w:tcPr>
            <w:tcW w:type="dxa" w:w="3288"/>
            <w:vAlign w:val="center"/>
          </w:tcPr>
          <w:p>
            <w:r/>
            <w:r>
              <w:rPr>
                <w:b w:val="0"/>
                <w:sz w:val="17"/>
              </w:rPr>
              <w:t>Complete after reading</w:t>
            </w:r>
          </w:p>
        </w:tc>
        <w:tc>
          <w:tcPr>
            <w:tcW w:type="dxa" w:w="3288"/>
            <w:vAlign w:val="center"/>
          </w:tcPr>
          <w:p>
            <w:r/>
            <w:r>
              <w:rPr>
                <w:b w:val="0"/>
                <w:sz w:val="17"/>
              </w:rPr>
              <w:t>Complete after reading</w:t>
            </w:r>
          </w:p>
        </w:tc>
      </w:tr>
      <w:tr>
        <w:tc>
          <w:tcPr>
            <w:tcW w:type="dxa" w:w="3288"/>
            <w:vAlign w:val="center"/>
            <w:shd w:fill="F4F8FA"/>
          </w:tcPr>
          <w:p>
            <w:r/>
            <w:r>
              <w:rPr>
                <w:b w:val="0"/>
                <w:sz w:val="17"/>
              </w:rPr>
              <w:t>I02</w:t>
            </w:r>
          </w:p>
        </w:tc>
        <w:tc>
          <w:tcPr>
            <w:tcW w:type="dxa" w:w="3288"/>
            <w:vAlign w:val="center"/>
            <w:shd w:fill="F4F8FA"/>
          </w:tcPr>
          <w:p>
            <w:r/>
            <w:r>
              <w:rPr>
                <w:b w:val="0"/>
                <w:sz w:val="17"/>
              </w:rPr>
              <w:t>Complete after reading</w:t>
            </w:r>
          </w:p>
        </w:tc>
        <w:tc>
          <w:tcPr>
            <w:tcW w:type="dxa" w:w="3288"/>
            <w:vAlign w:val="center"/>
            <w:shd w:fill="F4F8FA"/>
          </w:tcPr>
          <w:p>
            <w:r/>
            <w:r>
              <w:rPr>
                <w:b w:val="0"/>
                <w:sz w:val="17"/>
              </w:rPr>
              <w:t>Complete after reading</w:t>
            </w:r>
          </w:p>
        </w:tc>
      </w:tr>
      <w:tr>
        <w:tc>
          <w:tcPr>
            <w:tcW w:type="dxa" w:w="3288"/>
            <w:vAlign w:val="center"/>
          </w:tcPr>
          <w:p>
            <w:r/>
            <w:r>
              <w:rPr>
                <w:b w:val="0"/>
                <w:sz w:val="17"/>
              </w:rPr>
              <w:t>I03</w:t>
            </w:r>
          </w:p>
        </w:tc>
        <w:tc>
          <w:tcPr>
            <w:tcW w:type="dxa" w:w="3288"/>
            <w:vAlign w:val="center"/>
          </w:tcPr>
          <w:p>
            <w:r/>
            <w:r>
              <w:rPr>
                <w:b w:val="0"/>
                <w:sz w:val="17"/>
              </w:rPr>
              <w:t>Complete after reading</w:t>
            </w:r>
          </w:p>
        </w:tc>
        <w:tc>
          <w:tcPr>
            <w:tcW w:type="dxa" w:w="3288"/>
            <w:vAlign w:val="center"/>
          </w:tcPr>
          <w:p>
            <w:r/>
            <w:r>
              <w:rPr>
                <w:b w:val="0"/>
                <w:sz w:val="17"/>
              </w:rPr>
              <w:t>Complete after reading</w:t>
            </w:r>
          </w:p>
        </w:tc>
      </w:tr>
      <w:tr>
        <w:tc>
          <w:tcPr>
            <w:tcW w:type="dxa" w:w="3288"/>
            <w:vAlign w:val="center"/>
            <w:shd w:fill="F4F8FA"/>
          </w:tcPr>
          <w:p>
            <w:r/>
            <w:r>
              <w:rPr>
                <w:b w:val="0"/>
                <w:sz w:val="17"/>
              </w:rPr>
              <w:t>I04</w:t>
            </w:r>
          </w:p>
        </w:tc>
        <w:tc>
          <w:tcPr>
            <w:tcW w:type="dxa" w:w="3288"/>
            <w:vAlign w:val="center"/>
            <w:shd w:fill="F4F8FA"/>
          </w:tcPr>
          <w:p>
            <w:r/>
            <w:r>
              <w:rPr>
                <w:b w:val="0"/>
                <w:sz w:val="17"/>
              </w:rPr>
              <w:t>Complete after reading</w:t>
            </w:r>
          </w:p>
        </w:tc>
        <w:tc>
          <w:tcPr>
            <w:tcW w:type="dxa" w:w="3288"/>
            <w:vAlign w:val="center"/>
            <w:shd w:fill="F4F8FA"/>
          </w:tcPr>
          <w:p>
            <w:r/>
            <w:r>
              <w:rPr>
                <w:b w:val="0"/>
                <w:sz w:val="17"/>
              </w:rPr>
              <w:t>Complete after reading</w:t>
            </w:r>
          </w:p>
        </w:tc>
      </w:tr>
      <w:tr>
        <w:tc>
          <w:tcPr>
            <w:tcW w:type="dxa" w:w="3288"/>
            <w:vAlign w:val="center"/>
          </w:tcPr>
          <w:p>
            <w:r/>
            <w:r>
              <w:rPr>
                <w:b w:val="0"/>
                <w:sz w:val="17"/>
              </w:rPr>
              <w:t>I05</w:t>
            </w:r>
          </w:p>
        </w:tc>
        <w:tc>
          <w:tcPr>
            <w:tcW w:type="dxa" w:w="3288"/>
            <w:vAlign w:val="center"/>
          </w:tcPr>
          <w:p>
            <w:r/>
            <w:r>
              <w:rPr>
                <w:b w:val="0"/>
                <w:sz w:val="17"/>
              </w:rPr>
              <w:t>Complete after reading</w:t>
            </w:r>
          </w:p>
        </w:tc>
        <w:tc>
          <w:tcPr>
            <w:tcW w:type="dxa" w:w="3288"/>
            <w:vAlign w:val="center"/>
          </w:tcPr>
          <w:p>
            <w:r/>
            <w:r>
              <w:rPr>
                <w:b w:val="0"/>
                <w:sz w:val="17"/>
              </w:rPr>
              <w:t>Complete after reading</w:t>
            </w:r>
          </w:p>
        </w:tc>
      </w:tr>
      <w:tr>
        <w:tc>
          <w:tcPr>
            <w:tcW w:type="dxa" w:w="3288"/>
            <w:vAlign w:val="center"/>
            <w:shd w:fill="F4F8FA"/>
          </w:tcPr>
          <w:p>
            <w:r/>
            <w:r>
              <w:rPr>
                <w:b w:val="0"/>
                <w:sz w:val="17"/>
              </w:rPr>
              <w:t>I06</w:t>
            </w:r>
          </w:p>
        </w:tc>
        <w:tc>
          <w:tcPr>
            <w:tcW w:type="dxa" w:w="3288"/>
            <w:vAlign w:val="center"/>
            <w:shd w:fill="F4F8FA"/>
          </w:tcPr>
          <w:p>
            <w:r/>
            <w:r>
              <w:rPr>
                <w:b w:val="0"/>
                <w:sz w:val="17"/>
              </w:rPr>
              <w:t>Complete after reading</w:t>
            </w:r>
          </w:p>
        </w:tc>
        <w:tc>
          <w:tcPr>
            <w:tcW w:type="dxa" w:w="3288"/>
            <w:vAlign w:val="center"/>
            <w:shd w:fill="F4F8FA"/>
          </w:tcPr>
          <w:p>
            <w:r/>
            <w:r>
              <w:rPr>
                <w:b w:val="0"/>
                <w:sz w:val="17"/>
              </w:rPr>
              <w:t>Complete after reading</w:t>
            </w:r>
          </w:p>
        </w:tc>
      </w:tr>
    </w:tbl>
    <w:p>
      <w:pPr>
        <w:pStyle w:val="Heading1"/>
      </w:pPr>
      <w:r>
        <w:t>Introduction submission checklist</w:t>
      </w:r>
    </w:p>
    <w:p>
      <w:pPr>
        <w:pStyle w:val="ListBullet"/>
      </w:pPr>
      <w:r>
        <w:t>All six papers checked against their original abstract/method; working links open in a browser.</w:t>
      </w:r>
    </w:p>
    <w:p>
      <w:pPr>
        <w:pStyle w:val="ListBullet"/>
      </w:pPr>
      <w:r>
        <w:t>Problem, tasks, motivation, gap and contributions appear once, in a logical order.</w:t>
      </w:r>
    </w:p>
    <w:p>
      <w:pPr>
        <w:pStyle w:val="ListBullet"/>
      </w:pPr>
      <w:r>
        <w:t>Every external factual statement has an appropriate original citation; no claim relies on a fabricated experiment.</w:t>
      </w:r>
    </w:p>
    <w:p>
      <w:pPr>
        <w:pStyle w:val="ListBullet"/>
      </w:pPr>
      <w:r>
        <w:t>No paper from this six-paper list is duplicated in the Related Work reading list.</w:t>
      </w:r>
    </w:p>
    <w:p>
      <w:pPr>
        <w:pStyle w:val="ListBullet"/>
      </w:pPr>
      <w:r>
        <w:t>Paper length and citation style match the selected conference template.</w:t>
      </w:r>
    </w:p>
    <w:sectPr w:rsidR="00FC693F" w:rsidRPr="0006063C" w:rsidSect="00034616">
      <w:headerReference w:type="default" r:id="rId9"/>
      <w:footerReference w:type="default" r:id="rId10"/>
      <w:pgSz w:w="12240" w:h="15840"/>
      <w:pgMar w:top="1080" w:right="1152"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F6A"/>
        <w:sz w:val="16"/>
      </w:rPr>
      <w:t>TrustFin-SLM • Tier-3 Conference Writing Support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5F6A"/>
        <w:sz w:val="16"/>
      </w:rPr>
      <w:t>TRUSTFIN-SLM   |   STUDENT READING GUIDE   |   INTRODUCTION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525F6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A314D"/>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A314D"/>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1A31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1A31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arxiv.org/abs/2303.17564"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aclanthology.org/2021.emnlp-main.300/"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aclanthology.org/2025.emnlp-main.512/"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doi.org/10.1145/3184558.3192301" TargetMode="External"/><Relationship Id="rId5" Type="http://schemas.openxmlformats.org/officeDocument/2006/relationships/settings" Target="settings.xml"/><Relationship Id="rId15" Type="http://schemas.openxmlformats.org/officeDocument/2006/relationships/hyperlink" Target="https://proceedings.nips.cc/paper_files/paper/2024/hash/adb1d9fa8be4576d28703b396b82ba1b-Abstract-Datasets_and_Benchmarks_Track.html"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arxiv.org/abs/2306.06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332B642A15C5147A8D960A3C98CC766" ma:contentTypeVersion="3" ma:contentTypeDescription="Create a new document." ma:contentTypeScope="" ma:versionID="6185dd70ca67868e727aa1b7496cbd76">
  <xsd:schema xmlns:xsd="http://www.w3.org/2001/XMLSchema" xmlns:xs="http://www.w3.org/2001/XMLSchema" xmlns:p="http://schemas.microsoft.com/office/2006/metadata/properties" xmlns:ns2="a13384d9-4385-48a3-839e-dc54e7818cfe" targetNamespace="http://schemas.microsoft.com/office/2006/metadata/properties" ma:root="true" ma:fieldsID="4ce3728e6574215cbab496bfd457a8cb" ns2:_="">
    <xsd:import namespace="a13384d9-4385-48a3-839e-dc54e7818cf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3384d9-4385-48a3-839e-dc54e7818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9BDBB9C-50C8-4681-A3E1-5FF7F1E3C376}"/>
</file>

<file path=customXml/itemProps3.xml><?xml version="1.0" encoding="utf-8"?>
<ds:datastoreItem xmlns:ds="http://schemas.openxmlformats.org/officeDocument/2006/customXml" ds:itemID="{05D3FC28-C207-45E1-8856-519884859339}"/>
</file>

<file path=customXml/itemProps4.xml><?xml version="1.0" encoding="utf-8"?>
<ds:datastoreItem xmlns:ds="http://schemas.openxmlformats.org/officeDocument/2006/customXml" ds:itemID="{2BD19E4F-64B0-4547-A540-E9DA10513B7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TrustFin-SLM Introduction Reading Guide</dc:title>
  <dc:subject>Verified research paper reading and writing plan</dc:subject>
  <dc:creator>TrustFin-SLM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0x010100A332B642A15C5147A8D960A3C98CC766</vt:lpwstr>
  </property>
</Properties>
</file>