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docProps/core.xml" ContentType="application/vnd.openxmlformats-package.core-properties+xml"/>
  <Override PartName="/docProps/app.xml" ContentType="application/vnd.openxmlformats-officedocument.extended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jpeg"/><Relationship Id="rId1" Type="http://schemas.openxmlformats.org/officeDocument/2006/relationships/officeDocument" Target="word/document.xml"/><Relationship Id="rId5" Type="http://schemas.openxmlformats.org/officeDocument/2006/relationships/custom-properties" Target="docProps/custom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Subtitle"/>
      </w:pPr>
      <w:r>
        <w:rPr>
          <w:b/>
          <w:color w:val="0D6F71"/>
          <w:sz w:val="20"/>
        </w:rPr>
        <w:t>DOCUMENT 2 OF 2</w:t>
      </w:r>
    </w:p>
    <w:p>
      <w:pPr>
        <w:pStyle w:val="Title"/>
      </w:pPr>
      <w:r>
        <w:t>RELATED WORK</w:t>
      </w:r>
    </w:p>
    <w:p>
      <w:pPr/>
      <w:r>
        <w:t>Exclusive reading list and comparative writing instructions for a Tier-3 conference paper.</w:t>
      </w:r>
    </w:p>
    <w:p>
      <w:r>
        <w:rPr>
          <w:b/>
          <w:color w:val="0D6F71"/>
        </w:rPr>
        <w:t>Verified research papers • Clickable academic links • No duplicate papers across the two guides</w:t>
      </w:r>
    </w:p>
    <w:p>
      <w:pPr>
        <w:pStyle w:val="Heading1"/>
      </w:pPr>
      <w:r>
        <w:t>Purpose and non-overlap rule</w:t>
      </w:r>
    </w:p>
    <w:p>
      <w:r>
        <w:t>This guide contains fourteen verified papers NOT assigned to the Introduction. Here students compare prior *methods*, describe what each method actually established, identify limitations relevant to TrustFin-SLM, and derive a compact, non-exaggerated technical gap. Do not repeat the Introduction reading list.</w:t>
      </w:r>
    </w:p>
    <w:p>
      <w:r>
        <w:t>Target: approximately 650–900 words across four or five themed subsections for a typical 6–8 page Tier-3 conference submission. The actual venue page limit and template take precedence.</w:t>
      </w:r>
    </w:p>
    <w:p>
      <w:pPr>
        <w:pStyle w:val="Heading1"/>
      </w:pPr>
      <w:r>
        <w:t>Suggested subsection flow</w:t>
      </w:r>
    </w:p>
    <w:tbl>
      <w:tblPr>
        <w:tblStyle w:val="LightShading-Accent1"/>
        <w:tblW w:type="auto" w:w="0"/>
        <w:jc w:val="center"/>
        <w:tblLook w:firstColumn="1" w:firstRow="1" w:lastColumn="0" w:lastRow="0" w:noHBand="0" w:noVBand="1" w:val="04A0"/>
      </w:tblPr>
      <w:tblGrid>
        <w:gridCol w:w="3288"/>
        <w:gridCol w:w="3288"/>
        <w:gridCol w:w="3288"/>
      </w:tblGrid>
      <w:tr>
        <w:trPr>
          <w:tblHeader w:val="true"/>
        </w:trPr>
        <w:tc>
          <w:tcPr>
            <w:tcW w:type="dxa" w:w="3288"/>
            <w:vAlign w:val="center"/>
            <w:shd w:fill="DFEAF2"/>
          </w:tcPr>
          <w:p>
            <w:r/>
            <w:r>
              <w:rPr>
                <w:b/>
                <w:color w:val="1A314D"/>
                <w:sz w:val="18"/>
              </w:rPr>
              <w:t>Related Work subsection</w:t>
            </w:r>
          </w:p>
        </w:tc>
        <w:tc>
          <w:tcPr>
            <w:tcW w:type="dxa" w:w="3288"/>
            <w:vAlign w:val="center"/>
            <w:shd w:fill="DFEAF2"/>
          </w:tcPr>
          <w:p>
            <w:r/>
            <w:r>
              <w:rPr>
                <w:b/>
                <w:color w:val="1A314D"/>
                <w:sz w:val="18"/>
              </w:rPr>
              <w:t>Papers</w:t>
            </w:r>
          </w:p>
        </w:tc>
        <w:tc>
          <w:tcPr>
            <w:tcW w:type="dxa" w:w="3288"/>
            <w:vAlign w:val="center"/>
            <w:shd w:fill="DFEAF2"/>
          </w:tcPr>
          <w:p>
            <w:r/>
            <w:r>
              <w:rPr>
                <w:b/>
                <w:color w:val="1A314D"/>
                <w:sz w:val="18"/>
              </w:rPr>
              <w:t>Writing objective</w:t>
            </w:r>
          </w:p>
        </w:tc>
      </w:tr>
      <w:tr>
        <w:tc>
          <w:tcPr>
            <w:tcW w:type="dxa" w:w="3288"/>
            <w:vAlign w:val="center"/>
          </w:tcPr>
          <w:p>
            <w:r/>
            <w:r>
              <w:rPr>
                <w:b w:val="0"/>
                <w:sz w:val="17"/>
              </w:rPr>
              <w:t>2.1 Financial numerical reasoning and evidence</w:t>
            </w:r>
          </w:p>
        </w:tc>
        <w:tc>
          <w:tcPr>
            <w:tcW w:type="dxa" w:w="3288"/>
            <w:vAlign w:val="center"/>
          </w:tcPr>
          <w:p>
            <w:r/>
            <w:r>
              <w:rPr>
                <w:b w:val="0"/>
                <w:sz w:val="17"/>
              </w:rPr>
              <w:t>R01–R04</w:t>
            </w:r>
          </w:p>
        </w:tc>
        <w:tc>
          <w:tcPr>
            <w:tcW w:type="dxa" w:w="3288"/>
            <w:vAlign w:val="center"/>
          </w:tcPr>
          <w:p>
            <w:r/>
            <w:r>
              <w:rPr>
                <w:b w:val="0"/>
                <w:sz w:val="17"/>
              </w:rPr>
              <w:t>Compare tabular/textual evidence extraction, symbolic reasoning and long-context challenges.</w:t>
            </w:r>
          </w:p>
        </w:tc>
      </w:tr>
      <w:tr>
        <w:tc>
          <w:tcPr>
            <w:tcW w:type="dxa" w:w="3288"/>
            <w:vAlign w:val="center"/>
            <w:shd w:fill="F4F8FA"/>
          </w:tcPr>
          <w:p>
            <w:r/>
            <w:r>
              <w:rPr>
                <w:b w:val="0"/>
                <w:sz w:val="17"/>
              </w:rPr>
              <w:t>2.2 Financial sentiment modeling</w:t>
            </w:r>
          </w:p>
        </w:tc>
        <w:tc>
          <w:tcPr>
            <w:tcW w:type="dxa" w:w="3288"/>
            <w:vAlign w:val="center"/>
            <w:shd w:fill="F4F8FA"/>
          </w:tcPr>
          <w:p>
            <w:r/>
            <w:r>
              <w:rPr>
                <w:b w:val="0"/>
                <w:sz w:val="17"/>
              </w:rPr>
              <w:t>R05</w:t>
            </w:r>
          </w:p>
        </w:tc>
        <w:tc>
          <w:tcPr>
            <w:tcW w:type="dxa" w:w="3288"/>
            <w:vAlign w:val="center"/>
            <w:shd w:fill="F4F8FA"/>
          </w:tcPr>
          <w:p>
            <w:r/>
            <w:r>
              <w:rPr>
                <w:b w:val="0"/>
                <w:sz w:val="17"/>
              </w:rPr>
              <w:t>Explain prior domain-specific sentiment modeling, then specify the difference from FiQA score regression.</w:t>
            </w:r>
          </w:p>
        </w:tc>
      </w:tr>
      <w:tr>
        <w:tc>
          <w:tcPr>
            <w:tcW w:type="dxa" w:w="3288"/>
            <w:vAlign w:val="center"/>
          </w:tcPr>
          <w:p>
            <w:r/>
            <w:r>
              <w:rPr>
                <w:b w:val="0"/>
                <w:sz w:val="17"/>
              </w:rPr>
              <w:t>2.3 Parameter-efficient small-model adaptation</w:t>
            </w:r>
          </w:p>
        </w:tc>
        <w:tc>
          <w:tcPr>
            <w:tcW w:type="dxa" w:w="3288"/>
            <w:vAlign w:val="center"/>
          </w:tcPr>
          <w:p>
            <w:r/>
            <w:r>
              <w:rPr>
                <w:b w:val="0"/>
                <w:sz w:val="17"/>
              </w:rPr>
              <w:t>R06–R07</w:t>
            </w:r>
          </w:p>
        </w:tc>
        <w:tc>
          <w:tcPr>
            <w:tcW w:type="dxa" w:w="3288"/>
            <w:vAlign w:val="center"/>
          </w:tcPr>
          <w:p>
            <w:r/>
            <w:r>
              <w:rPr>
                <w:b w:val="0"/>
                <w:sz w:val="17"/>
              </w:rPr>
              <w:t>Explain LoRA/QLoRA; state that our novelty, if any, lies downstream, not in fine-tuning itself.</w:t>
            </w:r>
          </w:p>
        </w:tc>
      </w:tr>
      <w:tr>
        <w:tc>
          <w:tcPr>
            <w:tcW w:type="dxa" w:w="3288"/>
            <w:vAlign w:val="center"/>
            <w:shd w:fill="F4F8FA"/>
          </w:tcPr>
          <w:p>
            <w:r/>
            <w:r>
              <w:rPr>
                <w:b w:val="0"/>
                <w:sz w:val="17"/>
              </w:rPr>
              <w:t>2.4 Program-aided and grounded checking</w:t>
            </w:r>
          </w:p>
        </w:tc>
        <w:tc>
          <w:tcPr>
            <w:tcW w:type="dxa" w:w="3288"/>
            <w:vAlign w:val="center"/>
            <w:shd w:fill="F4F8FA"/>
          </w:tcPr>
          <w:p>
            <w:r/>
            <w:r>
              <w:rPr>
                <w:b w:val="0"/>
                <w:sz w:val="17"/>
              </w:rPr>
              <w:t>R08–R10</w:t>
            </w:r>
          </w:p>
        </w:tc>
        <w:tc>
          <w:tcPr>
            <w:tcW w:type="dxa" w:w="3288"/>
            <w:vAlign w:val="center"/>
            <w:shd w:fill="F4F8FA"/>
          </w:tcPr>
          <w:p>
            <w:r/>
            <w:r>
              <w:rPr>
                <w:b w:val="0"/>
                <w:sz w:val="17"/>
              </w:rPr>
              <w:t>Compare interpreter-backed computation and hallucination detection; separate executable from semantically correct.</w:t>
            </w:r>
          </w:p>
        </w:tc>
      </w:tr>
      <w:tr>
        <w:tc>
          <w:tcPr>
            <w:tcW w:type="dxa" w:w="3288"/>
            <w:vAlign w:val="center"/>
          </w:tcPr>
          <w:p>
            <w:r/>
            <w:r>
              <w:rPr>
                <w:b w:val="0"/>
                <w:sz w:val="17"/>
              </w:rPr>
              <w:t>2.5 Calibration and selective prediction</w:t>
            </w:r>
          </w:p>
        </w:tc>
        <w:tc>
          <w:tcPr>
            <w:tcW w:type="dxa" w:w="3288"/>
            <w:vAlign w:val="center"/>
          </w:tcPr>
          <w:p>
            <w:r/>
            <w:r>
              <w:rPr>
                <w:b w:val="0"/>
                <w:sz w:val="17"/>
              </w:rPr>
              <w:t>R11–R14</w:t>
            </w:r>
          </w:p>
        </w:tc>
        <w:tc>
          <w:tcPr>
            <w:tcW w:type="dxa" w:w="3288"/>
            <w:vAlign w:val="center"/>
          </w:tcPr>
          <w:p>
            <w:r/>
            <w:r>
              <w:rPr>
                <w:b w:val="0"/>
                <w:sz w:val="17"/>
              </w:rPr>
              <w:t>Compare confidence estimation, calibration, abstention and risk control; avoid unsupported guarantees.</w:t>
            </w:r>
          </w:p>
        </w:tc>
      </w:tr>
    </w:tbl>
    <w:p>
      <w:pPr>
        <w:pStyle w:val="Heading1"/>
      </w:pPr>
      <w:r>
        <w:t>Papers to read — Related Work only</w:t>
      </w:r>
    </w:p>
    <w:p>
      <w:pPr>
        <w:pStyle w:val="Heading2"/>
      </w:pPr>
      <w:r>
        <w:t>2.1 Financial numerical reasoning and evidence</w:t>
      </w:r>
    </w:p>
    <w:p>
      <w:pPr>
        <w:pStyle w:val="Heading2"/>
        <w:keepNext/>
      </w:pPr>
      <w:r>
        <w:t>R01  TAT-QA: A Question Answering Benchmark on a Hybrid of Tabular and Textual Content in Finance</w:t>
      </w:r>
    </w:p>
    <w:p>
      <w:pPr>
        <w:spacing w:after="60"/>
      </w:pPr>
      <w:r>
        <w:rPr>
          <w:i/>
          <w:sz w:val="18"/>
        </w:rPr>
        <w:t>Zhu et al. (2021)  |  ACL-IJCNLP 2021</w:t>
      </w:r>
    </w:p>
    <w:p>
      <w:pPr>
        <w:spacing w:after="100"/>
      </w:pPr>
      <w:r>
        <w:rPr>
          <w:b/>
        </w:rPr>
        <w:t xml:space="preserve">Read the paper:  </w:t>
      </w:r>
      <w:hyperlink r:id="rId11">
        <w:r>
          <w:rPr>
            <w:color w:val="1C608D"/>
            <w:u w:val="single"/>
          </w:rPr>
          <w:t>https://aclanthology.org/2021.acl-long.254/</w:t>
        </w:r>
      </w:hyperlink>
    </w:p>
    <w:p>
      <w:pPr>
        <w:spacing w:after="80"/>
      </w:pPr>
      <w:r>
        <w:rPr>
          <w:b/>
          <w:color w:val="1A314D"/>
        </w:rPr>
        <w:t xml:space="preserve">Prior technique:  </w:t>
      </w:r>
      <w:r>
        <w:t>Hybrid table–text finance QA; TAGOP extracts evidence and performs symbolic aggregation.</w:t>
      </w:r>
    </w:p>
    <w:p>
      <w:pPr>
        <w:spacing w:after="80"/>
      </w:pPr>
      <w:r>
        <w:rPr>
          <w:b/>
          <w:color w:val="1A314D"/>
        </w:rPr>
        <w:t xml:space="preserve">What to compare:  </w:t>
      </w:r>
      <w:r>
        <w:t>How are cells and text spans selected? How are operators applied? Relevance to evidence grounding.</w:t>
      </w:r>
    </w:p>
    <w:p>
      <w:pPr>
        <w:spacing w:after="20"/>
        <w:pBdr>
          <w:bottom w:val="single" w:sz="4" w:color="D9E5EB"/>
        </w:pBdr>
      </w:pPr>
    </w:p>
    <w:p>
      <w:pPr>
        <w:pStyle w:val="Heading2"/>
        <w:keepNext/>
      </w:pPr>
      <w:r>
        <w:t>R02  ConvFinQA: Exploring the Chain of Numerical Reasoning in Conversational Finance Question Answering</w:t>
      </w:r>
    </w:p>
    <w:p>
      <w:pPr>
        <w:spacing w:after="60"/>
      </w:pPr>
      <w:r>
        <w:rPr>
          <w:i/>
          <w:sz w:val="18"/>
        </w:rPr>
        <w:t>Chen et al. (2022)  |  EMNLP 2022</w:t>
      </w:r>
    </w:p>
    <w:p>
      <w:pPr>
        <w:spacing w:after="100"/>
      </w:pPr>
      <w:r>
        <w:rPr>
          <w:b/>
        </w:rPr>
        <w:t xml:space="preserve">Read the paper:  </w:t>
      </w:r>
      <w:hyperlink r:id="rId12">
        <w:r>
          <w:rPr>
            <w:color w:val="1C608D"/>
            <w:u w:val="single"/>
          </w:rPr>
          <w:t>https://aclanthology.org/2022.emnlp-main.421/</w:t>
        </w:r>
      </w:hyperlink>
    </w:p>
    <w:p>
      <w:pPr>
        <w:spacing w:after="80"/>
      </w:pPr>
      <w:r>
        <w:rPr>
          <w:b/>
          <w:color w:val="1A314D"/>
        </w:rPr>
        <w:t xml:space="preserve">Prior technique:  </w:t>
      </w:r>
      <w:r>
        <w:t>Conversational finance QA with multi-step reasoning chains and neural-symbolic/prompting comparisons.</w:t>
      </w:r>
    </w:p>
    <w:p>
      <w:pPr>
        <w:spacing w:after="80"/>
      </w:pPr>
      <w:r>
        <w:rPr>
          <w:b/>
          <w:color w:val="1A314D"/>
        </w:rPr>
        <w:t xml:space="preserve">What to compare:  </w:t>
      </w:r>
      <w:r>
        <w:t>What changes when questions depend on earlier turns? Why is it adjacent work, not a benchmark used by our experiments?</w:t>
      </w:r>
    </w:p>
    <w:p>
      <w:pPr>
        <w:spacing w:after="20"/>
        <w:pBdr>
          <w:bottom w:val="single" w:sz="4" w:color="D9E5EB"/>
        </w:pBdr>
      </w:pPr>
    </w:p>
    <w:p>
      <w:pPr>
        <w:pStyle w:val="Heading2"/>
        <w:keepNext/>
      </w:pPr>
      <w:r>
        <w:t>R03  MultiHiertt: Numerical Reasoning over Multi Hierarchical Tabular and Textual Data</w:t>
      </w:r>
    </w:p>
    <w:p>
      <w:pPr>
        <w:spacing w:after="60"/>
      </w:pPr>
      <w:r>
        <w:rPr>
          <w:i/>
          <w:sz w:val="18"/>
        </w:rPr>
        <w:t>Zhao et al. (2022)  |  ACL 2022</w:t>
      </w:r>
    </w:p>
    <w:p>
      <w:pPr>
        <w:spacing w:after="100"/>
      </w:pPr>
      <w:r>
        <w:rPr>
          <w:b/>
        </w:rPr>
        <w:t xml:space="preserve">Read the paper:  </w:t>
      </w:r>
      <w:hyperlink r:id="rId13">
        <w:r>
          <w:rPr>
            <w:color w:val="1C608D"/>
            <w:u w:val="single"/>
          </w:rPr>
          <w:t>https://aclanthology.org/2022.acl-long.454/</w:t>
        </w:r>
      </w:hyperlink>
    </w:p>
    <w:p>
      <w:pPr>
        <w:spacing w:after="80"/>
      </w:pPr>
      <w:r>
        <w:rPr>
          <w:b/>
          <w:color w:val="1A314D"/>
        </w:rPr>
        <w:t xml:space="preserve">Prior technique:  </w:t>
      </w:r>
      <w:r>
        <w:t>Retrieval of supporting facts and symbolic reasoning over multiple hierarchical financial tables.</w:t>
      </w:r>
    </w:p>
    <w:p>
      <w:pPr>
        <w:spacing w:after="80"/>
      </w:pPr>
      <w:r>
        <w:rPr>
          <w:b/>
          <w:color w:val="1A314D"/>
        </w:rPr>
        <w:t xml:space="preserve">What to compare:  </w:t>
      </w:r>
      <w:r>
        <w:t>How do long contexts and complex tables complicate grounding? What are our simpler FinQA setting limitations?</w:t>
      </w:r>
    </w:p>
    <w:p>
      <w:pPr>
        <w:spacing w:after="20"/>
        <w:pBdr>
          <w:bottom w:val="single" w:sz="4" w:color="D9E5EB"/>
        </w:pBdr>
      </w:pPr>
    </w:p>
    <w:p>
      <w:pPr>
        <w:pStyle w:val="Heading2"/>
        <w:keepNext/>
      </w:pPr>
      <w:r>
        <w:t>R04  Enhancing Financial Table and Text Question Answering with Tabular Graph and Numerical Reasoning</w:t>
      </w:r>
    </w:p>
    <w:p>
      <w:pPr>
        <w:spacing w:after="60"/>
      </w:pPr>
      <w:r>
        <w:rPr>
          <w:i/>
          <w:sz w:val="18"/>
        </w:rPr>
        <w:t>Nararatwong et al. (2022)  |  AACL 2022</w:t>
      </w:r>
    </w:p>
    <w:p>
      <w:pPr>
        <w:spacing w:after="100"/>
      </w:pPr>
      <w:r>
        <w:rPr>
          <w:b/>
        </w:rPr>
        <w:t xml:space="preserve">Read the paper:  </w:t>
      </w:r>
      <w:hyperlink r:id="rId14">
        <w:r>
          <w:rPr>
            <w:color w:val="1C608D"/>
            <w:u w:val="single"/>
          </w:rPr>
          <w:t>https://aclanthology.org/2022.aacl-main.72/</w:t>
        </w:r>
      </w:hyperlink>
    </w:p>
    <w:p>
      <w:pPr>
        <w:spacing w:after="80"/>
      </w:pPr>
      <w:r>
        <w:rPr>
          <w:b/>
          <w:color w:val="1A314D"/>
        </w:rPr>
        <w:t xml:space="preserve">Prior technique:  </w:t>
      </w:r>
      <w:r>
        <w:t>Graph-enhanced evidence extraction plus numerical reasoning over tables and text.</w:t>
      </w:r>
    </w:p>
    <w:p>
      <w:pPr>
        <w:spacing w:after="80"/>
      </w:pPr>
      <w:r>
        <w:rPr>
          <w:b/>
          <w:color w:val="1A314D"/>
        </w:rPr>
        <w:t xml:space="preserve">What to compare:  </w:t>
      </w:r>
      <w:r>
        <w:t>What structural/evidence signals are modeled? Contrast with our lightweight post-hoc verifier, without claiming equivalence.</w:t>
      </w:r>
    </w:p>
    <w:p>
      <w:pPr>
        <w:spacing w:after="20"/>
        <w:pBdr>
          <w:bottom w:val="single" w:sz="4" w:color="D9E5EB"/>
        </w:pBdr>
      </w:pPr>
    </w:p>
    <w:p>
      <w:pPr>
        <w:pStyle w:val="Heading2"/>
      </w:pPr>
      <w:r>
        <w:t>2.2 Financial sentiment modeling</w:t>
      </w:r>
    </w:p>
    <w:p>
      <w:pPr>
        <w:pStyle w:val="Heading2"/>
        <w:keepNext/>
      </w:pPr>
      <w:r>
        <w:t>R05  FinBERT: Financial Sentiment Analysis with Pre-trained Language Models</w:t>
      </w:r>
    </w:p>
    <w:p>
      <w:pPr>
        <w:spacing w:after="60"/>
      </w:pPr>
      <w:r>
        <w:rPr>
          <w:i/>
          <w:sz w:val="18"/>
        </w:rPr>
        <w:t>Araci (2019)  |  arXiv preprint</w:t>
      </w:r>
    </w:p>
    <w:p>
      <w:pPr>
        <w:spacing w:after="100"/>
      </w:pPr>
      <w:r>
        <w:rPr>
          <w:b/>
        </w:rPr>
        <w:t xml:space="preserve">Read the paper:  </w:t>
      </w:r>
      <w:hyperlink r:id="rId15">
        <w:r>
          <w:rPr>
            <w:color w:val="1C608D"/>
            <w:u w:val="single"/>
          </w:rPr>
          <w:t>https://arxiv.org/abs/1908.10063</w:t>
        </w:r>
      </w:hyperlink>
    </w:p>
    <w:p>
      <w:pPr>
        <w:spacing w:after="80"/>
      </w:pPr>
      <w:r>
        <w:rPr>
          <w:b/>
          <w:color w:val="1A314D"/>
        </w:rPr>
        <w:t xml:space="preserve">Prior technique:  </w:t>
      </w:r>
      <w:r>
        <w:t>Domain-adapted BERT for financial sentiment analysis.</w:t>
      </w:r>
    </w:p>
    <w:p>
      <w:pPr>
        <w:spacing w:after="80"/>
      </w:pPr>
      <w:r>
        <w:rPr>
          <w:b/>
          <w:color w:val="1A314D"/>
        </w:rPr>
        <w:t xml:space="preserve">What to compare:  </w:t>
      </w:r>
      <w:r>
        <w:t>Why is financial sentiment distinct from general sentiment? Note our FiQA continuous regression target differs from common class-based sentiment benchmarks.</w:t>
      </w:r>
    </w:p>
    <w:p>
      <w:pPr>
        <w:spacing w:after="20"/>
        <w:pBdr>
          <w:bottom w:val="single" w:sz="4" w:color="D9E5EB"/>
        </w:pBdr>
      </w:pPr>
    </w:p>
    <w:p>
      <w:pPr>
        <w:pStyle w:val="Heading2"/>
      </w:pPr>
      <w:r>
        <w:t>2.3 Parameter-efficient small models</w:t>
      </w:r>
    </w:p>
    <w:p>
      <w:pPr>
        <w:pStyle w:val="Heading2"/>
        <w:keepNext/>
      </w:pPr>
      <w:r>
        <w:t>R06  LoRA: Low-Rank Adaptation of Large Language Models</w:t>
      </w:r>
    </w:p>
    <w:p>
      <w:pPr>
        <w:spacing w:after="60"/>
      </w:pPr>
      <w:r>
        <w:rPr>
          <w:i/>
          <w:sz w:val="18"/>
        </w:rPr>
        <w:t>Hu et al. (2022)  |  ICLR 2022</w:t>
      </w:r>
    </w:p>
    <w:p>
      <w:pPr>
        <w:spacing w:after="100"/>
      </w:pPr>
      <w:r>
        <w:rPr>
          <w:b/>
        </w:rPr>
        <w:t xml:space="preserve">Read the paper:  </w:t>
      </w:r>
      <w:hyperlink r:id="rId16">
        <w:r>
          <w:rPr>
            <w:color w:val="1C608D"/>
            <w:u w:val="single"/>
          </w:rPr>
          <w:t>https://www.microsoft.com/en-us/research/publication/lora-low-rank-adaptation-of-large-language-models/</w:t>
        </w:r>
      </w:hyperlink>
    </w:p>
    <w:p>
      <w:pPr>
        <w:spacing w:after="80"/>
      </w:pPr>
      <w:r>
        <w:rPr>
          <w:b/>
          <w:color w:val="1A314D"/>
        </w:rPr>
        <w:t xml:space="preserve">Prior technique:  </w:t>
      </w:r>
      <w:r>
        <w:t>Low-rank trainable adaptation while freezing pretrained weights.</w:t>
      </w:r>
    </w:p>
    <w:p>
      <w:pPr>
        <w:spacing w:after="80"/>
      </w:pPr>
      <w:r>
        <w:rPr>
          <w:b/>
          <w:color w:val="1A314D"/>
        </w:rPr>
        <w:t xml:space="preserve">What to compare:  </w:t>
      </w:r>
      <w:r>
        <w:t>Extract the adaptation mechanism and number-of-trainable-parameter rationale; do not present LoRA as our invention.</w:t>
      </w:r>
    </w:p>
    <w:p>
      <w:pPr>
        <w:spacing w:after="20"/>
        <w:pBdr>
          <w:bottom w:val="single" w:sz="4" w:color="D9E5EB"/>
        </w:pBdr>
      </w:pPr>
    </w:p>
    <w:p>
      <w:pPr>
        <w:pStyle w:val="Heading2"/>
        <w:keepNext/>
      </w:pPr>
      <w:r>
        <w:t>R07  QLoRA: Efficient Finetuning of Quantized LLMs</w:t>
      </w:r>
    </w:p>
    <w:p>
      <w:pPr>
        <w:spacing w:after="60"/>
      </w:pPr>
      <w:r>
        <w:rPr>
          <w:i/>
          <w:sz w:val="18"/>
        </w:rPr>
        <w:t>Dettmers et al. (2023)  |  NeurIPS 2023</w:t>
      </w:r>
    </w:p>
    <w:p>
      <w:pPr>
        <w:spacing w:after="100"/>
      </w:pPr>
      <w:r>
        <w:rPr>
          <w:b/>
        </w:rPr>
        <w:t xml:space="preserve">Read the paper:  </w:t>
      </w:r>
      <w:hyperlink r:id="rId17">
        <w:r>
          <w:rPr>
            <w:color w:val="1C608D"/>
            <w:u w:val="single"/>
          </w:rPr>
          <w:t>https://proceedings.neurips.cc/paper_files/paper/2023/hash/1feb87871436031bdc0f2beaa62a049b-Abstract.html</w:t>
        </w:r>
      </w:hyperlink>
    </w:p>
    <w:p>
      <w:pPr>
        <w:spacing w:after="80"/>
      </w:pPr>
      <w:r>
        <w:rPr>
          <w:b/>
          <w:color w:val="1A314D"/>
        </w:rPr>
        <w:t xml:space="preserve">Prior technique:  </w:t>
      </w:r>
      <w:r>
        <w:t>4-bit quantization plus low-rank adapters for memory-efficient fine-tuning.</w:t>
      </w:r>
    </w:p>
    <w:p>
      <w:pPr>
        <w:spacing w:after="80"/>
      </w:pPr>
      <w:r>
        <w:rPr>
          <w:b/>
          <w:color w:val="1A314D"/>
        </w:rPr>
        <w:t xml:space="preserve">What to compare:  </w:t>
      </w:r>
      <w:r>
        <w:t>What does NF4/double quantization offer? Why is our use of QLoRA an engineering choice and not a novel technique?</w:t>
      </w:r>
    </w:p>
    <w:p>
      <w:pPr>
        <w:spacing w:after="20"/>
        <w:pBdr>
          <w:bottom w:val="single" w:sz="4" w:color="D9E5EB"/>
        </w:pBdr>
      </w:pPr>
    </w:p>
    <w:p>
      <w:pPr>
        <w:pStyle w:val="Heading2"/>
      </w:pPr>
      <w:r>
        <w:t>2.4 Program-aided and grounded verification</w:t>
      </w:r>
    </w:p>
    <w:p>
      <w:pPr>
        <w:pStyle w:val="Heading2"/>
        <w:keepNext/>
      </w:pPr>
      <w:r>
        <w:t>R08  PAL: Program-aided Language Models</w:t>
      </w:r>
    </w:p>
    <w:p>
      <w:pPr>
        <w:spacing w:after="60"/>
      </w:pPr>
      <w:r>
        <w:rPr>
          <w:i/>
          <w:sz w:val="18"/>
        </w:rPr>
        <w:t>Gao et al. (2023)  |  ICML 2023</w:t>
      </w:r>
    </w:p>
    <w:p>
      <w:pPr>
        <w:spacing w:after="100"/>
      </w:pPr>
      <w:r>
        <w:rPr>
          <w:b/>
        </w:rPr>
        <w:t xml:space="preserve">Read the paper:  </w:t>
      </w:r>
      <w:hyperlink r:id="rId18">
        <w:r>
          <w:rPr>
            <w:color w:val="1C608D"/>
            <w:u w:val="single"/>
          </w:rPr>
          <w:t>https://proceedings.mlr.press/v202/gao23f</w:t>
        </w:r>
      </w:hyperlink>
    </w:p>
    <w:p>
      <w:pPr>
        <w:spacing w:after="80"/>
      </w:pPr>
      <w:r>
        <w:rPr>
          <w:b/>
          <w:color w:val="1A314D"/>
        </w:rPr>
        <w:t xml:space="preserve">Prior technique:  </w:t>
      </w:r>
      <w:r>
        <w:t>Language model writes an intermediate program and delegates computation to an interpreter.</w:t>
      </w:r>
    </w:p>
    <w:p>
      <w:pPr>
        <w:spacing w:after="80"/>
      </w:pPr>
      <w:r>
        <w:rPr>
          <w:b/>
          <w:color w:val="1A314D"/>
        </w:rPr>
        <w:t xml:space="preserve">What to compare:  </w:t>
      </w:r>
      <w:r>
        <w:t>Why is executor-backed answer correction already established? Separate computation correctness from semantic program correctness.</w:t>
      </w:r>
    </w:p>
    <w:p>
      <w:pPr>
        <w:spacing w:after="20"/>
        <w:pBdr>
          <w:bottom w:val="single" w:sz="4" w:color="D9E5EB"/>
        </w:pBdr>
      </w:pPr>
    </w:p>
    <w:p>
      <w:pPr>
        <w:pStyle w:val="Heading2"/>
        <w:keepNext/>
      </w:pPr>
      <w:r>
        <w:t>R09  Program of Thoughts Prompting: Disentangling Computation from Reasoning for Numerical Reasoning Tasks</w:t>
      </w:r>
    </w:p>
    <w:p>
      <w:pPr>
        <w:spacing w:after="60"/>
      </w:pPr>
      <w:r>
        <w:rPr>
          <w:i/>
          <w:sz w:val="18"/>
        </w:rPr>
        <w:t>Chen et al. (2023)  |  Transactions on Machine Learning Research (TMLR)</w:t>
      </w:r>
    </w:p>
    <w:p>
      <w:pPr>
        <w:spacing w:after="100"/>
      </w:pPr>
      <w:r>
        <w:rPr>
          <w:b/>
        </w:rPr>
        <w:t xml:space="preserve">Read the paper:  </w:t>
      </w:r>
      <w:hyperlink r:id="rId19">
        <w:r>
          <w:rPr>
            <w:color w:val="1C608D"/>
            <w:u w:val="single"/>
          </w:rPr>
          <w:t>https://openreview.net/forum?id=YfZ4ZPt8zd</w:t>
        </w:r>
      </w:hyperlink>
    </w:p>
    <w:p>
      <w:pPr>
        <w:spacing w:after="80"/>
      </w:pPr>
      <w:r>
        <w:rPr>
          <w:b/>
          <w:color w:val="1A314D"/>
        </w:rPr>
        <w:t xml:space="preserve">Prior technique:  </w:t>
      </w:r>
      <w:r>
        <w:t>Separates numerical computation from language-model reasoning; includes financial QA tasks.</w:t>
      </w:r>
    </w:p>
    <w:p>
      <w:pPr>
        <w:spacing w:after="80"/>
      </w:pPr>
      <w:r>
        <w:rPr>
          <w:b/>
          <w:color w:val="1A314D"/>
        </w:rPr>
        <w:t xml:space="preserve">What to compare:  </w:t>
      </w:r>
      <w:r>
        <w:t>What is the difference between generating a correct program and computing its result accurately? Most direct novelty comparison to our execution correction.</w:t>
      </w:r>
    </w:p>
    <w:p>
      <w:pPr>
        <w:spacing w:after="20"/>
        <w:pBdr>
          <w:bottom w:val="single" w:sz="4" w:color="D9E5EB"/>
        </w:pBdr>
      </w:pPr>
    </w:p>
    <w:p>
      <w:pPr>
        <w:pStyle w:val="Heading2"/>
        <w:keepNext/>
      </w:pPr>
      <w:r>
        <w:t>R10  SelfCheckGPT: Zero-Resource Black-Box Hallucination Detection for Generative Large Language Models</w:t>
      </w:r>
    </w:p>
    <w:p>
      <w:pPr>
        <w:spacing w:after="60"/>
      </w:pPr>
      <w:r>
        <w:rPr>
          <w:i/>
          <w:sz w:val="18"/>
        </w:rPr>
        <w:t>Manakul et al. (2023)  |  EMNLP 2023</w:t>
      </w:r>
    </w:p>
    <w:p>
      <w:pPr>
        <w:spacing w:after="100"/>
      </w:pPr>
      <w:r>
        <w:rPr>
          <w:b/>
        </w:rPr>
        <w:t xml:space="preserve">Read the paper:  </w:t>
      </w:r>
      <w:hyperlink r:id="rId20">
        <w:r>
          <w:rPr>
            <w:color w:val="1C608D"/>
            <w:u w:val="single"/>
          </w:rPr>
          <w:t>https://aclanthology.org/2023.emnlp-main.557/</w:t>
        </w:r>
      </w:hyperlink>
    </w:p>
    <w:p>
      <w:pPr>
        <w:spacing w:after="80"/>
      </w:pPr>
      <w:r>
        <w:rPr>
          <w:b/>
          <w:color w:val="1A314D"/>
        </w:rPr>
        <w:t xml:space="preserve">Prior technique:  </w:t>
      </w:r>
      <w:r>
        <w:t>Sampling-consistency approach to black-box hallucination detection.</w:t>
      </w:r>
    </w:p>
    <w:p>
      <w:pPr>
        <w:spacing w:after="80"/>
      </w:pPr>
      <w:r>
        <w:rPr>
          <w:b/>
          <w:color w:val="1A314D"/>
        </w:rPr>
        <w:t xml:space="preserve">What to compare:  </w:t>
      </w:r>
      <w:r>
        <w:t>How do generic factuality signals differ from finance-specific numerical and evidence checks?</w:t>
      </w:r>
    </w:p>
    <w:p>
      <w:pPr>
        <w:spacing w:after="20"/>
        <w:pBdr>
          <w:bottom w:val="single" w:sz="4" w:color="D9E5EB"/>
        </w:pBdr>
      </w:pPr>
    </w:p>
    <w:p>
      <w:pPr>
        <w:pStyle w:val="Heading2"/>
      </w:pPr>
      <w:r>
        <w:t>2.5 Confidence, calibration and abstention</w:t>
      </w:r>
    </w:p>
    <w:p>
      <w:pPr>
        <w:pStyle w:val="Heading2"/>
        <w:keepNext/>
      </w:pPr>
      <w:r>
        <w:t>R11  On Calibration of Modern Neural Networks</w:t>
      </w:r>
    </w:p>
    <w:p>
      <w:pPr>
        <w:spacing w:after="60"/>
      </w:pPr>
      <w:r>
        <w:rPr>
          <w:i/>
          <w:sz w:val="18"/>
        </w:rPr>
        <w:t>Guo et al. (2017)  |  ICML 2017</w:t>
      </w:r>
    </w:p>
    <w:p>
      <w:pPr>
        <w:spacing w:after="100"/>
      </w:pPr>
      <w:r>
        <w:rPr>
          <w:b/>
        </w:rPr>
        <w:t xml:space="preserve">Read the paper:  </w:t>
      </w:r>
      <w:hyperlink r:id="rId21">
        <w:r>
          <w:rPr>
            <w:color w:val="1C608D"/>
            <w:u w:val="single"/>
          </w:rPr>
          <w:t>https://proceedings.mlr.press/v70/guo17a.html</w:t>
        </w:r>
      </w:hyperlink>
    </w:p>
    <w:p>
      <w:pPr>
        <w:spacing w:after="80"/>
      </w:pPr>
      <w:r>
        <w:rPr>
          <w:b/>
          <w:color w:val="1A314D"/>
        </w:rPr>
        <w:t xml:space="preserve">Prior technique:  </w:t>
      </w:r>
      <w:r>
        <w:t>Evaluates neural-network confidence calibration and simple post-hoc temperature scaling.</w:t>
      </w:r>
    </w:p>
    <w:p>
      <w:pPr>
        <w:spacing w:after="80"/>
      </w:pPr>
      <w:r>
        <w:rPr>
          <w:b/>
          <w:color w:val="1A314D"/>
        </w:rPr>
        <w:t xml:space="preserve">What to compare:  </w:t>
      </w:r>
      <w:r>
        <w:t>Distinguish discrimination (ROC-AUC) from calibration (ECE/Brier). Do not assume temperature scaling is optimal for generative risk.</w:t>
      </w:r>
    </w:p>
    <w:p>
      <w:pPr>
        <w:spacing w:after="20"/>
        <w:pBdr>
          <w:bottom w:val="single" w:sz="4" w:color="D9E5EB"/>
        </w:pBdr>
      </w:pPr>
    </w:p>
    <w:p>
      <w:pPr>
        <w:pStyle w:val="Heading2"/>
        <w:keepNext/>
      </w:pPr>
      <w:r>
        <w:t>R12  Language Models (Mostly) Know What They Know</w:t>
      </w:r>
    </w:p>
    <w:p>
      <w:pPr>
        <w:spacing w:after="60"/>
      </w:pPr>
      <w:r>
        <w:rPr>
          <w:i/>
          <w:sz w:val="18"/>
        </w:rPr>
        <w:t>Kadavath et al. (2022)  |  arXiv preprint</w:t>
      </w:r>
    </w:p>
    <w:p>
      <w:pPr>
        <w:spacing w:after="100"/>
      </w:pPr>
      <w:r>
        <w:rPr>
          <w:b/>
        </w:rPr>
        <w:t xml:space="preserve">Read the paper:  </w:t>
      </w:r>
      <w:hyperlink r:id="rId22">
        <w:r>
          <w:rPr>
            <w:color w:val="1C608D"/>
            <w:u w:val="single"/>
          </w:rPr>
          <w:t>https://arxiv.org/abs/2207.05221</w:t>
        </w:r>
      </w:hyperlink>
    </w:p>
    <w:p>
      <w:pPr>
        <w:spacing w:after="80"/>
      </w:pPr>
      <w:r>
        <w:rPr>
          <w:b/>
          <w:color w:val="1A314D"/>
        </w:rPr>
        <w:t xml:space="preserve">Prior technique:  </w:t>
      </w:r>
      <w:r>
        <w:t>Examines LM self-assessment and probability of correctness/knowledge.</w:t>
      </w:r>
    </w:p>
    <w:p>
      <w:pPr>
        <w:spacing w:after="80"/>
      </w:pPr>
      <w:r>
        <w:rPr>
          <w:b/>
          <w:color w:val="1A314D"/>
        </w:rPr>
        <w:t xml:space="preserve">What to compare:  </w:t>
      </w:r>
      <w:r>
        <w:t>What confidence signals are tested? Relate to the weak token-likelihood accuracy discrimination observed in our validation data.</w:t>
      </w:r>
    </w:p>
    <w:p>
      <w:pPr>
        <w:spacing w:after="20"/>
        <w:pBdr>
          <w:bottom w:val="single" w:sz="4" w:color="D9E5EB"/>
        </w:pBdr>
      </w:pPr>
    </w:p>
    <w:p>
      <w:pPr>
        <w:pStyle w:val="Heading2"/>
        <w:keepNext/>
      </w:pPr>
      <w:r>
        <w:t>R13  SelectiveNet: A Deep Neural Network with an Integrated Reject Option</w:t>
      </w:r>
    </w:p>
    <w:p>
      <w:pPr>
        <w:spacing w:after="60"/>
      </w:pPr>
      <w:r>
        <w:rPr>
          <w:i/>
          <w:sz w:val="18"/>
        </w:rPr>
        <w:t>Geifman and El-Yaniv (2019)  |  ICML 2019</w:t>
      </w:r>
    </w:p>
    <w:p>
      <w:pPr>
        <w:spacing w:after="100"/>
      </w:pPr>
      <w:r>
        <w:rPr>
          <w:b/>
        </w:rPr>
        <w:t xml:space="preserve">Read the paper:  </w:t>
      </w:r>
      <w:hyperlink r:id="rId23">
        <w:r>
          <w:rPr>
            <w:color w:val="1C608D"/>
            <w:u w:val="single"/>
          </w:rPr>
          <w:t>https://proceedings.mlr.press/v97/geifman19a.html</w:t>
        </w:r>
      </w:hyperlink>
    </w:p>
    <w:p>
      <w:pPr>
        <w:spacing w:after="80"/>
      </w:pPr>
      <w:r>
        <w:rPr>
          <w:b/>
          <w:color w:val="1A314D"/>
        </w:rPr>
        <w:t xml:space="preserve">Prior technique:  </w:t>
      </w:r>
      <w:r>
        <w:t>Joint optimization of prediction and rejection to improve risk–coverage trade-offs.</w:t>
      </w:r>
    </w:p>
    <w:p>
      <w:pPr>
        <w:spacing w:after="80"/>
      </w:pPr>
      <w:r>
        <w:rPr>
          <w:b/>
          <w:color w:val="1A314D"/>
        </w:rPr>
        <w:t xml:space="preserve">What to compare:  </w:t>
      </w:r>
      <w:r>
        <w:t>Define answer coverage, selective risk and rejection; our method is a post-hoc policy, not SelectiveNet end-to-end retraining.</w:t>
      </w:r>
    </w:p>
    <w:p>
      <w:pPr>
        <w:spacing w:after="20"/>
        <w:pBdr>
          <w:bottom w:val="single" w:sz="4" w:color="D9E5EB"/>
        </w:pBdr>
      </w:pPr>
    </w:p>
    <w:p>
      <w:pPr>
        <w:pStyle w:val="Heading2"/>
        <w:keepNext/>
      </w:pPr>
      <w:r>
        <w:t>R14  Conformal Risk Control</w:t>
      </w:r>
    </w:p>
    <w:p>
      <w:pPr>
        <w:spacing w:after="60"/>
      </w:pPr>
      <w:r>
        <w:rPr>
          <w:i/>
          <w:sz w:val="18"/>
        </w:rPr>
        <w:t>Angelopoulos et al. (2024)  |  ICLR 2024</w:t>
      </w:r>
    </w:p>
    <w:p>
      <w:pPr>
        <w:spacing w:after="100"/>
      </w:pPr>
      <w:r>
        <w:rPr>
          <w:b/>
        </w:rPr>
        <w:t xml:space="preserve">Read the paper:  </w:t>
      </w:r>
      <w:hyperlink r:id="rId24">
        <w:r>
          <w:rPr>
            <w:color w:val="1C608D"/>
            <w:u w:val="single"/>
          </w:rPr>
          <w:t>https://proceedings.iclr.cc/paper_files/paper/2024/hash/f3549ef9b5ff520a7e41ff3cc306ab2b-Abstract-Conference.html</w:t>
        </w:r>
      </w:hyperlink>
    </w:p>
    <w:p>
      <w:pPr>
        <w:spacing w:after="80"/>
      </w:pPr>
      <w:r>
        <w:rPr>
          <w:b/>
          <w:color w:val="1A314D"/>
        </w:rPr>
        <w:t xml:space="preserve">Prior technique:  </w:t>
      </w:r>
      <w:r>
        <w:t>Extends conformal prediction for expected risk control under stated assumptions.</w:t>
      </w:r>
    </w:p>
    <w:p>
      <w:pPr>
        <w:spacing w:after="80"/>
      </w:pPr>
      <w:r>
        <w:rPr>
          <w:b/>
          <w:color w:val="1A314D"/>
        </w:rPr>
        <w:t xml:space="preserve">What to compare:  </w:t>
      </w:r>
      <w:r>
        <w:t>Read guarantees and assumptions carefully. Do not claim conformal coverage/risk guarantees unless our own method implements them.</w:t>
      </w:r>
    </w:p>
    <w:p>
      <w:pPr>
        <w:spacing w:after="20"/>
        <w:pBdr>
          <w:bottom w:val="single" w:sz="4" w:color="D9E5EB"/>
        </w:pBdr>
      </w:pPr>
    </w:p>
    <w:p>
      <w:pPr>
        <w:pStyle w:val="Heading1"/>
      </w:pPr>
      <w:r>
        <w:t>How to write a strong Related Work section</w:t>
      </w:r>
    </w:p>
    <w:p>
      <w:pPr>
        <w:pStyle w:val="ListBullet"/>
      </w:pPr>
      <w:r>
        <w:t>Organize by methods and scientific problems—not chronological ordering, and not one paragraph per paper.</w:t>
      </w:r>
    </w:p>
    <w:p>
      <w:pPr>
        <w:pStyle w:val="ListBullet"/>
      </w:pPr>
      <w:r>
        <w:t>For each theme: (i) task addressed, (ii) representative method, (iii) verification/evaluation approach, (iv) limit relative to our question, (v) concise transition.</w:t>
      </w:r>
    </w:p>
    <w:p>
      <w:pPr>
        <w:pStyle w:val="ListBullet"/>
      </w:pPr>
      <w:r>
        <w:t>Use a consistent comparison vocabulary: task, input evidence, reasoning operation, verification rule, calibration/risk metric, efficiency requirements.</w:t>
      </w:r>
    </w:p>
    <w:p>
      <w:pPr>
        <w:pStyle w:val="ListBullet"/>
      </w:pPr>
      <w:r>
        <w:t>The most important distinction is arithmetic correctness versus semantic grounding. PAL and Program of Thoughts already delegate arithmetic to an executor.</w:t>
      </w:r>
    </w:p>
    <w:p>
      <w:pPr>
        <w:pStyle w:val="ListBullet"/>
      </w:pPr>
      <w:r>
        <w:t>Discuss selective prediction at matched coverage. Calibration error and discriminative ROC-AUC measure different properties; do not treat them as interchangeable.</w:t>
      </w:r>
    </w:p>
    <w:p>
      <w:pPr>
        <w:pStyle w:val="ListBullet"/>
      </w:pPr>
      <w:r>
        <w:t>QLoRA is established prior work. Our study uses it to obtain a frozen financially adapted SLM, not to introduce a new quantization method.</w:t>
      </w:r>
    </w:p>
    <w:p>
      <w:pPr>
        <w:pStyle w:val="ListBullet"/>
      </w:pPr>
      <w:r>
        <w:t>Discuss FiQA as continuous sentiment-score regression for our study; do not copy class-accuracy claims from unrelated sentiment datasets.</w:t>
      </w:r>
    </w:p>
    <w:p>
      <w:pPr>
        <w:pStyle w:val="ListBullet"/>
      </w:pPr>
      <w:r>
        <w:t>Do not claim FinTrust official evaluation completed until verified scoring protocols are actually executed; the FinTrust paper belongs only to the Introduction reading list.</w:t>
      </w:r>
    </w:p>
    <w:p>
      <w:pPr>
        <w:pStyle w:val="ListBullet"/>
      </w:pPr>
      <w:r>
        <w:t>Use the pre-existing validation results only in Discussion/Results, labeled accordingly. Phase-4B.1’s initial fit metrics are development evidence; protected test is pending.</w:t>
      </w:r>
    </w:p>
    <w:p>
      <w:r>
        <w:br w:type="page"/>
      </w:r>
    </w:p>
    <w:p>
      <w:pPr>
        <w:pStyle w:val="Heading1"/>
      </w:pPr>
      <w:r>
        <w:t>Compact comparison matrix — fill after reading</w:t>
      </w:r>
    </w:p>
    <w:tbl>
      <w:tblPr>
        <w:tblStyle w:val="LightShading-Accent1"/>
        <w:tblW w:type="auto" w:w="0"/>
        <w:jc w:val="center"/>
        <w:tblLook w:firstColumn="1" w:firstRow="1" w:lastColumn="0" w:lastRow="0" w:noHBand="0" w:noVBand="1" w:val="04A0"/>
      </w:tblPr>
      <w:tblGrid>
        <w:gridCol w:w="2466"/>
        <w:gridCol w:w="2466"/>
        <w:gridCol w:w="2466"/>
        <w:gridCol w:w="2466"/>
      </w:tblGrid>
      <w:tr>
        <w:trPr>
          <w:tblHeader w:val="true"/>
        </w:trPr>
        <w:tc>
          <w:tcPr>
            <w:tcW w:type="dxa" w:w="2466"/>
            <w:vAlign w:val="center"/>
            <w:shd w:fill="DFEAF2"/>
          </w:tcPr>
          <w:p>
            <w:r/>
            <w:r>
              <w:rPr>
                <w:b/>
                <w:color w:val="1A314D"/>
                <w:sz w:val="18"/>
              </w:rPr>
              <w:t>Reference</w:t>
            </w:r>
          </w:p>
        </w:tc>
        <w:tc>
          <w:tcPr>
            <w:tcW w:type="dxa" w:w="2466"/>
            <w:vAlign w:val="center"/>
            <w:shd w:fill="DFEAF2"/>
          </w:tcPr>
          <w:p>
            <w:r/>
            <w:r>
              <w:rPr>
                <w:b/>
                <w:color w:val="1A314D"/>
                <w:sz w:val="18"/>
              </w:rPr>
              <w:t>Input/task</w:t>
            </w:r>
          </w:p>
        </w:tc>
        <w:tc>
          <w:tcPr>
            <w:tcW w:type="dxa" w:w="2466"/>
            <w:vAlign w:val="center"/>
            <w:shd w:fill="DFEAF2"/>
          </w:tcPr>
          <w:p>
            <w:r/>
            <w:r>
              <w:rPr>
                <w:b/>
                <w:color w:val="1A314D"/>
                <w:sz w:val="18"/>
              </w:rPr>
              <w:t>Core method</w:t>
            </w:r>
          </w:p>
        </w:tc>
        <w:tc>
          <w:tcPr>
            <w:tcW w:type="dxa" w:w="2466"/>
            <w:vAlign w:val="center"/>
            <w:shd w:fill="DFEAF2"/>
          </w:tcPr>
          <w:p>
            <w:r/>
            <w:r>
              <w:rPr>
                <w:b/>
                <w:color w:val="1A314D"/>
                <w:sz w:val="18"/>
              </w:rPr>
              <w:t>One limitation relevant to TrustFin-SLM</w:t>
            </w:r>
          </w:p>
        </w:tc>
      </w:tr>
      <w:tr>
        <w:tc>
          <w:tcPr>
            <w:tcW w:type="dxa" w:w="2466"/>
            <w:vAlign w:val="center"/>
          </w:tcPr>
          <w:p>
            <w:r/>
            <w:r>
              <w:rPr>
                <w:b w:val="0"/>
                <w:sz w:val="17"/>
              </w:rPr>
              <w:t>R01 — Zhu et al.</w:t>
            </w:r>
          </w:p>
        </w:tc>
        <w:tc>
          <w:tcPr>
            <w:tcW w:type="dxa" w:w="2466"/>
            <w:vAlign w:val="center"/>
          </w:tcPr>
          <w:p>
            <w:r/>
            <w:r>
              <w:rPr>
                <w:b w:val="0"/>
                <w:sz w:val="17"/>
              </w:rPr>
              <w:t>To fill</w:t>
            </w:r>
          </w:p>
        </w:tc>
        <w:tc>
          <w:tcPr>
            <w:tcW w:type="dxa" w:w="2466"/>
            <w:vAlign w:val="center"/>
          </w:tcPr>
          <w:p>
            <w:r/>
            <w:r>
              <w:rPr>
                <w:b w:val="0"/>
                <w:sz w:val="17"/>
              </w:rPr>
              <w:t>To fill</w:t>
            </w:r>
          </w:p>
        </w:tc>
        <w:tc>
          <w:tcPr>
            <w:tcW w:type="dxa" w:w="2466"/>
            <w:vAlign w:val="center"/>
          </w:tcPr>
          <w:p>
            <w:r/>
            <w:r>
              <w:rPr>
                <w:b w:val="0"/>
                <w:sz w:val="17"/>
              </w:rPr>
              <w:t>To fill</w:t>
            </w:r>
          </w:p>
        </w:tc>
      </w:tr>
      <w:tr>
        <w:tc>
          <w:tcPr>
            <w:tcW w:type="dxa" w:w="2466"/>
            <w:vAlign w:val="center"/>
            <w:shd w:fill="F4F8FA"/>
          </w:tcPr>
          <w:p>
            <w:r/>
            <w:r>
              <w:rPr>
                <w:b w:val="0"/>
                <w:sz w:val="17"/>
              </w:rPr>
              <w:t>R02 — Chen et al.</w:t>
            </w:r>
          </w:p>
        </w:tc>
        <w:tc>
          <w:tcPr>
            <w:tcW w:type="dxa" w:w="2466"/>
            <w:vAlign w:val="center"/>
            <w:shd w:fill="F4F8FA"/>
          </w:tcPr>
          <w:p>
            <w:r/>
            <w:r>
              <w:rPr>
                <w:b w:val="0"/>
                <w:sz w:val="17"/>
              </w:rPr>
              <w:t>To fill</w:t>
            </w:r>
          </w:p>
        </w:tc>
        <w:tc>
          <w:tcPr>
            <w:tcW w:type="dxa" w:w="2466"/>
            <w:vAlign w:val="center"/>
            <w:shd w:fill="F4F8FA"/>
          </w:tcPr>
          <w:p>
            <w:r/>
            <w:r>
              <w:rPr>
                <w:b w:val="0"/>
                <w:sz w:val="17"/>
              </w:rPr>
              <w:t>To fill</w:t>
            </w:r>
          </w:p>
        </w:tc>
        <w:tc>
          <w:tcPr>
            <w:tcW w:type="dxa" w:w="2466"/>
            <w:vAlign w:val="center"/>
            <w:shd w:fill="F4F8FA"/>
          </w:tcPr>
          <w:p>
            <w:r/>
            <w:r>
              <w:rPr>
                <w:b w:val="0"/>
                <w:sz w:val="17"/>
              </w:rPr>
              <w:t>To fill</w:t>
            </w:r>
          </w:p>
        </w:tc>
      </w:tr>
      <w:tr>
        <w:tc>
          <w:tcPr>
            <w:tcW w:type="dxa" w:w="2466"/>
            <w:vAlign w:val="center"/>
          </w:tcPr>
          <w:p>
            <w:r/>
            <w:r>
              <w:rPr>
                <w:b w:val="0"/>
                <w:sz w:val="17"/>
              </w:rPr>
              <w:t>R03 — Zhao et al.</w:t>
            </w:r>
          </w:p>
        </w:tc>
        <w:tc>
          <w:tcPr>
            <w:tcW w:type="dxa" w:w="2466"/>
            <w:vAlign w:val="center"/>
          </w:tcPr>
          <w:p>
            <w:r/>
            <w:r>
              <w:rPr>
                <w:b w:val="0"/>
                <w:sz w:val="17"/>
              </w:rPr>
              <w:t>To fill</w:t>
            </w:r>
          </w:p>
        </w:tc>
        <w:tc>
          <w:tcPr>
            <w:tcW w:type="dxa" w:w="2466"/>
            <w:vAlign w:val="center"/>
          </w:tcPr>
          <w:p>
            <w:r/>
            <w:r>
              <w:rPr>
                <w:b w:val="0"/>
                <w:sz w:val="17"/>
              </w:rPr>
              <w:t>To fill</w:t>
            </w:r>
          </w:p>
        </w:tc>
        <w:tc>
          <w:tcPr>
            <w:tcW w:type="dxa" w:w="2466"/>
            <w:vAlign w:val="center"/>
          </w:tcPr>
          <w:p>
            <w:r/>
            <w:r>
              <w:rPr>
                <w:b w:val="0"/>
                <w:sz w:val="17"/>
              </w:rPr>
              <w:t>To fill</w:t>
            </w:r>
          </w:p>
        </w:tc>
      </w:tr>
      <w:tr>
        <w:tc>
          <w:tcPr>
            <w:tcW w:type="dxa" w:w="2466"/>
            <w:vAlign w:val="center"/>
            <w:shd w:fill="F4F8FA"/>
          </w:tcPr>
          <w:p>
            <w:r/>
            <w:r>
              <w:rPr>
                <w:b w:val="0"/>
                <w:sz w:val="17"/>
              </w:rPr>
              <w:t>R04 — Nararatwong et al.</w:t>
            </w:r>
          </w:p>
        </w:tc>
        <w:tc>
          <w:tcPr>
            <w:tcW w:type="dxa" w:w="2466"/>
            <w:vAlign w:val="center"/>
            <w:shd w:fill="F4F8FA"/>
          </w:tcPr>
          <w:p>
            <w:r/>
            <w:r>
              <w:rPr>
                <w:b w:val="0"/>
                <w:sz w:val="17"/>
              </w:rPr>
              <w:t>To fill</w:t>
            </w:r>
          </w:p>
        </w:tc>
        <w:tc>
          <w:tcPr>
            <w:tcW w:type="dxa" w:w="2466"/>
            <w:vAlign w:val="center"/>
            <w:shd w:fill="F4F8FA"/>
          </w:tcPr>
          <w:p>
            <w:r/>
            <w:r>
              <w:rPr>
                <w:b w:val="0"/>
                <w:sz w:val="17"/>
              </w:rPr>
              <w:t>To fill</w:t>
            </w:r>
          </w:p>
        </w:tc>
        <w:tc>
          <w:tcPr>
            <w:tcW w:type="dxa" w:w="2466"/>
            <w:vAlign w:val="center"/>
            <w:shd w:fill="F4F8FA"/>
          </w:tcPr>
          <w:p>
            <w:r/>
            <w:r>
              <w:rPr>
                <w:b w:val="0"/>
                <w:sz w:val="17"/>
              </w:rPr>
              <w:t>To fill</w:t>
            </w:r>
          </w:p>
        </w:tc>
      </w:tr>
      <w:tr>
        <w:tc>
          <w:tcPr>
            <w:tcW w:type="dxa" w:w="2466"/>
            <w:vAlign w:val="center"/>
          </w:tcPr>
          <w:p>
            <w:r/>
            <w:r>
              <w:rPr>
                <w:b w:val="0"/>
                <w:sz w:val="17"/>
              </w:rPr>
              <w:t>R05 — Araci</w:t>
            </w:r>
          </w:p>
        </w:tc>
        <w:tc>
          <w:tcPr>
            <w:tcW w:type="dxa" w:w="2466"/>
            <w:vAlign w:val="center"/>
          </w:tcPr>
          <w:p>
            <w:r/>
            <w:r>
              <w:rPr>
                <w:b w:val="0"/>
                <w:sz w:val="17"/>
              </w:rPr>
              <w:t>To fill</w:t>
            </w:r>
          </w:p>
        </w:tc>
        <w:tc>
          <w:tcPr>
            <w:tcW w:type="dxa" w:w="2466"/>
            <w:vAlign w:val="center"/>
          </w:tcPr>
          <w:p>
            <w:r/>
            <w:r>
              <w:rPr>
                <w:b w:val="0"/>
                <w:sz w:val="17"/>
              </w:rPr>
              <w:t>To fill</w:t>
            </w:r>
          </w:p>
        </w:tc>
        <w:tc>
          <w:tcPr>
            <w:tcW w:type="dxa" w:w="2466"/>
            <w:vAlign w:val="center"/>
          </w:tcPr>
          <w:p>
            <w:r/>
            <w:r>
              <w:rPr>
                <w:b w:val="0"/>
                <w:sz w:val="17"/>
              </w:rPr>
              <w:t>To fill</w:t>
            </w:r>
          </w:p>
        </w:tc>
      </w:tr>
      <w:tr>
        <w:tc>
          <w:tcPr>
            <w:tcW w:type="dxa" w:w="2466"/>
            <w:vAlign w:val="center"/>
            <w:shd w:fill="F4F8FA"/>
          </w:tcPr>
          <w:p>
            <w:r/>
            <w:r>
              <w:rPr>
                <w:b w:val="0"/>
                <w:sz w:val="17"/>
              </w:rPr>
              <w:t>R06 — Hu et al.</w:t>
            </w:r>
          </w:p>
        </w:tc>
        <w:tc>
          <w:tcPr>
            <w:tcW w:type="dxa" w:w="2466"/>
            <w:vAlign w:val="center"/>
            <w:shd w:fill="F4F8FA"/>
          </w:tcPr>
          <w:p>
            <w:r/>
            <w:r>
              <w:rPr>
                <w:b w:val="0"/>
                <w:sz w:val="17"/>
              </w:rPr>
              <w:t>To fill</w:t>
            </w:r>
          </w:p>
        </w:tc>
        <w:tc>
          <w:tcPr>
            <w:tcW w:type="dxa" w:w="2466"/>
            <w:vAlign w:val="center"/>
            <w:shd w:fill="F4F8FA"/>
          </w:tcPr>
          <w:p>
            <w:r/>
            <w:r>
              <w:rPr>
                <w:b w:val="0"/>
                <w:sz w:val="17"/>
              </w:rPr>
              <w:t>To fill</w:t>
            </w:r>
          </w:p>
        </w:tc>
        <w:tc>
          <w:tcPr>
            <w:tcW w:type="dxa" w:w="2466"/>
            <w:vAlign w:val="center"/>
            <w:shd w:fill="F4F8FA"/>
          </w:tcPr>
          <w:p>
            <w:r/>
            <w:r>
              <w:rPr>
                <w:b w:val="0"/>
                <w:sz w:val="17"/>
              </w:rPr>
              <w:t>To fill</w:t>
            </w:r>
          </w:p>
        </w:tc>
      </w:tr>
      <w:tr>
        <w:tc>
          <w:tcPr>
            <w:tcW w:type="dxa" w:w="2466"/>
            <w:vAlign w:val="center"/>
          </w:tcPr>
          <w:p>
            <w:r/>
            <w:r>
              <w:rPr>
                <w:b w:val="0"/>
                <w:sz w:val="17"/>
              </w:rPr>
              <w:t>R07 — Dettmers et al.</w:t>
            </w:r>
          </w:p>
        </w:tc>
        <w:tc>
          <w:tcPr>
            <w:tcW w:type="dxa" w:w="2466"/>
            <w:vAlign w:val="center"/>
          </w:tcPr>
          <w:p>
            <w:r/>
            <w:r>
              <w:rPr>
                <w:b w:val="0"/>
                <w:sz w:val="17"/>
              </w:rPr>
              <w:t>To fill</w:t>
            </w:r>
          </w:p>
        </w:tc>
        <w:tc>
          <w:tcPr>
            <w:tcW w:type="dxa" w:w="2466"/>
            <w:vAlign w:val="center"/>
          </w:tcPr>
          <w:p>
            <w:r/>
            <w:r>
              <w:rPr>
                <w:b w:val="0"/>
                <w:sz w:val="17"/>
              </w:rPr>
              <w:t>To fill</w:t>
            </w:r>
          </w:p>
        </w:tc>
        <w:tc>
          <w:tcPr>
            <w:tcW w:type="dxa" w:w="2466"/>
            <w:vAlign w:val="center"/>
          </w:tcPr>
          <w:p>
            <w:r/>
            <w:r>
              <w:rPr>
                <w:b w:val="0"/>
                <w:sz w:val="17"/>
              </w:rPr>
              <w:t>To fill</w:t>
            </w:r>
          </w:p>
        </w:tc>
      </w:tr>
      <w:tr>
        <w:tc>
          <w:tcPr>
            <w:tcW w:type="dxa" w:w="2466"/>
            <w:vAlign w:val="center"/>
            <w:shd w:fill="F4F8FA"/>
          </w:tcPr>
          <w:p>
            <w:r/>
            <w:r>
              <w:rPr>
                <w:b w:val="0"/>
                <w:sz w:val="17"/>
              </w:rPr>
              <w:t>R08 — Gao et al.</w:t>
            </w:r>
          </w:p>
        </w:tc>
        <w:tc>
          <w:tcPr>
            <w:tcW w:type="dxa" w:w="2466"/>
            <w:vAlign w:val="center"/>
            <w:shd w:fill="F4F8FA"/>
          </w:tcPr>
          <w:p>
            <w:r/>
            <w:r>
              <w:rPr>
                <w:b w:val="0"/>
                <w:sz w:val="17"/>
              </w:rPr>
              <w:t>To fill</w:t>
            </w:r>
          </w:p>
        </w:tc>
        <w:tc>
          <w:tcPr>
            <w:tcW w:type="dxa" w:w="2466"/>
            <w:vAlign w:val="center"/>
            <w:shd w:fill="F4F8FA"/>
          </w:tcPr>
          <w:p>
            <w:r/>
            <w:r>
              <w:rPr>
                <w:b w:val="0"/>
                <w:sz w:val="17"/>
              </w:rPr>
              <w:t>To fill</w:t>
            </w:r>
          </w:p>
        </w:tc>
        <w:tc>
          <w:tcPr>
            <w:tcW w:type="dxa" w:w="2466"/>
            <w:vAlign w:val="center"/>
            <w:shd w:fill="F4F8FA"/>
          </w:tcPr>
          <w:p>
            <w:r/>
            <w:r>
              <w:rPr>
                <w:b w:val="0"/>
                <w:sz w:val="17"/>
              </w:rPr>
              <w:t>To fill</w:t>
            </w:r>
          </w:p>
        </w:tc>
      </w:tr>
      <w:tr>
        <w:tc>
          <w:tcPr>
            <w:tcW w:type="dxa" w:w="2466"/>
            <w:vAlign w:val="center"/>
          </w:tcPr>
          <w:p>
            <w:r/>
            <w:r>
              <w:rPr>
                <w:b w:val="0"/>
                <w:sz w:val="17"/>
              </w:rPr>
              <w:t>R09 — Chen et al.</w:t>
            </w:r>
          </w:p>
        </w:tc>
        <w:tc>
          <w:tcPr>
            <w:tcW w:type="dxa" w:w="2466"/>
            <w:vAlign w:val="center"/>
          </w:tcPr>
          <w:p>
            <w:r/>
            <w:r>
              <w:rPr>
                <w:b w:val="0"/>
                <w:sz w:val="17"/>
              </w:rPr>
              <w:t>To fill</w:t>
            </w:r>
          </w:p>
        </w:tc>
        <w:tc>
          <w:tcPr>
            <w:tcW w:type="dxa" w:w="2466"/>
            <w:vAlign w:val="center"/>
          </w:tcPr>
          <w:p>
            <w:r/>
            <w:r>
              <w:rPr>
                <w:b w:val="0"/>
                <w:sz w:val="17"/>
              </w:rPr>
              <w:t>To fill</w:t>
            </w:r>
          </w:p>
        </w:tc>
        <w:tc>
          <w:tcPr>
            <w:tcW w:type="dxa" w:w="2466"/>
            <w:vAlign w:val="center"/>
          </w:tcPr>
          <w:p>
            <w:r/>
            <w:r>
              <w:rPr>
                <w:b w:val="0"/>
                <w:sz w:val="17"/>
              </w:rPr>
              <w:t>To fill</w:t>
            </w:r>
          </w:p>
        </w:tc>
      </w:tr>
      <w:tr>
        <w:tc>
          <w:tcPr>
            <w:tcW w:type="dxa" w:w="2466"/>
            <w:vAlign w:val="center"/>
            <w:shd w:fill="F4F8FA"/>
          </w:tcPr>
          <w:p>
            <w:r/>
            <w:r>
              <w:rPr>
                <w:b w:val="0"/>
                <w:sz w:val="17"/>
              </w:rPr>
              <w:t>R10 — Manakul et al.</w:t>
            </w:r>
          </w:p>
        </w:tc>
        <w:tc>
          <w:tcPr>
            <w:tcW w:type="dxa" w:w="2466"/>
            <w:vAlign w:val="center"/>
            <w:shd w:fill="F4F8FA"/>
          </w:tcPr>
          <w:p>
            <w:r/>
            <w:r>
              <w:rPr>
                <w:b w:val="0"/>
                <w:sz w:val="17"/>
              </w:rPr>
              <w:t>To fill</w:t>
            </w:r>
          </w:p>
        </w:tc>
        <w:tc>
          <w:tcPr>
            <w:tcW w:type="dxa" w:w="2466"/>
            <w:vAlign w:val="center"/>
            <w:shd w:fill="F4F8FA"/>
          </w:tcPr>
          <w:p>
            <w:r/>
            <w:r>
              <w:rPr>
                <w:b w:val="0"/>
                <w:sz w:val="17"/>
              </w:rPr>
              <w:t>To fill</w:t>
            </w:r>
          </w:p>
        </w:tc>
        <w:tc>
          <w:tcPr>
            <w:tcW w:type="dxa" w:w="2466"/>
            <w:vAlign w:val="center"/>
            <w:shd w:fill="F4F8FA"/>
          </w:tcPr>
          <w:p>
            <w:r/>
            <w:r>
              <w:rPr>
                <w:b w:val="0"/>
                <w:sz w:val="17"/>
              </w:rPr>
              <w:t>To fill</w:t>
            </w:r>
          </w:p>
        </w:tc>
      </w:tr>
      <w:tr>
        <w:tc>
          <w:tcPr>
            <w:tcW w:type="dxa" w:w="2466"/>
            <w:vAlign w:val="center"/>
          </w:tcPr>
          <w:p>
            <w:r/>
            <w:r>
              <w:rPr>
                <w:b w:val="0"/>
                <w:sz w:val="17"/>
              </w:rPr>
              <w:t>R11 — Guo et al.</w:t>
            </w:r>
          </w:p>
        </w:tc>
        <w:tc>
          <w:tcPr>
            <w:tcW w:type="dxa" w:w="2466"/>
            <w:vAlign w:val="center"/>
          </w:tcPr>
          <w:p>
            <w:r/>
            <w:r>
              <w:rPr>
                <w:b w:val="0"/>
                <w:sz w:val="17"/>
              </w:rPr>
              <w:t>To fill</w:t>
            </w:r>
          </w:p>
        </w:tc>
        <w:tc>
          <w:tcPr>
            <w:tcW w:type="dxa" w:w="2466"/>
            <w:vAlign w:val="center"/>
          </w:tcPr>
          <w:p>
            <w:r/>
            <w:r>
              <w:rPr>
                <w:b w:val="0"/>
                <w:sz w:val="17"/>
              </w:rPr>
              <w:t>To fill</w:t>
            </w:r>
          </w:p>
        </w:tc>
        <w:tc>
          <w:tcPr>
            <w:tcW w:type="dxa" w:w="2466"/>
            <w:vAlign w:val="center"/>
          </w:tcPr>
          <w:p>
            <w:r/>
            <w:r>
              <w:rPr>
                <w:b w:val="0"/>
                <w:sz w:val="17"/>
              </w:rPr>
              <w:t>To fill</w:t>
            </w:r>
          </w:p>
        </w:tc>
      </w:tr>
      <w:tr>
        <w:tc>
          <w:tcPr>
            <w:tcW w:type="dxa" w:w="2466"/>
            <w:vAlign w:val="center"/>
            <w:shd w:fill="F4F8FA"/>
          </w:tcPr>
          <w:p>
            <w:r/>
            <w:r>
              <w:rPr>
                <w:b w:val="0"/>
                <w:sz w:val="17"/>
              </w:rPr>
              <w:t>R12 — Kadavath et al.</w:t>
            </w:r>
          </w:p>
        </w:tc>
        <w:tc>
          <w:tcPr>
            <w:tcW w:type="dxa" w:w="2466"/>
            <w:vAlign w:val="center"/>
            <w:shd w:fill="F4F8FA"/>
          </w:tcPr>
          <w:p>
            <w:r/>
            <w:r>
              <w:rPr>
                <w:b w:val="0"/>
                <w:sz w:val="17"/>
              </w:rPr>
              <w:t>To fill</w:t>
            </w:r>
          </w:p>
        </w:tc>
        <w:tc>
          <w:tcPr>
            <w:tcW w:type="dxa" w:w="2466"/>
            <w:vAlign w:val="center"/>
            <w:shd w:fill="F4F8FA"/>
          </w:tcPr>
          <w:p>
            <w:r/>
            <w:r>
              <w:rPr>
                <w:b w:val="0"/>
                <w:sz w:val="17"/>
              </w:rPr>
              <w:t>To fill</w:t>
            </w:r>
          </w:p>
        </w:tc>
        <w:tc>
          <w:tcPr>
            <w:tcW w:type="dxa" w:w="2466"/>
            <w:vAlign w:val="center"/>
            <w:shd w:fill="F4F8FA"/>
          </w:tcPr>
          <w:p>
            <w:r/>
            <w:r>
              <w:rPr>
                <w:b w:val="0"/>
                <w:sz w:val="17"/>
              </w:rPr>
              <w:t>To fill</w:t>
            </w:r>
          </w:p>
        </w:tc>
      </w:tr>
      <w:tr>
        <w:tc>
          <w:tcPr>
            <w:tcW w:type="dxa" w:w="2466"/>
            <w:vAlign w:val="center"/>
          </w:tcPr>
          <w:p>
            <w:r/>
            <w:r>
              <w:rPr>
                <w:b w:val="0"/>
                <w:sz w:val="17"/>
              </w:rPr>
              <w:t>R13 — Geifman and El-Yaniv</w:t>
            </w:r>
          </w:p>
        </w:tc>
        <w:tc>
          <w:tcPr>
            <w:tcW w:type="dxa" w:w="2466"/>
            <w:vAlign w:val="center"/>
          </w:tcPr>
          <w:p>
            <w:r/>
            <w:r>
              <w:rPr>
                <w:b w:val="0"/>
                <w:sz w:val="17"/>
              </w:rPr>
              <w:t>To fill</w:t>
            </w:r>
          </w:p>
        </w:tc>
        <w:tc>
          <w:tcPr>
            <w:tcW w:type="dxa" w:w="2466"/>
            <w:vAlign w:val="center"/>
          </w:tcPr>
          <w:p>
            <w:r/>
            <w:r>
              <w:rPr>
                <w:b w:val="0"/>
                <w:sz w:val="17"/>
              </w:rPr>
              <w:t>To fill</w:t>
            </w:r>
          </w:p>
        </w:tc>
        <w:tc>
          <w:tcPr>
            <w:tcW w:type="dxa" w:w="2466"/>
            <w:vAlign w:val="center"/>
          </w:tcPr>
          <w:p>
            <w:r/>
            <w:r>
              <w:rPr>
                <w:b w:val="0"/>
                <w:sz w:val="17"/>
              </w:rPr>
              <w:t>To fill</w:t>
            </w:r>
          </w:p>
        </w:tc>
      </w:tr>
      <w:tr>
        <w:tc>
          <w:tcPr>
            <w:tcW w:type="dxa" w:w="2466"/>
            <w:vAlign w:val="center"/>
            <w:shd w:fill="F4F8FA"/>
          </w:tcPr>
          <w:p>
            <w:r/>
            <w:r>
              <w:rPr>
                <w:b w:val="0"/>
                <w:sz w:val="17"/>
              </w:rPr>
              <w:t>R14 — Angelopoulos et al.</w:t>
            </w:r>
          </w:p>
        </w:tc>
        <w:tc>
          <w:tcPr>
            <w:tcW w:type="dxa" w:w="2466"/>
            <w:vAlign w:val="center"/>
            <w:shd w:fill="F4F8FA"/>
          </w:tcPr>
          <w:p>
            <w:r/>
            <w:r>
              <w:rPr>
                <w:b w:val="0"/>
                <w:sz w:val="17"/>
              </w:rPr>
              <w:t>To fill</w:t>
            </w:r>
          </w:p>
        </w:tc>
        <w:tc>
          <w:tcPr>
            <w:tcW w:type="dxa" w:w="2466"/>
            <w:vAlign w:val="center"/>
            <w:shd w:fill="F4F8FA"/>
          </w:tcPr>
          <w:p>
            <w:r/>
            <w:r>
              <w:rPr>
                <w:b w:val="0"/>
                <w:sz w:val="17"/>
              </w:rPr>
              <w:t>To fill</w:t>
            </w:r>
          </w:p>
        </w:tc>
        <w:tc>
          <w:tcPr>
            <w:tcW w:type="dxa" w:w="2466"/>
            <w:vAlign w:val="center"/>
            <w:shd w:fill="F4F8FA"/>
          </w:tcPr>
          <w:p>
            <w:r/>
            <w:r>
              <w:rPr>
                <w:b w:val="0"/>
                <w:sz w:val="17"/>
              </w:rPr>
              <w:t>To fill</w:t>
            </w:r>
          </w:p>
        </w:tc>
      </w:tr>
    </w:tbl>
    <w:p>
      <w:pPr>
        <w:pStyle w:val="Heading1"/>
      </w:pPr>
      <w:r>
        <w:t>Synthesis paragraph: what students should establish</w:t>
      </w:r>
    </w:p>
    <w:p>
      <w:r>
        <w:t>Conclude the section by accurately separating established pieces (financial QA and sentiment models; low-rank adaptation; program-aided computation; confidence calibration; reject-option learning) from the research question tested here: whether lightweight, financial-evidence-aware verification improves the reliability of a frozen financial SLM when answers may be withheld. Do not assert that this gap has been solved by the present experiments.</w:t>
      </w:r>
    </w:p>
    <w:p>
      <w:pPr>
        <w:pStyle w:val="Heading1"/>
      </w:pPr>
      <w:r>
        <w:t>Related Work submission checklist</w:t>
      </w:r>
    </w:p>
    <w:p>
      <w:pPr>
        <w:pStyle w:val="ListBullet"/>
      </w:pPr>
      <w:r>
        <w:t>All fourteen links open and paper titles, authors and venues match the primary sources.</w:t>
      </w:r>
    </w:p>
    <w:p>
      <w:pPr>
        <w:pStyle w:val="ListBullet"/>
      </w:pPr>
      <w:r>
        <w:t>Each thematic paragraph compares at least two prior methods where appropriate and contains a limitation or design implication.</w:t>
      </w:r>
    </w:p>
    <w:p>
      <w:pPr>
        <w:pStyle w:val="ListBullet"/>
      </w:pPr>
      <w:r>
        <w:t>No paper appears in both the Introduction reading list and the Related Work reading list.</w:t>
      </w:r>
    </w:p>
    <w:p>
      <w:pPr>
        <w:pStyle w:val="ListBullet"/>
      </w:pPr>
      <w:r>
        <w:t>No invented performance values, unsupported novelty claims or implied protected-test evidence.</w:t>
      </w:r>
    </w:p>
    <w:p>
      <w:pPr>
        <w:pStyle w:val="ListBullet"/>
      </w:pPr>
      <w:r>
        <w:t>The comparison matrix is filled from the original articles before the writing is finalized.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080" w:right="1152" w:bottom="1008" w:left="122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color w:val="525F6A"/>
        <w:sz w:val="16"/>
      </w:rPr>
      <w:t>TrustFin-SLM • Tier-3 Conference Writing Support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color w:val="525F6A"/>
        <w:sz w:val="16"/>
      </w:rPr>
      <w:t>TRUSTFIN-SLM   |   STUDENT READING GUIDE   |   RELATED WORK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269" w:lineRule="auto"/>
    </w:pPr>
    <w:rPr>
      <w:rFonts w:ascii="Aptos" w:hAnsi="Aptos"/>
      <w:color w:val="525F6A"/>
      <w:sz w:val="19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20" w:after="100"/>
      <w:outlineLvl w:val="0"/>
    </w:pPr>
    <w:rPr>
      <w:rFonts w:asciiTheme="majorHAnsi" w:eastAsiaTheme="majorEastAsia" w:hAnsiTheme="majorHAnsi" w:cstheme="majorBidi" w:ascii="Aptos Display" w:hAnsi="Aptos Display"/>
      <w:b/>
      <w:bCs/>
      <w:color w:val="1A314D"/>
      <w:sz w:val="3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20" w:after="100"/>
      <w:outlineLvl w:val="1"/>
    </w:pPr>
    <w:rPr>
      <w:rFonts w:asciiTheme="majorHAnsi" w:eastAsiaTheme="majorEastAsia" w:hAnsiTheme="majorHAnsi" w:cstheme="majorBidi" w:ascii="Aptos Display" w:hAnsi="Aptos Display"/>
      <w:b/>
      <w:bCs/>
      <w:color w:val="1A314D"/>
      <w:sz w:val="23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20" w:after="100"/>
      <w:outlineLvl w:val="2"/>
    </w:pPr>
    <w:rPr>
      <w:rFonts w:asciiTheme="majorHAnsi" w:eastAsiaTheme="majorEastAsia" w:hAnsiTheme="majorHAnsi" w:cstheme="majorBidi" w:ascii="Aptos Display" w:hAnsi="Aptos Display"/>
      <w:b/>
      <w:bCs/>
      <w:color w:val="1A314D"/>
      <w:sz w:val="20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100" w:line="240" w:lineRule="auto" w:before="220"/>
      <w:contextualSpacing/>
    </w:pPr>
    <w:rPr>
      <w:rFonts w:asciiTheme="majorHAnsi" w:eastAsiaTheme="majorEastAsia" w:hAnsiTheme="majorHAnsi" w:cstheme="majorBidi" w:ascii="Aptos Display" w:hAnsi="Aptos Display"/>
      <w:b/>
      <w:color w:val="1A314D"/>
      <w:spacing w:val="5"/>
      <w:kern w:val="28"/>
      <w:sz w:val="44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13" Type="http://schemas.openxmlformats.org/officeDocument/2006/relationships/hyperlink" Target="https://aclanthology.org/2022.acl-long.454/" TargetMode="External"/><Relationship Id="rId18" Type="http://schemas.openxmlformats.org/officeDocument/2006/relationships/hyperlink" Target="https://proceedings.mlr.press/v202/gao23f" TargetMode="External"/><Relationship Id="rId26" Type="http://schemas.openxmlformats.org/officeDocument/2006/relationships/customXml" Target="../customXml/item3.xml"/><Relationship Id="rId3" Type="http://schemas.openxmlformats.org/officeDocument/2006/relationships/styles" Target="styles.xml"/><Relationship Id="rId21" Type="http://schemas.openxmlformats.org/officeDocument/2006/relationships/hyperlink" Target="https://proceedings.mlr.press/v70/guo17a.html" TargetMode="External"/><Relationship Id="rId7" Type="http://schemas.openxmlformats.org/officeDocument/2006/relationships/fontTable" Target="fontTable.xml"/><Relationship Id="rId12" Type="http://schemas.openxmlformats.org/officeDocument/2006/relationships/hyperlink" Target="https://aclanthology.org/2022.emnlp-main.421/" TargetMode="External"/><Relationship Id="rId17" Type="http://schemas.openxmlformats.org/officeDocument/2006/relationships/hyperlink" Target="https://proceedings.neurips.cc/paper_files/paper/2023/hash/1feb87871436031bdc0f2beaa62a049b-Abstract.html" TargetMode="External"/><Relationship Id="rId25" Type="http://schemas.openxmlformats.org/officeDocument/2006/relationships/customXml" Target="../customXml/item2.xml"/><Relationship Id="rId2" Type="http://schemas.openxmlformats.org/officeDocument/2006/relationships/numbering" Target="numbering.xml"/><Relationship Id="rId16" Type="http://schemas.openxmlformats.org/officeDocument/2006/relationships/hyperlink" Target="https://www.microsoft.com/en-us/research/publication/lora-low-rank-adaptation-of-large-language-models/" TargetMode="External"/><Relationship Id="rId20" Type="http://schemas.openxmlformats.org/officeDocument/2006/relationships/hyperlink" Target="https://aclanthology.org/2023.emnlp-main.557/" TargetMode="External"/><Relationship Id="rId6" Type="http://schemas.openxmlformats.org/officeDocument/2006/relationships/webSettings" Target="webSettings.xml"/><Relationship Id="rId1" Type="http://schemas.openxmlformats.org/officeDocument/2006/relationships/customXml" Target="../customXml/item1.xml"/><Relationship Id="rId11" Type="http://schemas.openxmlformats.org/officeDocument/2006/relationships/hyperlink" Target="https://aclanthology.org/2021.acl-long.254/" TargetMode="External"/><Relationship Id="rId24" Type="http://schemas.openxmlformats.org/officeDocument/2006/relationships/hyperlink" Target="https://proceedings.iclr.cc/paper_files/paper/2024/hash/f3549ef9b5ff520a7e41ff3cc306ab2b-Abstract-Conference.html" TargetMode="External"/><Relationship Id="rId5" Type="http://schemas.openxmlformats.org/officeDocument/2006/relationships/settings" Target="settings.xml"/><Relationship Id="rId15" Type="http://schemas.openxmlformats.org/officeDocument/2006/relationships/hyperlink" Target="https://arxiv.org/abs/1908.10063" TargetMode="External"/><Relationship Id="rId23" Type="http://schemas.openxmlformats.org/officeDocument/2006/relationships/hyperlink" Target="https://proceedings.mlr.press/v97/geifman19a.html" TargetMode="External"/><Relationship Id="rId10" Type="http://schemas.openxmlformats.org/officeDocument/2006/relationships/footer" Target="footer1.xml"/><Relationship Id="rId19" Type="http://schemas.openxmlformats.org/officeDocument/2006/relationships/hyperlink" Target="https://openreview.net/forum?id=YfZ4ZPt8zd" TargetMode="External"/><Relationship Id="rId4" Type="http://schemas.microsoft.com/office/2007/relationships/stylesWithEffects" Target="stylesWithEffects.xml"/><Relationship Id="rId9" Type="http://schemas.openxmlformats.org/officeDocument/2006/relationships/header" Target="header1.xml"/><Relationship Id="rId14" Type="http://schemas.openxmlformats.org/officeDocument/2006/relationships/hyperlink" Target="https://aclanthology.org/2022.aacl-main.72/" TargetMode="External"/><Relationship Id="rId22" Type="http://schemas.openxmlformats.org/officeDocument/2006/relationships/hyperlink" Target="https://arxiv.org/abs/2207.05221" TargetMode="External"/><Relationship Id="rId27" Type="http://schemas.openxmlformats.org/officeDocument/2006/relationships/customXml" Target="../customXml/item4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A332B642A15C5147A8D960A3C98CC766" ma:contentTypeVersion="3" ma:contentTypeDescription="Create a new document." ma:contentTypeScope="" ma:versionID="6185dd70ca67868e727aa1b7496cbd76">
  <xsd:schema xmlns:xsd="http://www.w3.org/2001/XMLSchema" xmlns:xs="http://www.w3.org/2001/XMLSchema" xmlns:p="http://schemas.microsoft.com/office/2006/metadata/properties" xmlns:ns2="a13384d9-4385-48a3-839e-dc54e7818cfe" targetNamespace="http://schemas.microsoft.com/office/2006/metadata/properties" ma:root="true" ma:fieldsID="4ce3728e6574215cbab496bfd457a8cb" ns2:_="">
    <xsd:import namespace="a13384d9-4385-48a3-839e-dc54e7818cfe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a13384d9-4385-48a3-839e-dc54e7818cfe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4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customXml/itemProps2.xml><?xml version="1.0" encoding="utf-8"?>
<ds:datastoreItem xmlns:ds="http://schemas.openxmlformats.org/officeDocument/2006/customXml" ds:itemID="{6BFE0718-12EE-4B40-B990-BC4930C652BF}"/>
</file>

<file path=customXml/itemProps3.xml><?xml version="1.0" encoding="utf-8"?>
<ds:datastoreItem xmlns:ds="http://schemas.openxmlformats.org/officeDocument/2006/customXml" ds:itemID="{A0D09479-152D-4CB0-9F88-56B5D2DE7F39}"/>
</file>

<file path=customXml/itemProps4.xml><?xml version="1.0" encoding="utf-8"?>
<ds:datastoreItem xmlns:ds="http://schemas.openxmlformats.org/officeDocument/2006/customXml" ds:itemID="{1FA1A7B7-1CF9-4701-9F9B-44D75AC9F8FB}"/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TrustFin-SLM Related Work Reading Guide</dc:title>
  <dc:subject>Verified research paper reading and writing plan</dc:subject>
  <dc:creator>TrustFin-SLM Research Team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0x010100A332B642A15C5147A8D960A3C98CC766</vt:lpwstr>
  </property>
</Properties>
</file>