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60"/>
      </w:pPr>
      <w:r>
        <w:rPr>
          <w:b/>
          <w:color w:val="0D6972"/>
          <w:sz w:val="20"/>
        </w:rPr>
        <w:t>RESEARCH WRITING GUIDE  /  OCTOBER 2026</w:t>
      </w:r>
    </w:p>
    <w:p>
      <w:pPr>
        <w:pStyle w:val="Title"/>
      </w:pPr>
      <w:r>
        <w:t>TrustFin-SLM</w:t>
        <w:br/>
        <w:t>Tier-3 Conference Paper Structure</w:t>
      </w:r>
    </w:p>
    <w:p>
      <w:r>
        <w:rPr>
          <w:color w:val="566570"/>
          <w:sz w:val="24"/>
        </w:rPr>
        <w:t>Section-by-section manuscript blueprint, evidence map, tables/figures, writing assignments and submission-readiness checklist</w:t>
      </w:r>
    </w:p>
    <w:p>
      <w:pPr>
        <w:spacing w:before="280"/>
      </w:pPr>
      <w:r>
        <w:rPr>
          <w:b/>
          <w:color w:val="122C44"/>
        </w:rPr>
        <w:t>Proposed working title</w:t>
      </w:r>
    </w:p>
    <w:p>
      <w:r>
        <w:rPr>
          <w:b/>
          <w:color w:val="0D6972"/>
          <w:sz w:val="26"/>
        </w:rPr>
        <w:t>TrustFin-SLM: Execution-Verified and Confidence-Aware Small Language Models for Financial Tasks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fill="FFF2EB"/>
          </w:tcPr>
          <w:p>
            <w:pPr>
              <w:spacing w:after="80"/>
            </w:pPr>
            <w:r>
              <w:rPr>
                <w:b/>
                <w:color w:val="A04131"/>
                <w:sz w:val="18"/>
              </w:rPr>
              <w:t xml:space="preserve">Claim control  </w:t>
            </w:r>
            <w:r>
              <w:rPr>
                <w:sz w:val="18"/>
              </w:rPr>
              <w:t>The “confidence-aware” contribution is provisional until Phase-4B.1 is independently validated on the protected FinQA test set. Do not describe preliminary validation improvements as final or statistically confirmed.</w:t>
            </w:r>
          </w:p>
        </w:tc>
      </w:tr>
    </w:tbl>
    <w:p>
      <w:pPr>
        <w:spacing w:after="0"/>
      </w:pPr>
    </w:p>
    <w:p>
      <w:r>
        <w:rPr>
          <w:i/>
        </w:rPr>
        <w:t>Audience: student research team preparing a Tier-3 conference submission. This is a writing and reporting guide, not the final manuscript or a substitute for the target conference template.</w:t>
      </w:r>
    </w:p>
    <w:p>
      <w:pPr>
        <w:pStyle w:val="Heading2"/>
      </w:pPr>
      <w:r>
        <w:t>Research snapshot used in this guide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232"/>
            <w:shd w:fill="163A51"/>
            <w:vAlign w:val="center"/>
          </w:tcPr>
          <w:p>
            <w:pPr>
              <w:spacing w:after="20" w:before="40"/>
            </w:pPr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7488"/>
            <w:shd w:fill="163A51"/>
            <w:vAlign w:val="center"/>
          </w:tcPr>
          <w:p>
            <w:pPr>
              <w:spacing w:after="20" w:before="40"/>
            </w:pPr>
            <w:r>
              <w:rPr>
                <w:b/>
                <w:color w:val="FFFFFF"/>
                <w:sz w:val="16"/>
              </w:rPr>
              <w:t>Current established context</w:t>
            </w:r>
          </w:p>
        </w:tc>
      </w:tr>
      <w:tr>
        <w:tc>
          <w:tcPr>
            <w:tcW w:type="dxa" w:w="2232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Financial tasks</w:t>
            </w:r>
          </w:p>
        </w:tc>
        <w:tc>
          <w:tcPr>
            <w:tcW w:type="dxa" w:w="7488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FinQA numerical reasoning + FiQA continuous sentiment regression</w:t>
            </w:r>
          </w:p>
        </w:tc>
      </w:tr>
      <w:tr>
        <w:tc>
          <w:tcPr>
            <w:tcW w:type="dxa" w:w="2232"/>
            <w:vAlign w:val="center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Frozen model</w:t>
            </w:r>
          </w:p>
        </w:tc>
        <w:tc>
          <w:tcPr>
            <w:tcW w:type="dxa" w:w="7488"/>
            <w:vAlign w:val="center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E5: Qwen3-1.7B with balanced multi-task QLoRA</w:t>
            </w:r>
          </w:p>
        </w:tc>
      </w:tr>
      <w:tr>
        <w:tc>
          <w:tcPr>
            <w:tcW w:type="dxa" w:w="2232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Key validation finding</w:t>
            </w:r>
          </w:p>
        </w:tc>
        <w:tc>
          <w:tcPr>
            <w:tcW w:type="dxa" w:w="7488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Written answer: 37.60%; executed program result: 67.50% on FinQA dev (n=883)</w:t>
            </w:r>
          </w:p>
        </w:tc>
      </w:tr>
      <w:tr>
        <w:tc>
          <w:tcPr>
            <w:tcW w:type="dxa" w:w="2232"/>
            <w:vAlign w:val="center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Risk research</w:t>
            </w:r>
          </w:p>
        </w:tc>
        <w:tc>
          <w:tcPr>
            <w:tcW w:type="dxa" w:w="7488"/>
            <w:vAlign w:val="center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Likelihood-only policy selected in Phase-4B; Phase-4B.1 improved fit-set metrics but protected-test confirmation remains pending</w:t>
            </w:r>
          </w:p>
        </w:tc>
      </w:tr>
      <w:tr>
        <w:tc>
          <w:tcPr>
            <w:tcW w:type="dxa" w:w="2232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External trust evaluation</w:t>
            </w:r>
          </w:p>
        </w:tc>
        <w:tc>
          <w:tcPr>
            <w:tcW w:type="dxa" w:w="7488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FinTrust seven-dimension scoring protocols not yet verified</w:t>
            </w:r>
          </w:p>
        </w:tc>
      </w:tr>
    </w:tbl>
    <w:p>
      <w:pPr>
        <w:spacing w:after="0"/>
      </w:pPr>
    </w:p>
    <w:p>
      <w:pPr>
        <w:pStyle w:val="SmallCaption"/>
      </w:pPr>
      <w:r>
        <w:t>Prepared for planning and student coordination. Replace all preliminary numbers with the verified final tables before submission.</w:t>
      </w:r>
    </w:p>
    <w:p>
      <w:r>
        <w:br w:type="page"/>
      </w:r>
    </w:p>
    <w:p>
      <w:pPr>
        <w:pStyle w:val="Heading1"/>
      </w:pPr>
      <w:r>
        <w:t>1. Recommended paper architecture</w:t>
      </w:r>
    </w:p>
    <w:p>
      <w:r>
        <w:t>Target a concise 6–8-page technical manuscript if the venue allows, excluding references where permitted; adapt the length, headings and formatting to the actual conference call for papers. The Word guide may be longer than the final two-column paper.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872"/>
            <w:shd w:fill="163A51"/>
            <w:vAlign w:val="center"/>
          </w:tcPr>
          <w:p>
            <w:pPr>
              <w:spacing w:after="20" w:before="40"/>
            </w:pPr>
            <w:r>
              <w:rPr>
                <w:b/>
                <w:color w:val="FFFFFF"/>
                <w:sz w:val="16"/>
              </w:rPr>
              <w:t>Part</w:t>
            </w:r>
          </w:p>
        </w:tc>
        <w:tc>
          <w:tcPr>
            <w:tcW w:type="dxa" w:w="5472"/>
            <w:shd w:fill="163A51"/>
            <w:vAlign w:val="center"/>
          </w:tcPr>
          <w:p>
            <w:pPr>
              <w:spacing w:after="20" w:before="40"/>
            </w:pPr>
            <w:r>
              <w:rPr>
                <w:b/>
                <w:color w:val="FFFFFF"/>
                <w:sz w:val="16"/>
              </w:rPr>
              <w:t>Suggested manuscript content</w:t>
            </w:r>
          </w:p>
        </w:tc>
        <w:tc>
          <w:tcPr>
            <w:tcW w:type="dxa" w:w="2376"/>
            <w:shd w:fill="163A51"/>
            <w:vAlign w:val="center"/>
          </w:tcPr>
          <w:p>
            <w:pPr>
              <w:spacing w:after="20" w:before="40"/>
            </w:pPr>
            <w:r>
              <w:rPr>
                <w:b/>
                <w:color w:val="FFFFFF"/>
                <w:sz w:val="16"/>
              </w:rPr>
              <w:t>Writing status</w:t>
            </w:r>
          </w:p>
        </w:tc>
      </w:tr>
      <w:tr>
        <w:tc>
          <w:tcPr>
            <w:tcW w:type="dxa" w:w="1872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Title / Abstract / Keywords</w:t>
            </w:r>
          </w:p>
        </w:tc>
        <w:tc>
          <w:tcPr>
            <w:tcW w:type="dxa" w:w="5472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Problem, method, datasets, numerical findings, evidence limitations</w:t>
            </w:r>
          </w:p>
        </w:tc>
        <w:tc>
          <w:tcPr>
            <w:tcW w:type="dxa" w:w="2376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Abstract last</w:t>
            </w:r>
          </w:p>
        </w:tc>
      </w:tr>
      <w:tr>
        <w:tc>
          <w:tcPr>
            <w:tcW w:type="dxa" w:w="1872"/>
            <w:vAlign w:val="center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1. Introduction</w:t>
            </w:r>
          </w:p>
        </w:tc>
        <w:tc>
          <w:tcPr>
            <w:tcW w:type="dxa" w:w="5472"/>
            <w:vAlign w:val="center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Finance reliability problem, gap, RQs, tightly scoped contributions</w:t>
            </w:r>
          </w:p>
        </w:tc>
        <w:tc>
          <w:tcPr>
            <w:tcW w:type="dxa" w:w="2376"/>
            <w:vAlign w:val="center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Draft now</w:t>
            </w:r>
          </w:p>
        </w:tc>
      </w:tr>
      <w:tr>
        <w:tc>
          <w:tcPr>
            <w:tcW w:type="dxa" w:w="1872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2. Related Work</w:t>
            </w:r>
          </w:p>
        </w:tc>
        <w:tc>
          <w:tcPr>
            <w:tcW w:type="dxa" w:w="5472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Financial SLMs, executable QA, calibration, selective prediction, finance benchmarks</w:t>
            </w:r>
          </w:p>
        </w:tc>
        <w:tc>
          <w:tcPr>
            <w:tcW w:type="dxa" w:w="2376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Draft now; verify citations</w:t>
            </w:r>
          </w:p>
        </w:tc>
      </w:tr>
      <w:tr>
        <w:tc>
          <w:tcPr>
            <w:tcW w:type="dxa" w:w="1872"/>
            <w:vAlign w:val="center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3. Proposed Method</w:t>
            </w:r>
          </w:p>
        </w:tc>
        <w:tc>
          <w:tcPr>
            <w:tcW w:type="dxa" w:w="5472"/>
            <w:vAlign w:val="center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E5 backbone, execution/grounding, risk estimator, answer/abstain decision</w:t>
            </w:r>
          </w:p>
        </w:tc>
        <w:tc>
          <w:tcPr>
            <w:tcW w:type="dxa" w:w="2376"/>
            <w:vAlign w:val="center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Partial; 4B.1 pending</w:t>
            </w:r>
          </w:p>
        </w:tc>
      </w:tr>
      <w:tr>
        <w:tc>
          <w:tcPr>
            <w:tcW w:type="dxa" w:w="1872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4. Experimental Setup</w:t>
            </w:r>
          </w:p>
        </w:tc>
        <w:tc>
          <w:tcPr>
            <w:tcW w:type="dxa" w:w="5472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Splits, baselines, training, metrics, integrity protocol</w:t>
            </w:r>
          </w:p>
        </w:tc>
        <w:tc>
          <w:tcPr>
            <w:tcW w:type="dxa" w:w="2376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Mostly ready</w:t>
            </w:r>
          </w:p>
        </w:tc>
      </w:tr>
      <w:tr>
        <w:tc>
          <w:tcPr>
            <w:tcW w:type="dxa" w:w="1872"/>
            <w:vAlign w:val="center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5. Results and Analysis</w:t>
            </w:r>
          </w:p>
        </w:tc>
        <w:tc>
          <w:tcPr>
            <w:tcW w:type="dxa" w:w="5472"/>
            <w:vAlign w:val="center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Phase-3/4A/4B/4C + confirmed 4B.1/test results</w:t>
            </w:r>
          </w:p>
        </w:tc>
        <w:tc>
          <w:tcPr>
            <w:tcW w:type="dxa" w:w="2376"/>
            <w:vAlign w:val="center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Final tables pending</w:t>
            </w:r>
          </w:p>
        </w:tc>
      </w:tr>
      <w:tr>
        <w:tc>
          <w:tcPr>
            <w:tcW w:type="dxa" w:w="1872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6. Discussion / Limitations</w:t>
            </w:r>
          </w:p>
        </w:tc>
        <w:tc>
          <w:tcPr>
            <w:tcW w:type="dxa" w:w="5472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Where verifier works/fails; calibration; small holdout; constraints</w:t>
            </w:r>
          </w:p>
        </w:tc>
        <w:tc>
          <w:tcPr>
            <w:tcW w:type="dxa" w:w="2376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Draft now</w:t>
            </w:r>
          </w:p>
        </w:tc>
      </w:tr>
      <w:tr>
        <w:tc>
          <w:tcPr>
            <w:tcW w:type="dxa" w:w="1872"/>
            <w:vAlign w:val="center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7. Conclusion</w:t>
            </w:r>
          </w:p>
        </w:tc>
        <w:tc>
          <w:tcPr>
            <w:tcW w:type="dxa" w:w="5472"/>
            <w:vAlign w:val="center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Supported contributions, limitations, next steps</w:t>
            </w:r>
          </w:p>
        </w:tc>
        <w:tc>
          <w:tcPr>
            <w:tcW w:type="dxa" w:w="2376"/>
            <w:vAlign w:val="center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Finalize last</w:t>
            </w:r>
          </w:p>
        </w:tc>
      </w:tr>
      <w:tr>
        <w:tc>
          <w:tcPr>
            <w:tcW w:type="dxa" w:w="1872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References / Appendix</w:t>
            </w:r>
          </w:p>
        </w:tc>
        <w:tc>
          <w:tcPr>
            <w:tcW w:type="dxa" w:w="5472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Traceable papers, code, implementation details</w:t>
            </w:r>
          </w:p>
        </w:tc>
        <w:tc>
          <w:tcPr>
            <w:tcW w:type="dxa" w:w="2376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Maintain throughout</w:t>
            </w:r>
          </w:p>
        </w:tc>
      </w:tr>
    </w:tbl>
    <w:p>
      <w:pPr>
        <w:spacing w:after="0"/>
      </w:pPr>
    </w:p>
    <w:p>
      <w:pPr>
        <w:pStyle w:val="Heading2"/>
      </w:pPr>
      <w:r>
        <w:t>Suggested narrative arc</w:t>
      </w:r>
    </w:p>
    <w:p>
      <w:pPr>
        <w:pStyle w:val="ListNumber"/>
        <w:spacing w:after="40"/>
      </w:pPr>
      <w:r>
        <w:t>Financial SLMs are efficient, but generated textual answers and confidence can be unreliable.</w:t>
      </w:r>
    </w:p>
    <w:p>
      <w:pPr>
        <w:pStyle w:val="ListNumber"/>
        <w:spacing w:after="40"/>
      </w:pPr>
      <w:r>
        <w:t>An executable financial program can correct many written arithmetic answers; program validity does not guarantee correct reasoning.</w:t>
      </w:r>
    </w:p>
    <w:p>
      <w:pPr>
        <w:pStyle w:val="ListNumber"/>
        <w:spacing w:after="40"/>
      </w:pPr>
      <w:r>
        <w:t>Evidence-aware checks may identify some risky programs; raw token likelihood is a weak risk predictor.</w:t>
      </w:r>
    </w:p>
    <w:p>
      <w:pPr>
        <w:pStyle w:val="ListNumber"/>
        <w:spacing w:after="40"/>
      </w:pPr>
      <w:r>
        <w:t>Test whether a lightweight, frozen verifier-aware selective policy improves reliability at comparable coverage—without altering the SLM backbone.</w:t>
      </w:r>
    </w:p>
    <w:p>
      <w:pPr>
        <w:pStyle w:val="ListNumber"/>
        <w:spacing w:after="40"/>
      </w:pPr>
      <w:r>
        <w:t>Report positive and negative findings transparently, with protected-test evaluation only after methodology freeze.</w:t>
      </w:r>
    </w:p>
    <w:p>
      <w:pPr>
        <w:pStyle w:val="Heading1"/>
      </w:pPr>
      <w:r>
        <w:t>2. Abstract and keywords</w:t>
      </w:r>
    </w:p>
    <w:p>
      <w:pPr>
        <w:pStyle w:val="Heading2"/>
      </w:pPr>
      <w:r>
        <w:t>Abstract: 170–220 words, 5-sentence structure</w:t>
      </w:r>
    </w:p>
    <w:p>
      <w:pPr>
        <w:pStyle w:val="ListNumber"/>
        <w:spacing w:after="40"/>
      </w:pPr>
      <w:r>
        <w:t>Context: identify the financial numerical-reasoning reliability problem and cost/benefit of small LMs.</w:t>
      </w:r>
    </w:p>
    <w:p>
      <w:pPr>
        <w:pStyle w:val="ListNumber"/>
        <w:spacing w:after="40"/>
      </w:pPr>
      <w:r>
        <w:t>Gap: program execution and token likelihood solve different failure modes; neither guarantees semantic correctness.</w:t>
      </w:r>
    </w:p>
    <w:p>
      <w:pPr>
        <w:pStyle w:val="ListNumber"/>
        <w:spacing w:after="40"/>
      </w:pPr>
      <w:r>
        <w:t>Method: describe E5 multi-task QLoRA, execution-based answer reconciliation, evidence features and the *evaluated* risk policy.</w:t>
      </w:r>
    </w:p>
    <w:p>
      <w:pPr>
        <w:pStyle w:val="ListNumber"/>
        <w:spacing w:after="40"/>
      </w:pPr>
      <w:r>
        <w:t>Evaluation: cite FinQA and FiQA splits, strongest baselines, validation/test protocol and key metrics.</w:t>
      </w:r>
    </w:p>
    <w:p>
      <w:pPr>
        <w:pStyle w:val="ListNumber"/>
        <w:spacing w:after="40"/>
      </w:pPr>
      <w:r>
        <w:t>Results + caveat: use protected-test values when available; do not assert significant verifier-aware improvement without evidence.</w:t>
      </w:r>
    </w:p>
    <w:p>
      <w:r>
        <w:t>Suggested keywords: Financial Question Answering; Small Language Models; Execution Verification; Financial Sentiment; Selective Prediction; Risk Calibration; QLoRA.</w:t>
      </w:r>
    </w:p>
    <w:p>
      <w:pPr>
        <w:pStyle w:val="Heading1"/>
      </w:pPr>
      <w:r>
        <w:t>3. Introduction: paragraph-by-paragraph guide</w:t>
      </w:r>
    </w:p>
    <w:p>
      <w:pPr>
        <w:pStyle w:val="Heading2"/>
      </w:pPr>
      <w:r>
        <w:t>1.1 Background and motivation (paragraphs 1–2)</w:t>
      </w:r>
    </w:p>
    <w:p>
      <w:r>
        <w:t>Discuss automated financial-document QA and financial sentiment regression. Explain why numerical mistakes and overconfident answers matter. Introduce compact models as appealing where deployment cost matters; avoid claiming deployment in regulated financial decision-making without testing.</w:t>
      </w:r>
    </w:p>
    <w:p>
      <w:pPr>
        <w:pStyle w:val="Heading2"/>
      </w:pPr>
      <w:r>
        <w:t>1.2 Technical gap (paragraphs 3–4)</w:t>
      </w:r>
    </w:p>
    <w:p>
      <w:r>
        <w:t>Distinguish (a) program syntax/executability, (b) mathematical execution correctness, (c) semantic operand/evidence validity, and (d) confidence calibration. Use the observed 265 cases with correct program execution but incorrect written answer as concrete motivation—not as proof of novel program execution.</w:t>
      </w:r>
    </w:p>
    <w:p>
      <w:pPr>
        <w:pStyle w:val="Heading2"/>
      </w:pPr>
      <w:r>
        <w:t>1.3 Research questions</w:t>
      </w:r>
    </w:p>
    <w:p>
      <w:pPr>
        <w:pStyle w:val="ListBullet"/>
        <w:spacing w:after="40"/>
        <w:ind w:left="317"/>
      </w:pPr>
      <w:r>
        <w:t>RQ1. How effectively do small LMs transfer across FinQA numerical reasoning and FiQA sentiment regression after balanced multi-task QLoRA?</w:t>
      </w:r>
    </w:p>
    <w:p>
      <w:pPr>
        <w:pStyle w:val="ListBullet"/>
        <w:spacing w:after="40"/>
        <w:ind w:left="317"/>
      </w:pPr>
      <w:r>
        <w:t>RQ2. How much does deterministic program execution improve FinQA final-answer accuracy over generated text?</w:t>
      </w:r>
    </w:p>
    <w:p>
      <w:pPr>
        <w:pStyle w:val="ListBullet"/>
        <w:spacing w:after="40"/>
        <w:ind w:left="317"/>
      </w:pPr>
      <w:r>
        <w:t>RQ3. Can verifier-aware, evidence-grounded risk estimation improve selective accuracy and calibration over raw likelihood at matched coverage?</w:t>
      </w:r>
    </w:p>
    <w:p>
      <w:pPr>
        <w:pStyle w:val="ListBullet"/>
        <w:spacing w:after="40"/>
        <w:ind w:left="317"/>
      </w:pPr>
      <w:r>
        <w:t>RQ4. What is the computational overhead and what failure patterns remain, including long-input truncation?</w:t>
      </w:r>
    </w:p>
    <w:p>
      <w:pPr>
        <w:pStyle w:val="Heading2"/>
      </w:pPr>
      <w:r>
        <w:t>1.4 Contributions: conditional framing</w:t>
      </w:r>
    </w:p>
    <w:p>
      <w:r>
        <w:t>Safe now: “We evaluate a compact multi-task financial SLM and analyze the separation between structured program execution and generated answers.”</w:t>
      </w:r>
    </w:p>
    <w:p>
      <w:r>
        <w:t>Conditional: “We develop and evaluate a verifier-aware selective prediction framework.” Keep the “outperforms” wording only if the final controlled evaluation demonstrates it.</w:t>
      </w:r>
    </w:p>
    <w:p>
      <w:r>
        <w:t>Do not claim new arithmetic execution algorithms, comprehensive FinTrust evaluation, or statistically significant selective-risk reductions without supporting experiments.</w:t>
      </w:r>
    </w:p>
    <w:p>
      <w:pPr>
        <w:pStyle w:val="Heading1"/>
      </w:pPr>
      <w:r>
        <w:t>4. Related Work: five focused subsections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160"/>
            <w:shd w:fill="163A51"/>
            <w:vAlign w:val="center"/>
          </w:tcPr>
          <w:p>
            <w:pPr>
              <w:spacing w:after="20" w:before="40"/>
            </w:pPr>
            <w:r>
              <w:rPr>
                <w:b/>
                <w:color w:val="FFFFFF"/>
                <w:sz w:val="16"/>
              </w:rPr>
              <w:t>Subsection</w:t>
            </w:r>
          </w:p>
        </w:tc>
        <w:tc>
          <w:tcPr>
            <w:tcW w:type="dxa" w:w="4536"/>
            <w:shd w:fill="163A51"/>
            <w:vAlign w:val="center"/>
          </w:tcPr>
          <w:p>
            <w:pPr>
              <w:spacing w:after="20" w:before="40"/>
            </w:pPr>
            <w:r>
              <w:rPr>
                <w:b/>
                <w:color w:val="FFFFFF"/>
                <w:sz w:val="16"/>
              </w:rPr>
              <w:t>What students should synthesize</w:t>
            </w:r>
          </w:p>
        </w:tc>
        <w:tc>
          <w:tcPr>
            <w:tcW w:type="dxa" w:w="3024"/>
            <w:shd w:fill="163A51"/>
            <w:vAlign w:val="center"/>
          </w:tcPr>
          <w:p>
            <w:pPr>
              <w:spacing w:after="20" w:before="40"/>
            </w:pPr>
            <w:r>
              <w:rPr>
                <w:b/>
                <w:color w:val="FFFFFF"/>
                <w:sz w:val="16"/>
              </w:rPr>
              <w:t>Required comparison</w:t>
            </w:r>
          </w:p>
        </w:tc>
      </w:tr>
      <w:tr>
        <w:tc>
          <w:tcPr>
            <w:tcW w:type="dxa" w:w="2160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2.1 Small LMs in finance</w:t>
            </w:r>
          </w:p>
        </w:tc>
        <w:tc>
          <w:tcPr>
            <w:tcW w:type="dxa" w:w="4536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Domain adaptation, parameter efficiency, model-scale trade-off</w:t>
            </w:r>
          </w:p>
        </w:tc>
        <w:tc>
          <w:tcPr>
            <w:tcW w:type="dxa" w:w="3024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General vs finance-tuned; SLM vs large LM</w:t>
            </w:r>
          </w:p>
        </w:tc>
      </w:tr>
      <w:tr>
        <w:tc>
          <w:tcPr>
            <w:tcW w:type="dxa" w:w="2160"/>
            <w:vAlign w:val="center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2.2 Executable financial QA</w:t>
            </w:r>
          </w:p>
        </w:tc>
        <w:tc>
          <w:tcPr>
            <w:tcW w:type="dxa" w:w="4536"/>
            <w:vAlign w:val="center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FinQA, program generation, tool execution, arithmetic-grounded QA</w:t>
            </w:r>
          </w:p>
        </w:tc>
        <w:tc>
          <w:tcPr>
            <w:tcW w:type="dxa" w:w="3024"/>
            <w:vAlign w:val="center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Program execution ≠ semantic grounding</w:t>
            </w:r>
          </w:p>
        </w:tc>
      </w:tr>
      <w:tr>
        <w:tc>
          <w:tcPr>
            <w:tcW w:type="dxa" w:w="2160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2.3 Financial sentiment</w:t>
            </w:r>
          </w:p>
        </w:tc>
        <w:tc>
          <w:tcPr>
            <w:tcW w:type="dxa" w:w="4536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FiQA continuous scores, target/aspect effects, regression vs classification</w:t>
            </w:r>
          </w:p>
        </w:tc>
        <w:tc>
          <w:tcPr>
            <w:tcW w:type="dxa" w:w="3024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Correct use of MAE, R²</w:t>
            </w:r>
          </w:p>
        </w:tc>
      </w:tr>
      <w:tr>
        <w:tc>
          <w:tcPr>
            <w:tcW w:type="dxa" w:w="2160"/>
            <w:vAlign w:val="center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2.4 Confidence &amp; abstention</w:t>
            </w:r>
          </w:p>
        </w:tc>
        <w:tc>
          <w:tcPr>
            <w:tcW w:type="dxa" w:w="4536"/>
            <w:vAlign w:val="center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Calibration, Brier, ROC-AUC, risk–coverage, selective prediction</w:t>
            </w:r>
          </w:p>
        </w:tc>
        <w:tc>
          <w:tcPr>
            <w:tcW w:type="dxa" w:w="3024"/>
            <w:vAlign w:val="center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Calibration ≠ ranking/discrimination</w:t>
            </w:r>
          </w:p>
        </w:tc>
      </w:tr>
      <w:tr>
        <w:tc>
          <w:tcPr>
            <w:tcW w:type="dxa" w:w="2160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2.5 Financial trust benchmarks</w:t>
            </w:r>
          </w:p>
        </w:tc>
        <w:tc>
          <w:tcPr>
            <w:tcW w:type="dxa" w:w="4536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Robustness, fairness, transparency, privacy, safety</w:t>
            </w:r>
          </w:p>
        </w:tc>
        <w:tc>
          <w:tcPr>
            <w:tcW w:type="dxa" w:w="3024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Only report dimensions with valid evaluator</w:t>
            </w:r>
          </w:p>
        </w:tc>
      </w:tr>
    </w:tbl>
    <w:p>
      <w:pPr>
        <w:spacing w:after="0"/>
      </w:pPr>
    </w:p>
    <w:p>
      <w:r>
        <w:t>Student deliverable: an evidence matrix with paper, year, method, dataset, metric, limitation, relevance to TrustFin-SLM and verified DOI/URL. Prefer foundational and recent peer-reviewed studies. Never invent bibliographic details.</w:t>
      </w:r>
    </w:p>
    <w:p>
      <w:pPr>
        <w:pStyle w:val="Heading1"/>
      </w:pPr>
      <w:r>
        <w:t>5. Proposed methodology: full section plan</w:t>
      </w:r>
    </w:p>
    <w:p>
      <w:pPr>
        <w:pStyle w:val="Heading2"/>
      </w:pPr>
      <w:r>
        <w:t>3.1 Problem formulation and task definitions</w:t>
      </w:r>
    </w:p>
    <w:p>
      <w:r>
        <w:t>FinQA: input is question + financial table/text; model generates program P and written answer A. Official executor returns E(P). FiQA: input is a financial text and contextual target/aspect, output is a continuous sentiment score in [−1,1].</w:t>
      </w:r>
    </w:p>
    <w:p>
      <w:r>
        <w:t>State the research objective as the trade-off between error among answered queries and abstention coverage. Report answer-execution reconciliation separately from reasoning error detection.</w:t>
      </w:r>
    </w:p>
    <w:p>
      <w:pPr>
        <w:pStyle w:val="Heading2"/>
      </w:pPr>
      <w:r>
        <w:t>3.2 Frozen E5 backbone and instruction adaptation</w:t>
      </w:r>
    </w:p>
    <w:p>
      <w:r>
        <w:t>Describe Qwen3-1.7B, balanced FinQA/FiQA QLoRA, the two task formats, seed, training settings and model-selection decision. Mention Phi-4-mini as a cross-family reference, not the frozen Phase-4 backbone. Cite versioned model cards and the Phase-3 freeze manifest.</w:t>
      </w:r>
    </w:p>
    <w:p>
      <w:pPr>
        <w:pStyle w:val="Heading2"/>
      </w:pPr>
      <w:r>
        <w:t>3.3 Deterministic program execution and answer reconciliation</w:t>
      </w:r>
    </w:p>
    <w:p>
      <w:r>
        <w:t>Explain a strict program parser, official FinQA evaluator, executable-result substitution and invalid-program handling. Report A1 raw text and A2 executed result as separate conditions. This is the verified engineering baseline, not by itself algorithmic novelty.</w:t>
      </w:r>
    </w:p>
    <w:p>
      <w:pPr>
        <w:pStyle w:val="Heading2"/>
      </w:pPr>
      <w:r>
        <w:t>3.4 Evidence and operation checks</w:t>
      </w:r>
    </w:p>
    <w:p>
      <w:r>
        <w:t>Distinguish numerical-literal presence from semantic financial grounding. Define operand provenance features; question–evidence relevance; operation/quantity/percentage consistency; prompt truncation. Label heuristic checks as heuristics. For final claims, validate failure detection on examples where all literals appear yet reasoning is wrong.</w:t>
      </w:r>
    </w:p>
    <w:p>
      <w:pPr>
        <w:pStyle w:val="Heading2"/>
      </w:pPr>
      <w:r>
        <w:t>3.5 Verifier-aware risk estimation</w:t>
      </w:r>
    </w:p>
    <w:p>
      <w:r>
        <w:t>The candidate risk estimator may combine generated-token confidence, prompt length/truncation, program executability, and vetted provenance features. Include only inference-observable features. Gold program, gold answer, correctness labels, sample IDs and fold IDs must never enter inference feature inputs.</w:t>
      </w:r>
    </w:p>
    <w:p>
      <w:pPr>
        <w:pStyle w:val="Heading2"/>
      </w:pPr>
      <w:r>
        <w:t>3.6 Calibration, answer/abstain policy and task distinctions</w:t>
      </w:r>
    </w:p>
    <w:p>
      <w:r>
        <w:t>FinQA: estimate correctness probability, set decision threshold on development data, report risk vs coverage. FiQA: estimate regression error or predictive intervals, and evaluate selective MAE separately. Do not treat FiQA score regression as binary classification.</w:t>
      </w:r>
    </w:p>
    <w:p>
      <w:pPr>
        <w:pStyle w:val="Heading2"/>
      </w:pPr>
      <w:r>
        <w:t>3.7 Algorithm pseudocode (recommended)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864"/>
            <w:shd w:fill="163A51"/>
            <w:vAlign w:val="center"/>
          </w:tcPr>
          <w:p>
            <w:pPr>
              <w:spacing w:after="20" w:before="40"/>
            </w:pPr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type="dxa" w:w="8856"/>
            <w:shd w:fill="163A51"/>
            <w:vAlign w:val="center"/>
          </w:tcPr>
          <w:p>
            <w:pPr>
              <w:spacing w:after="20" w:before="40"/>
            </w:pPr>
            <w:r>
              <w:rPr>
                <w:b/>
                <w:color w:val="FFFFFF"/>
                <w:sz w:val="16"/>
              </w:rPr>
              <w:t>Algorithm input/output</w:t>
            </w:r>
          </w:p>
        </w:tc>
      </w:tr>
      <w:tr>
        <w:tc>
          <w:tcPr>
            <w:tcW w:type="dxa" w:w="864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1</w:t>
            </w:r>
          </w:p>
        </w:tc>
        <w:tc>
          <w:tcPr>
            <w:tcW w:type="dxa" w:w="8856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Receive financial question and context; select FinQA or FiQA task.</w:t>
            </w:r>
          </w:p>
        </w:tc>
      </w:tr>
      <w:tr>
        <w:tc>
          <w:tcPr>
            <w:tcW w:type="dxa" w:w="864"/>
            <w:vAlign w:val="center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2</w:t>
            </w:r>
          </w:p>
        </w:tc>
        <w:tc>
          <w:tcPr>
            <w:tcW w:type="dxa" w:w="8856"/>
            <w:vAlign w:val="center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Generate structured output using the frozen E5 adapter.</w:t>
            </w:r>
          </w:p>
        </w:tc>
      </w:tr>
      <w:tr>
        <w:tc>
          <w:tcPr>
            <w:tcW w:type="dxa" w:w="864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3</w:t>
            </w:r>
          </w:p>
        </w:tc>
        <w:tc>
          <w:tcPr>
            <w:tcW w:type="dxa" w:w="8856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For FinQA, parse P, execute P when valid, and reconcile the returned numeric answer.</w:t>
            </w:r>
          </w:p>
        </w:tc>
      </w:tr>
      <w:tr>
        <w:tc>
          <w:tcPr>
            <w:tcW w:type="dxa" w:w="864"/>
            <w:vAlign w:val="center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4</w:t>
            </w:r>
          </w:p>
        </w:tc>
        <w:tc>
          <w:tcPr>
            <w:tcW w:type="dxa" w:w="8856"/>
            <w:vAlign w:val="center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Extract allowable inference-time grounding and uncertainty signals.</w:t>
            </w:r>
          </w:p>
        </w:tc>
      </w:tr>
      <w:tr>
        <w:tc>
          <w:tcPr>
            <w:tcW w:type="dxa" w:w="864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5</w:t>
            </w:r>
          </w:p>
        </w:tc>
        <w:tc>
          <w:tcPr>
            <w:tcW w:type="dxa" w:w="8856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Apply fitted/calibrated risk policy; abstain if estimated risk exceeds pre-set threshold.</w:t>
            </w:r>
          </w:p>
        </w:tc>
      </w:tr>
      <w:tr>
        <w:tc>
          <w:tcPr>
            <w:tcW w:type="dxa" w:w="864"/>
            <w:vAlign w:val="center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6</w:t>
            </w:r>
          </w:p>
        </w:tc>
        <w:tc>
          <w:tcPr>
            <w:tcW w:type="dxa" w:w="8856"/>
            <w:vAlign w:val="center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Return verified result and response status, or an explicit abstention. Log reasons for audit.</w:t>
            </w:r>
          </w:p>
        </w:tc>
      </w:tr>
    </w:tbl>
    <w:p>
      <w:pPr>
        <w:spacing w:after="0"/>
      </w:pPr>
    </w:p>
    <w:p>
      <w:pPr>
        <w:pStyle w:val="Heading1"/>
      </w:pPr>
      <w:r>
        <w:t>6. Experimental setup: exact reproducibility items</w:t>
      </w:r>
    </w:p>
    <w:p>
      <w:pPr>
        <w:pStyle w:val="Heading2"/>
      </w:pPr>
      <w:r>
        <w:t>4.1 Data and split integrity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1944"/>
            <w:shd w:fill="163A51"/>
            <w:vAlign w:val="center"/>
          </w:tcPr>
          <w:p>
            <w:pPr>
              <w:spacing w:after="20" w:before="40"/>
            </w:pPr>
            <w:r>
              <w:rPr>
                <w:b/>
                <w:color w:val="FFFFFF"/>
                <w:sz w:val="16"/>
              </w:rPr>
              <w:t>Dataset</w:t>
            </w:r>
          </w:p>
        </w:tc>
        <w:tc>
          <w:tcPr>
            <w:tcW w:type="dxa" w:w="1440"/>
            <w:shd w:fill="163A51"/>
            <w:vAlign w:val="center"/>
          </w:tcPr>
          <w:p>
            <w:pPr>
              <w:spacing w:after="20" w:before="40"/>
            </w:pPr>
            <w:r>
              <w:rPr>
                <w:b/>
                <w:color w:val="FFFFFF"/>
                <w:sz w:val="16"/>
              </w:rPr>
              <w:t>Train</w:t>
            </w:r>
          </w:p>
        </w:tc>
        <w:tc>
          <w:tcPr>
            <w:tcW w:type="dxa" w:w="1584"/>
            <w:shd w:fill="163A51"/>
            <w:vAlign w:val="center"/>
          </w:tcPr>
          <w:p>
            <w:pPr>
              <w:spacing w:after="20" w:before="40"/>
            </w:pPr>
            <w:r>
              <w:rPr>
                <w:b/>
                <w:color w:val="FFFFFF"/>
                <w:sz w:val="16"/>
              </w:rPr>
              <w:t>Validation</w:t>
            </w:r>
          </w:p>
        </w:tc>
        <w:tc>
          <w:tcPr>
            <w:tcW w:type="dxa" w:w="4752"/>
            <w:shd w:fill="163A51"/>
            <w:vAlign w:val="center"/>
          </w:tcPr>
          <w:p>
            <w:pPr>
              <w:spacing w:after="20" w:before="40"/>
            </w:pPr>
            <w:r>
              <w:rPr>
                <w:b/>
                <w:color w:val="FFFFFF"/>
                <w:sz w:val="16"/>
              </w:rPr>
              <w:t>Protected test / role</w:t>
            </w:r>
          </w:p>
        </w:tc>
      </w:tr>
      <w:tr>
        <w:tc>
          <w:tcPr>
            <w:tcW w:type="dxa" w:w="1944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FinQA</w:t>
            </w:r>
          </w:p>
        </w:tc>
        <w:tc>
          <w:tcPr>
            <w:tcW w:type="dxa" w:w="1440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6,251</w:t>
            </w:r>
          </w:p>
        </w:tc>
        <w:tc>
          <w:tcPr>
            <w:tcW w:type="dxa" w:w="1584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883</w:t>
            </w:r>
          </w:p>
        </w:tc>
        <w:tc>
          <w:tcPr>
            <w:tcW w:type="dxa" w:w="4752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1,147; final numerical reasoning test</w:t>
            </w:r>
          </w:p>
        </w:tc>
      </w:tr>
      <w:tr>
        <w:tc>
          <w:tcPr>
            <w:tcW w:type="dxa" w:w="1944"/>
            <w:vAlign w:val="center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FiQA</w:t>
            </w:r>
          </w:p>
        </w:tc>
        <w:tc>
          <w:tcPr>
            <w:tcW w:type="dxa" w:w="1440"/>
            <w:vAlign w:val="center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822</w:t>
            </w:r>
          </w:p>
        </w:tc>
        <w:tc>
          <w:tcPr>
            <w:tcW w:type="dxa" w:w="1584"/>
            <w:vAlign w:val="center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117</w:t>
            </w:r>
          </w:p>
        </w:tc>
        <w:tc>
          <w:tcPr>
            <w:tcW w:type="dxa" w:w="4752"/>
            <w:vAlign w:val="center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234; final sentiment regression test</w:t>
            </w:r>
          </w:p>
        </w:tc>
      </w:tr>
      <w:tr>
        <w:tc>
          <w:tcPr>
            <w:tcW w:type="dxa" w:w="1944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FinBen-FOMC</w:t>
            </w:r>
          </w:p>
        </w:tc>
        <w:tc>
          <w:tcPr>
            <w:tcW w:type="dxa" w:w="1440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Not used</w:t>
            </w:r>
          </w:p>
        </w:tc>
        <w:tc>
          <w:tcPr>
            <w:tcW w:type="dxa" w:w="1584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Not used</w:t>
            </w:r>
          </w:p>
        </w:tc>
        <w:tc>
          <w:tcPr>
            <w:tcW w:type="dxa" w:w="4752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496; optional out-of-task evaluation</w:t>
            </w:r>
          </w:p>
        </w:tc>
      </w:tr>
      <w:tr>
        <w:tc>
          <w:tcPr>
            <w:tcW w:type="dxa" w:w="1944"/>
            <w:vAlign w:val="center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FinTrust</w:t>
            </w:r>
          </w:p>
        </w:tc>
        <w:tc>
          <w:tcPr>
            <w:tcW w:type="dxa" w:w="1440"/>
            <w:vAlign w:val="center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Not used</w:t>
            </w:r>
          </w:p>
        </w:tc>
        <w:tc>
          <w:tcPr>
            <w:tcW w:type="dxa" w:w="1584"/>
            <w:vAlign w:val="center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Not used</w:t>
            </w:r>
          </w:p>
        </w:tc>
        <w:tc>
          <w:tcPr>
            <w:tcW w:type="dxa" w:w="4752"/>
            <w:vAlign w:val="center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Evaluation only; protocol mapping pending</w:t>
            </w:r>
          </w:p>
        </w:tc>
      </w:tr>
    </w:tbl>
    <w:p>
      <w:pPr>
        <w:spacing w:after="0"/>
      </w:pPr>
    </w:p>
    <w:p>
      <w:r>
        <w:t>Internal calibration: FinQA 698 fit / 185 previously examined holdout; FiQA 92 fit / 25 holdout. State explicitly that the Phase-4B/C holdout was examined before Phase-4B.1 development and thus is no longer independent for Phase-4B.1 claims.</w:t>
      </w:r>
    </w:p>
    <w:p>
      <w:pPr>
        <w:pStyle w:val="Heading2"/>
      </w:pPr>
      <w:r>
        <w:t>4.2 Baselines, ablations and selection protocol</w:t>
      </w:r>
    </w:p>
    <w:p>
      <w:pPr>
        <w:pStyle w:val="ListBullet"/>
        <w:spacing w:after="40"/>
        <w:ind w:left="317"/>
      </w:pPr>
      <w:r>
        <w:t>E1–E16: base/few-shot, FinQA-only, FiQA-only, balanced joint, natural joint, secondary model, prompt and sampling comparisons.</w:t>
      </w:r>
    </w:p>
    <w:p>
      <w:pPr>
        <w:pStyle w:val="ListBullet"/>
        <w:spacing w:after="40"/>
        <w:ind w:left="317"/>
      </w:pPr>
      <w:r>
        <w:t>A1–A5: written answer, execution correction, structure, evidence features and initial confidence signal.</w:t>
      </w:r>
    </w:p>
    <w:p>
      <w:pPr>
        <w:pStyle w:val="ListBullet"/>
        <w:spacing w:after="40"/>
        <w:ind w:left="317"/>
      </w:pPr>
      <w:r>
        <w:t>B1–B8 and C1–C10: likelihood, calibrated/verifier-aware risk, abstention, comparative ablations and statistics.</w:t>
      </w:r>
    </w:p>
    <w:p>
      <w:pPr>
        <w:pStyle w:val="ListBullet"/>
        <w:spacing w:after="40"/>
        <w:ind w:left="317"/>
      </w:pPr>
      <w:r>
        <w:t>I1–I9: Phase-4B.1 improvement as a pre-specified additional development stage; report fit-only and final protected-test estimates separately.</w:t>
      </w:r>
    </w:p>
    <w:p>
      <w:pPr>
        <w:pStyle w:val="Heading2"/>
      </w:pPr>
      <w:r>
        <w:t>4.3 Metrics and statistical protocol</w:t>
      </w:r>
    </w:p>
    <w:p>
      <w:r>
        <w:t>FinQA: written-answer accuracy; exact program match; executable-program rate; execution-based answer accuracy; selective risk = incorrect accepted / all accepted; coverage = accepted / total; AURC. Add ROC-AUC and Brier score for correctness prediction. FiQA: MAE, MSE, R²; selective MAE and interval coverage where applicable.</w:t>
      </w:r>
    </w:p>
    <w:p>
      <w:r>
        <w:t>Use matched-coverage comparisons, paired bootstrap confidence intervals and paired McNemar tests for binary correctness. Pre-specify how threshold interpolation/ties are handled. Track latency, VRAM and model size; avoid falsely labeling quantized parameter counts as the original model parameter count.</w:t>
      </w:r>
    </w:p>
    <w:p>
      <w:pPr>
        <w:pStyle w:val="Heading1"/>
      </w:pPr>
      <w:r>
        <w:t>7. Results and analysis: recommended order</w:t>
      </w:r>
    </w:p>
    <w:p>
      <w:pPr>
        <w:pStyle w:val="Heading2"/>
      </w:pPr>
      <w:r>
        <w:t>5.1 Phase-3 baseline table: multi-task adaptation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960"/>
            <w:shd w:fill="163A51"/>
            <w:vAlign w:val="center"/>
          </w:tcPr>
          <w:p>
            <w:pPr>
              <w:spacing w:after="20" w:before="40"/>
            </w:pPr>
            <w:r>
              <w:rPr>
                <w:b/>
                <w:color w:val="FFFFFF"/>
                <w:sz w:val="16"/>
              </w:rPr>
              <w:t>Setting</w:t>
            </w:r>
          </w:p>
        </w:tc>
        <w:tc>
          <w:tcPr>
            <w:tcW w:type="dxa" w:w="2880"/>
            <w:shd w:fill="163A51"/>
            <w:vAlign w:val="center"/>
          </w:tcPr>
          <w:p>
            <w:pPr>
              <w:spacing w:after="20" w:before="40"/>
            </w:pPr>
            <w:r>
              <w:rPr>
                <w:b/>
                <w:color w:val="FFFFFF"/>
                <w:sz w:val="16"/>
              </w:rPr>
              <w:t>FinQA execution (validation)</w:t>
            </w:r>
          </w:p>
        </w:tc>
        <w:tc>
          <w:tcPr>
            <w:tcW w:type="dxa" w:w="2880"/>
            <w:shd w:fill="163A51"/>
            <w:vAlign w:val="center"/>
          </w:tcPr>
          <w:p>
            <w:pPr>
              <w:spacing w:after="20" w:before="40"/>
            </w:pPr>
            <w:r>
              <w:rPr>
                <w:b/>
                <w:color w:val="FFFFFF"/>
                <w:sz w:val="16"/>
              </w:rPr>
              <w:t>FiQA MAE (validation)</w:t>
            </w:r>
          </w:p>
        </w:tc>
      </w:tr>
      <w:tr>
        <w:tc>
          <w:tcPr>
            <w:tcW w:type="dxa" w:w="3960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E3: Qwen, FinQA-only QLoRA</w:t>
            </w:r>
          </w:p>
        </w:tc>
        <w:tc>
          <w:tcPr>
            <w:tcW w:type="dxa" w:w="2880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68.1%</w:t>
            </w:r>
          </w:p>
        </w:tc>
        <w:tc>
          <w:tcPr>
            <w:tcW w:type="dxa" w:w="2880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0.505 (not FiQA-adapted)</w:t>
            </w:r>
          </w:p>
        </w:tc>
      </w:tr>
      <w:tr>
        <w:tc>
          <w:tcPr>
            <w:tcW w:type="dxa" w:w="3960"/>
            <w:vAlign w:val="center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E4: Qwen, FiQA-only QLoRA</w:t>
            </w:r>
          </w:p>
        </w:tc>
        <w:tc>
          <w:tcPr>
            <w:tcW w:type="dxa" w:w="2880"/>
            <w:vAlign w:val="center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0.0%</w:t>
            </w:r>
          </w:p>
        </w:tc>
        <w:tc>
          <w:tcPr>
            <w:tcW w:type="dxa" w:w="2880"/>
            <w:vAlign w:val="center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0.129</w:t>
            </w:r>
          </w:p>
        </w:tc>
      </w:tr>
      <w:tr>
        <w:tc>
          <w:tcPr>
            <w:tcW w:type="dxa" w:w="3960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E5: Qwen, balanced joint QLoRA</w:t>
            </w:r>
          </w:p>
        </w:tc>
        <w:tc>
          <w:tcPr>
            <w:tcW w:type="dxa" w:w="2880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67.5%</w:t>
            </w:r>
          </w:p>
        </w:tc>
        <w:tc>
          <w:tcPr>
            <w:tcW w:type="dxa" w:w="2880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0.130 (canonical prompt)</w:t>
            </w:r>
          </w:p>
        </w:tc>
      </w:tr>
      <w:tr>
        <w:tc>
          <w:tcPr>
            <w:tcW w:type="dxa" w:w="3960"/>
            <w:vAlign w:val="center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E8: Phi, balanced joint QLoRA</w:t>
            </w:r>
          </w:p>
        </w:tc>
        <w:tc>
          <w:tcPr>
            <w:tcW w:type="dxa" w:w="2880"/>
            <w:vAlign w:val="center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70.1%</w:t>
            </w:r>
          </w:p>
        </w:tc>
        <w:tc>
          <w:tcPr>
            <w:tcW w:type="dxa" w:w="2880"/>
            <w:vAlign w:val="center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0.130</w:t>
            </w:r>
          </w:p>
        </w:tc>
      </w:tr>
      <w:tr>
        <w:tc>
          <w:tcPr>
            <w:tcW w:type="dxa" w:w="3960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E11: Qwen, natural joint QLoRA</w:t>
            </w:r>
          </w:p>
        </w:tc>
        <w:tc>
          <w:tcPr>
            <w:tcW w:type="dxa" w:w="2880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61.5%</w:t>
            </w:r>
          </w:p>
        </w:tc>
        <w:tc>
          <w:tcPr>
            <w:tcW w:type="dxa" w:w="2880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0.128</w:t>
            </w:r>
          </w:p>
        </w:tc>
      </w:tr>
    </w:tbl>
    <w:p>
      <w:pPr>
        <w:spacing w:after="0"/>
      </w:pPr>
    </w:p>
    <w:p>
      <w:r>
        <w:t>Note: the frozen FiQA explicit-schema prompt gives approximately 0.1273 MAE; keep the prompt setting labeled in the final table. Do not compare mismatched generation formats as though they are identical conditions.</w:t>
      </w:r>
    </w:p>
    <w:p>
      <w:pPr>
        <w:pStyle w:val="Heading2"/>
      </w:pPr>
      <w:r>
        <w:t>5.2 Core verification result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5040"/>
            <w:shd w:fill="163A51"/>
            <w:vAlign w:val="center"/>
          </w:tcPr>
          <w:p>
            <w:pPr>
              <w:spacing w:after="20" w:before="40"/>
            </w:pPr>
            <w:r>
              <w:rPr>
                <w:b/>
                <w:color w:val="FFFFFF"/>
                <w:sz w:val="16"/>
              </w:rPr>
              <w:t>FinQA validation result</w:t>
            </w:r>
          </w:p>
        </w:tc>
        <w:tc>
          <w:tcPr>
            <w:tcW w:type="dxa" w:w="2160"/>
            <w:shd w:fill="163A51"/>
            <w:vAlign w:val="center"/>
          </w:tcPr>
          <w:p>
            <w:pPr>
              <w:spacing w:after="20" w:before="40"/>
            </w:pPr>
            <w:r>
              <w:rPr>
                <w:b/>
                <w:color w:val="FFFFFF"/>
                <w:sz w:val="16"/>
              </w:rPr>
              <w:t>Cases</w:t>
            </w:r>
          </w:p>
        </w:tc>
        <w:tc>
          <w:tcPr>
            <w:tcW w:type="dxa" w:w="2520"/>
            <w:shd w:fill="163A51"/>
            <w:vAlign w:val="center"/>
          </w:tcPr>
          <w:p>
            <w:pPr>
              <w:spacing w:after="20" w:before="40"/>
            </w:pPr>
            <w:r>
              <w:rPr>
                <w:b/>
                <w:color w:val="FFFFFF"/>
                <w:sz w:val="16"/>
              </w:rPr>
              <w:t>Accuracy</w:t>
            </w:r>
          </w:p>
        </w:tc>
      </w:tr>
      <w:tr>
        <w:tc>
          <w:tcPr>
            <w:tcW w:type="dxa" w:w="5040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Generated written answer correct</w:t>
            </w:r>
          </w:p>
        </w:tc>
        <w:tc>
          <w:tcPr>
            <w:tcW w:type="dxa" w:w="2160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332 / 883</w:t>
            </w:r>
          </w:p>
        </w:tc>
        <w:tc>
          <w:tcPr>
            <w:tcW w:type="dxa" w:w="2520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37.60%</w:t>
            </w:r>
          </w:p>
        </w:tc>
      </w:tr>
      <w:tr>
        <w:tc>
          <w:tcPr>
            <w:tcW w:type="dxa" w:w="5040"/>
            <w:vAlign w:val="center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Executed generated program correct</w:t>
            </w:r>
          </w:p>
        </w:tc>
        <w:tc>
          <w:tcPr>
            <w:tcW w:type="dxa" w:w="2160"/>
            <w:vAlign w:val="center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596 / 883</w:t>
            </w:r>
          </w:p>
        </w:tc>
        <w:tc>
          <w:tcPr>
            <w:tcW w:type="dxa" w:w="2520"/>
            <w:vAlign w:val="center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67.50%</w:t>
            </w:r>
          </w:p>
        </w:tc>
      </w:tr>
      <w:tr>
        <w:tc>
          <w:tcPr>
            <w:tcW w:type="dxa" w:w="5040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Correct execution, wrong written answer</w:t>
            </w:r>
          </w:p>
        </w:tc>
        <w:tc>
          <w:tcPr>
            <w:tcW w:type="dxa" w:w="2160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265 / 883</w:t>
            </w:r>
          </w:p>
        </w:tc>
        <w:tc>
          <w:tcPr>
            <w:tcW w:type="dxa" w:w="2520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30.01% of all cases</w:t>
            </w:r>
          </w:p>
        </w:tc>
      </w:tr>
      <w:tr>
        <w:tc>
          <w:tcPr>
            <w:tcW w:type="dxa" w:w="5040"/>
            <w:vAlign w:val="center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Executable but incorrect program</w:t>
            </w:r>
          </w:p>
        </w:tc>
        <w:tc>
          <w:tcPr>
            <w:tcW w:type="dxa" w:w="2160"/>
            <w:vAlign w:val="center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284 / 883</w:t>
            </w:r>
          </w:p>
        </w:tc>
        <w:tc>
          <w:tcPr>
            <w:tcW w:type="dxa" w:w="2520"/>
            <w:vAlign w:val="center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32.16% of all cases</w:t>
            </w:r>
          </w:p>
        </w:tc>
      </w:tr>
    </w:tbl>
    <w:p>
      <w:pPr>
        <w:spacing w:after="0"/>
      </w:pPr>
    </w:p>
    <w:p>
      <w:r>
        <w:t>Interpretation: executing the generated program improves final numerical answers by 29.90 percentage points on validation. This does not show that the program’s financial reasoning became more accurate.</w:t>
      </w:r>
    </w:p>
    <w:p>
      <w:pPr>
        <w:pStyle w:val="Heading2"/>
      </w:pPr>
      <w:r>
        <w:t>5.3 Grounding and failure modes</w:t>
      </w:r>
    </w:p>
    <w:p>
      <w:r>
        <w:t>Phase-4A identified 21/883 programs with at least one unmatched numerical literal; 3/21 executions were correct. Illustrate one representative supported/unmatched case, with input evidence and predicted program. Make clear that literal matching is a narrow heuristic rather than semantic provenance proof.</w:t>
      </w:r>
    </w:p>
    <w:p>
      <w:pPr>
        <w:pStyle w:val="Heading2"/>
      </w:pPr>
      <w:r>
        <w:t>5.4 Confidence and selective prediction</w:t>
      </w:r>
    </w:p>
    <w:p>
      <w:r>
        <w:t>Phase-4B froze B1 raw likelihood under its fit-only selection rule. On the already examined FinQA holdout, B1 error at ~80% coverage was 35.10%, while B4 was 32.65% at 79.46% coverage; B4 was not the frozen winner and the observed improvement is inconclusive. Phase-4B.1 fit-only exploratory result: ROC-AUC approximately 0.652 vs 0.585 for raw likelihood. Verify these findings on protected test before claiming method superiority.</w:t>
      </w:r>
    </w:p>
    <w:p>
      <w:pPr>
        <w:pStyle w:val="Heading2"/>
      </w:pPr>
      <w:r>
        <w:t>5.5 Ablations, efficiency and statistics</w:t>
      </w:r>
    </w:p>
    <w:p>
      <w:r>
        <w:t>Show component-wise effect of executor, numeric provenance, semantic-operation checks, truncation signals and calibration. Include confidence intervals and analysis of the 284 executable-but-incorrect examples, not only headline accuracy. Clearly separate calibration-fit, previously examined holdout and protected-test results.</w:t>
      </w:r>
    </w:p>
    <w:p>
      <w:pPr>
        <w:pStyle w:val="Heading1"/>
      </w:pPr>
      <w:r>
        <w:t>8. Suggested figures and tables for final submission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528"/>
            <w:shd w:fill="163A51"/>
            <w:vAlign w:val="center"/>
          </w:tcPr>
          <w:p>
            <w:pPr>
              <w:spacing w:after="20" w:before="40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3672"/>
            <w:shd w:fill="163A51"/>
            <w:vAlign w:val="center"/>
          </w:tcPr>
          <w:p>
            <w:pPr>
              <w:spacing w:after="20" w:before="40"/>
            </w:pPr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2520"/>
            <w:shd w:fill="163A51"/>
            <w:vAlign w:val="center"/>
          </w:tcPr>
          <w:p>
            <w:pPr>
              <w:spacing w:after="20" w:before="40"/>
            </w:pPr>
            <w:r>
              <w:rPr>
                <w:b/>
                <w:color w:val="FFFFFF"/>
                <w:sz w:val="16"/>
              </w:rPr>
              <w:t>Data availability</w:t>
            </w:r>
          </w:p>
        </w:tc>
      </w:tr>
      <w:tr>
        <w:tc>
          <w:tcPr>
            <w:tcW w:type="dxa" w:w="3528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Figure 1: System architecture</w:t>
            </w:r>
          </w:p>
        </w:tc>
        <w:tc>
          <w:tcPr>
            <w:tcW w:type="dxa" w:w="3672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Task input → E5 → execution/grounding → risk → answer/abstain</w:t>
            </w:r>
          </w:p>
        </w:tc>
        <w:tc>
          <w:tcPr>
            <w:tcW w:type="dxa" w:w="2520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Draft now; risk block provisional</w:t>
            </w:r>
          </w:p>
        </w:tc>
      </w:tr>
      <w:tr>
        <w:tc>
          <w:tcPr>
            <w:tcW w:type="dxa" w:w="3528"/>
            <w:vAlign w:val="center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Figure 2: Answer–execution gap</w:t>
            </w:r>
          </w:p>
        </w:tc>
        <w:tc>
          <w:tcPr>
            <w:tcW w:type="dxa" w:w="3672"/>
            <w:vAlign w:val="center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37.60% vs 67.50% FinQA validation</w:t>
            </w:r>
          </w:p>
        </w:tc>
        <w:tc>
          <w:tcPr>
            <w:tcW w:type="dxa" w:w="2520"/>
            <w:vAlign w:val="center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Ready</w:t>
            </w:r>
          </w:p>
        </w:tc>
      </w:tr>
      <w:tr>
        <w:tc>
          <w:tcPr>
            <w:tcW w:type="dxa" w:w="3528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Figure 3: Risk–coverage curves</w:t>
            </w:r>
          </w:p>
        </w:tc>
        <w:tc>
          <w:tcPr>
            <w:tcW w:type="dxa" w:w="3672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B1 vs B4 vs frozen 4B.1 (matched coverage)</w:t>
            </w:r>
          </w:p>
        </w:tc>
        <w:tc>
          <w:tcPr>
            <w:tcW w:type="dxa" w:w="2520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Needs final protected-test results</w:t>
            </w:r>
          </w:p>
        </w:tc>
      </w:tr>
      <w:tr>
        <w:tc>
          <w:tcPr>
            <w:tcW w:type="dxa" w:w="3528"/>
            <w:vAlign w:val="center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Figure 4: Reliability/calibration</w:t>
            </w:r>
          </w:p>
        </w:tc>
        <w:tc>
          <w:tcPr>
            <w:tcW w:type="dxa" w:w="3672"/>
            <w:vAlign w:val="center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Calibrated risk diagnostics; fit vs test separated</w:t>
            </w:r>
          </w:p>
        </w:tc>
        <w:tc>
          <w:tcPr>
            <w:tcW w:type="dxa" w:w="2520"/>
            <w:vAlign w:val="center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Pending test</w:t>
            </w:r>
          </w:p>
        </w:tc>
      </w:tr>
      <w:tr>
        <w:tc>
          <w:tcPr>
            <w:tcW w:type="dxa" w:w="3528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Table 1: Dataset summary</w:t>
            </w:r>
          </w:p>
        </w:tc>
        <w:tc>
          <w:tcPr>
            <w:tcW w:type="dxa" w:w="3672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Splits, tasks, no-leakage protocol</w:t>
            </w:r>
          </w:p>
        </w:tc>
        <w:tc>
          <w:tcPr>
            <w:tcW w:type="dxa" w:w="2520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Ready</w:t>
            </w:r>
          </w:p>
        </w:tc>
      </w:tr>
      <w:tr>
        <w:tc>
          <w:tcPr>
            <w:tcW w:type="dxa" w:w="3528"/>
            <w:vAlign w:val="center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Table 2: Base and adapted SLMs</w:t>
            </w:r>
          </w:p>
        </w:tc>
        <w:tc>
          <w:tcPr>
            <w:tcW w:type="dxa" w:w="3672"/>
            <w:vAlign w:val="center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E1–E16 main metrics and efficiency</w:t>
            </w:r>
          </w:p>
        </w:tc>
        <w:tc>
          <w:tcPr>
            <w:tcW w:type="dxa" w:w="2520"/>
            <w:vAlign w:val="center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Ready, check formatting</w:t>
            </w:r>
          </w:p>
        </w:tc>
      </w:tr>
      <w:tr>
        <w:tc>
          <w:tcPr>
            <w:tcW w:type="dxa" w:w="3528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Table 3: Verification ablation</w:t>
            </w:r>
          </w:p>
        </w:tc>
        <w:tc>
          <w:tcPr>
            <w:tcW w:type="dxa" w:w="3672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A1/A2, grounding and reasoning checks</w:t>
            </w:r>
          </w:p>
        </w:tc>
        <w:tc>
          <w:tcPr>
            <w:tcW w:type="dxa" w:w="2520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Partial</w:t>
            </w:r>
          </w:p>
        </w:tc>
      </w:tr>
      <w:tr>
        <w:tc>
          <w:tcPr>
            <w:tcW w:type="dxa" w:w="3528"/>
            <w:vAlign w:val="center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Table 4: Selective prediction</w:t>
            </w:r>
          </w:p>
        </w:tc>
        <w:tc>
          <w:tcPr>
            <w:tcW w:type="dxa" w:w="3672"/>
            <w:vAlign w:val="center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Risk, coverage, AURC, ROC-AUC, Brier, confidence intervals</w:t>
            </w:r>
          </w:p>
        </w:tc>
        <w:tc>
          <w:tcPr>
            <w:tcW w:type="dxa" w:w="2520"/>
            <w:vAlign w:val="center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Await protected test</w:t>
            </w:r>
          </w:p>
        </w:tc>
      </w:tr>
      <w:tr>
        <w:tc>
          <w:tcPr>
            <w:tcW w:type="dxa" w:w="3528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Table 5: Error taxonomy</w:t>
            </w:r>
          </w:p>
        </w:tc>
        <w:tc>
          <w:tcPr>
            <w:tcW w:type="dxa" w:w="3672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Valid-but-wrong, unsupported numbers, truncation</w:t>
            </w:r>
          </w:p>
        </w:tc>
        <w:tc>
          <w:tcPr>
            <w:tcW w:type="dxa" w:w="2520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Partial</w:t>
            </w:r>
          </w:p>
        </w:tc>
      </w:tr>
    </w:tbl>
    <w:p>
      <w:pPr>
        <w:spacing w:after="0"/>
      </w:pPr>
    </w:p>
    <w:p>
      <w:pPr>
        <w:pStyle w:val="Heading1"/>
      </w:pPr>
      <w:r>
        <w:t>9. Discussion, limitations and responsible reporting</w:t>
      </w:r>
    </w:p>
    <w:p>
      <w:pPr>
        <w:pStyle w:val="Heading2"/>
      </w:pPr>
      <w:r>
        <w:t>6.1 What the existing experiments support</w:t>
      </w:r>
    </w:p>
    <w:p>
      <w:pPr>
        <w:pStyle w:val="ListBullet"/>
        <w:spacing w:after="40"/>
        <w:ind w:left="317"/>
      </w:pPr>
      <w:r>
        <w:t>Efficient balanced multi-task adaptation can maintain useful performance on both FinQA and FiQA validation tasks.</w:t>
      </w:r>
    </w:p>
    <w:p>
      <w:pPr>
        <w:pStyle w:val="ListBullet"/>
        <w:spacing w:after="40"/>
        <w:ind w:left="317"/>
      </w:pPr>
      <w:r>
        <w:t>Execution-based answer reconciliation substantially improves numeric final-answer accuracy over copying a generated answer.</w:t>
      </w:r>
    </w:p>
    <w:p>
      <w:pPr>
        <w:pStyle w:val="ListBullet"/>
        <w:spacing w:after="40"/>
        <w:ind w:left="317"/>
      </w:pPr>
      <w:r>
        <w:t>Token-level likelihood is weak at distinguishing correct from incorrect FinQA programs; verifier signals merit investigation.</w:t>
      </w:r>
    </w:p>
    <w:p>
      <w:pPr>
        <w:pStyle w:val="Heading2"/>
      </w:pPr>
      <w:r>
        <w:t>6.2 What remains unproven</w:t>
      </w:r>
    </w:p>
    <w:p>
      <w:pPr>
        <w:pStyle w:val="ListBullet"/>
        <w:spacing w:after="40"/>
        <w:ind w:left="317"/>
      </w:pPr>
      <w:r>
        <w:t>That the frozen complete method consistently outperforms raw likelihood at matched coverage on unseen financial data.</w:t>
      </w:r>
    </w:p>
    <w:p>
      <w:pPr>
        <w:pStyle w:val="ListBullet"/>
        <w:spacing w:after="40"/>
        <w:ind w:left="317"/>
      </w:pPr>
      <w:r>
        <w:t>That literal grounding detects semantically wrong but executable reasoning beyond trivial evidence mismatches.</w:t>
      </w:r>
    </w:p>
    <w:p>
      <w:pPr>
        <w:pStyle w:val="ListBullet"/>
        <w:spacing w:after="40"/>
        <w:ind w:left="317"/>
      </w:pPr>
      <w:r>
        <w:t>That the framework is trustworthy across all seven FinTrust dimensions without verified scoring protocols.</w:t>
      </w:r>
    </w:p>
    <w:p>
      <w:pPr>
        <w:pStyle w:val="Heading2"/>
      </w:pPr>
      <w:r>
        <w:t>6.3 Limitations to discuss transparently</w:t>
      </w:r>
    </w:p>
    <w:p>
      <w:r>
        <w:t>Single main training seed; small FiQA holdout; exposure to the Phase-4B holdout during subsequent improvements; more than half of FinQA validation prompts truncated at the earlier fixed length; non-identical sequence-length settings between E5 and E8; no new training-scale trust supervision; domain and task-specific evaluation scope.</w:t>
      </w:r>
    </w:p>
    <w:p>
      <w:pPr>
        <w:pStyle w:val="Heading2"/>
      </w:pPr>
      <w:r>
        <w:t>6.4 What changes after protected testing</w:t>
      </w:r>
    </w:p>
    <w:p>
      <w:r>
        <w:t>If Phase-4B.1 wins, present it as the evaluated proposed risk model and quantify both improvement and uncertainty. If it does not, report the negative result, keep the execution-only contribution, and consider a narrower title that does not overstate confidence-aware superiority.</w:t>
      </w:r>
    </w:p>
    <w:p>
      <w:pPr>
        <w:pStyle w:val="Heading1"/>
      </w:pPr>
      <w:r>
        <w:t>10. Submission-readiness checklist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944"/>
            <w:shd w:fill="163A51"/>
            <w:vAlign w:val="center"/>
          </w:tcPr>
          <w:p>
            <w:pPr>
              <w:spacing w:after="20" w:before="40"/>
            </w:pPr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type="dxa" w:w="7776"/>
            <w:shd w:fill="163A51"/>
            <w:vAlign w:val="center"/>
          </w:tcPr>
          <w:p>
            <w:pPr>
              <w:spacing w:after="20" w:before="40"/>
            </w:pPr>
            <w:r>
              <w:rPr>
                <w:b/>
                <w:color w:val="FFFFFF"/>
                <w:sz w:val="16"/>
              </w:rPr>
              <w:t>Condition for the final manuscript</w:t>
            </w:r>
          </w:p>
        </w:tc>
      </w:tr>
      <w:tr>
        <w:tc>
          <w:tcPr>
            <w:tcW w:type="dxa" w:w="1944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Data integrity</w:t>
            </w:r>
          </w:p>
        </w:tc>
        <w:tc>
          <w:tcPr>
            <w:tcW w:type="dxa" w:w="7776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Frozen Phase-2.1 manifests, hashes and splits documented</w:t>
            </w:r>
          </w:p>
        </w:tc>
      </w:tr>
      <w:tr>
        <w:tc>
          <w:tcPr>
            <w:tcW w:type="dxa" w:w="1944"/>
            <w:vAlign w:val="center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Backbone freeze</w:t>
            </w:r>
          </w:p>
        </w:tc>
        <w:tc>
          <w:tcPr>
            <w:tcW w:type="dxa" w:w="7776"/>
            <w:vAlign w:val="center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E5 adapter/model revision, tokenizer and prompt policy archived</w:t>
            </w:r>
          </w:p>
        </w:tc>
      </w:tr>
      <w:tr>
        <w:tc>
          <w:tcPr>
            <w:tcW w:type="dxa" w:w="1944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Methodology freeze</w:t>
            </w:r>
          </w:p>
        </w:tc>
        <w:tc>
          <w:tcPr>
            <w:tcW w:type="dxa" w:w="7776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4B.1 features, tuning and threshold defined before protected-test access</w:t>
            </w:r>
          </w:p>
        </w:tc>
      </w:tr>
      <w:tr>
        <w:tc>
          <w:tcPr>
            <w:tcW w:type="dxa" w:w="1944"/>
            <w:vAlign w:val="center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Protected evaluation</w:t>
            </w:r>
          </w:p>
        </w:tc>
        <w:tc>
          <w:tcPr>
            <w:tcW w:type="dxa" w:w="7776"/>
            <w:vAlign w:val="center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FinQA/FiQA test results logged once, not iteratively tuned</w:t>
            </w:r>
          </w:p>
        </w:tc>
      </w:tr>
      <w:tr>
        <w:tc>
          <w:tcPr>
            <w:tcW w:type="dxa" w:w="1944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Matched comparison</w:t>
            </w:r>
          </w:p>
        </w:tc>
        <w:tc>
          <w:tcPr>
            <w:tcW w:type="dxa" w:w="7776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B1/B4/proposed method tested at the same answer coverage</w:t>
            </w:r>
          </w:p>
        </w:tc>
      </w:tr>
      <w:tr>
        <w:tc>
          <w:tcPr>
            <w:tcW w:type="dxa" w:w="1944"/>
            <w:vAlign w:val="center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Statistics</w:t>
            </w:r>
          </w:p>
        </w:tc>
        <w:tc>
          <w:tcPr>
            <w:tcW w:type="dxa" w:w="7776"/>
            <w:vAlign w:val="center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Confidence intervals, paired comparisons, failure cases and negative findings</w:t>
            </w:r>
          </w:p>
        </w:tc>
      </w:tr>
      <w:tr>
        <w:tc>
          <w:tcPr>
            <w:tcW w:type="dxa" w:w="1944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FinTrust claims</w:t>
            </w:r>
          </w:p>
        </w:tc>
        <w:tc>
          <w:tcPr>
            <w:tcW w:type="dxa" w:w="7776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Only claim dimensions with verified metrics and evaluators</w:t>
            </w:r>
          </w:p>
        </w:tc>
      </w:tr>
      <w:tr>
        <w:tc>
          <w:tcPr>
            <w:tcW w:type="dxa" w:w="1944"/>
            <w:vAlign w:val="center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References</w:t>
            </w:r>
          </w:p>
        </w:tc>
        <w:tc>
          <w:tcPr>
            <w:tcW w:type="dxa" w:w="7776"/>
            <w:vAlign w:val="center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All sources verified, non-retracted where appropriate, citation style correct</w:t>
            </w:r>
          </w:p>
        </w:tc>
      </w:tr>
      <w:tr>
        <w:tc>
          <w:tcPr>
            <w:tcW w:type="dxa" w:w="1944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Venue fit</w:t>
            </w:r>
          </w:p>
        </w:tc>
        <w:tc>
          <w:tcPr>
            <w:tcW w:type="dxa" w:w="7776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Check current call for papers, formatting/page limits, plagiarism and reproducibility policy</w:t>
            </w:r>
          </w:p>
        </w:tc>
      </w:tr>
      <w:tr>
        <w:tc>
          <w:tcPr>
            <w:tcW w:type="dxa" w:w="1944"/>
            <w:vAlign w:val="center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Artifact consistency</w:t>
            </w:r>
          </w:p>
        </w:tc>
        <w:tc>
          <w:tcPr>
            <w:tcW w:type="dxa" w:w="7776"/>
            <w:vAlign w:val="center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Figures, tables and abstract match immutable result exports</w:t>
            </w:r>
          </w:p>
        </w:tc>
      </w:tr>
    </w:tbl>
    <w:p>
      <w:pPr>
        <w:spacing w:after="0"/>
      </w:pPr>
    </w:p>
    <w:p>
      <w:pPr>
        <w:pStyle w:val="Heading1"/>
      </w:pPr>
      <w:r>
        <w:t>11. Student writing assignments and timeline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088"/>
            <w:shd w:fill="163A51"/>
            <w:vAlign w:val="center"/>
          </w:tcPr>
          <w:p>
            <w:pPr>
              <w:spacing w:after="20" w:before="40"/>
            </w:pPr>
            <w:r>
              <w:rPr>
                <w:b/>
                <w:color w:val="FFFFFF"/>
                <w:sz w:val="16"/>
              </w:rPr>
              <w:t>Workstream</w:t>
            </w:r>
          </w:p>
        </w:tc>
        <w:tc>
          <w:tcPr>
            <w:tcW w:type="dxa" w:w="3744"/>
            <w:shd w:fill="163A51"/>
            <w:vAlign w:val="center"/>
          </w:tcPr>
          <w:p>
            <w:pPr>
              <w:spacing w:after="20" w:before="40"/>
            </w:pPr>
            <w:r>
              <w:rPr>
                <w:b/>
                <w:color w:val="FFFFFF"/>
                <w:sz w:val="16"/>
              </w:rPr>
              <w:t>Responsibility</w:t>
            </w:r>
          </w:p>
        </w:tc>
        <w:tc>
          <w:tcPr>
            <w:tcW w:type="dxa" w:w="3888"/>
            <w:shd w:fill="163A51"/>
            <w:vAlign w:val="center"/>
          </w:tcPr>
          <w:p>
            <w:pPr>
              <w:spacing w:after="20" w:before="40"/>
            </w:pPr>
            <w:r>
              <w:rPr>
                <w:b/>
                <w:color w:val="FFFFFF"/>
                <w:sz w:val="16"/>
              </w:rPr>
              <w:t>Expected deliverable</w:t>
            </w:r>
          </w:p>
        </w:tc>
      </w:tr>
      <w:tr>
        <w:tc>
          <w:tcPr>
            <w:tcW w:type="dxa" w:w="2088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Student A — Background</w:t>
            </w:r>
          </w:p>
        </w:tc>
        <w:tc>
          <w:tcPr>
            <w:tcW w:type="dxa" w:w="3744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Introduction, motivation, RQs, scope</w:t>
            </w:r>
          </w:p>
        </w:tc>
        <w:tc>
          <w:tcPr>
            <w:tcW w:type="dxa" w:w="3888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1-page draft + evidence-based contributions</w:t>
            </w:r>
          </w:p>
        </w:tc>
      </w:tr>
      <w:tr>
        <w:tc>
          <w:tcPr>
            <w:tcW w:type="dxa" w:w="2088"/>
            <w:vAlign w:val="center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Student B — Literature</w:t>
            </w:r>
          </w:p>
        </w:tc>
        <w:tc>
          <w:tcPr>
            <w:tcW w:type="dxa" w:w="3744"/>
            <w:vAlign w:val="center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Survey and comparison matrix</w:t>
            </w:r>
          </w:p>
        </w:tc>
        <w:tc>
          <w:tcPr>
            <w:tcW w:type="dxa" w:w="3888"/>
            <w:vAlign w:val="center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15–25 relevant verified papers; no fabricated citations</w:t>
            </w:r>
          </w:p>
        </w:tc>
      </w:tr>
      <w:tr>
        <w:tc>
          <w:tcPr>
            <w:tcW w:type="dxa" w:w="2088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Student C — Method</w:t>
            </w:r>
          </w:p>
        </w:tc>
        <w:tc>
          <w:tcPr>
            <w:tcW w:type="dxa" w:w="3744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Architecture, task formats, executor, grounding, calibration</w:t>
            </w:r>
          </w:p>
        </w:tc>
        <w:tc>
          <w:tcPr>
            <w:tcW w:type="dxa" w:w="3888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Algorithm, architecture figure, reproducibility methods</w:t>
            </w:r>
          </w:p>
        </w:tc>
      </w:tr>
      <w:tr>
        <w:tc>
          <w:tcPr>
            <w:tcW w:type="dxa" w:w="2088"/>
            <w:vAlign w:val="center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Student D — Experiments</w:t>
            </w:r>
          </w:p>
        </w:tc>
        <w:tc>
          <w:tcPr>
            <w:tcW w:type="dxa" w:w="3744"/>
            <w:vAlign w:val="center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Data splits, baselines, metrics, results tables</w:t>
            </w:r>
          </w:p>
        </w:tc>
        <w:tc>
          <w:tcPr>
            <w:tcW w:type="dxa" w:w="3888"/>
            <w:vAlign w:val="center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Verified CSV-to-table mapping + exact captions</w:t>
            </w:r>
          </w:p>
        </w:tc>
      </w:tr>
      <w:tr>
        <w:tc>
          <w:tcPr>
            <w:tcW w:type="dxa" w:w="2088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Student E — Validation</w:t>
            </w:r>
          </w:p>
        </w:tc>
        <w:tc>
          <w:tcPr>
            <w:tcW w:type="dxa" w:w="3744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Ablations, error cases, risk–coverage and stats</w:t>
            </w:r>
          </w:p>
        </w:tc>
        <w:tc>
          <w:tcPr>
            <w:tcW w:type="dxa" w:w="3888"/>
            <w:vAlign w:val="center"/>
            <w:shd w:fill="F3F7F8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Paired CI/tests, limitations, leakage audit</w:t>
            </w:r>
          </w:p>
        </w:tc>
      </w:tr>
      <w:tr>
        <w:tc>
          <w:tcPr>
            <w:tcW w:type="dxa" w:w="2088"/>
            <w:vAlign w:val="center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Lead editor / supervisor</w:t>
            </w:r>
          </w:p>
        </w:tc>
        <w:tc>
          <w:tcPr>
            <w:tcW w:type="dxa" w:w="3744"/>
            <w:vAlign w:val="center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Harmonize claims, check novelty, venue compliance</w:t>
            </w:r>
          </w:p>
        </w:tc>
        <w:tc>
          <w:tcPr>
            <w:tcW w:type="dxa" w:w="3888"/>
            <w:vAlign w:val="center"/>
            <w:tcBorders>
              <w:bottom w:val="single" w:sz="4" w:color="DAE5E9"/>
            </w:tcBorders>
          </w:tcPr>
          <w:p>
            <w:pPr>
              <w:spacing w:after="40" w:before="40"/>
            </w:pPr>
            <w:r>
              <w:rPr>
                <w:sz w:val="15"/>
              </w:rPr>
              <w:t>Single coherent manuscript and approval checklist</w:t>
            </w:r>
          </w:p>
        </w:tc>
      </w:tr>
    </w:tbl>
    <w:p>
      <w:pPr>
        <w:spacing w:after="0"/>
      </w:pPr>
    </w:p>
    <w:p>
      <w:pPr>
        <w:pStyle w:val="Heading2"/>
      </w:pPr>
      <w:r>
        <w:t>Recommended writing order</w:t>
      </w:r>
    </w:p>
    <w:p>
      <w:pPr>
        <w:pStyle w:val="ListNumber"/>
        <w:spacing w:after="40"/>
      </w:pPr>
      <w:r>
        <w:t>Draft Experimental Setup and Phase-3/Phase-4A verified sections first (easiest to substantiate).</w:t>
      </w:r>
    </w:p>
    <w:p>
      <w:pPr>
        <w:pStyle w:val="ListNumber"/>
        <w:spacing w:after="40"/>
      </w:pPr>
      <w:r>
        <w:t>Draft Introduction and Related Work with an evidence matrix; do not settle the final title yet.</w:t>
      </w:r>
    </w:p>
    <w:p>
      <w:pPr>
        <w:pStyle w:val="ListNumber"/>
        <w:spacing w:after="40"/>
      </w:pPr>
      <w:r>
        <w:t>Complete protected-test analysis, then write Phase-4B.1 performance and statistical claims.</w:t>
      </w:r>
    </w:p>
    <w:p>
      <w:pPr>
        <w:pStyle w:val="ListNumber"/>
        <w:spacing w:after="40"/>
      </w:pPr>
      <w:r>
        <w:t>Finalize Methods to match the code actually evaluated; redraw the architecture if features are removed.</w:t>
      </w:r>
    </w:p>
    <w:p>
      <w:pPr>
        <w:pStyle w:val="ListNumber"/>
        <w:spacing w:after="40"/>
      </w:pPr>
      <w:r>
        <w:t>Write Abstract and Conclusion last; audit every quantitative statement against one immutable results table.</w:t>
      </w:r>
    </w:p>
    <w:p>
      <w:pPr>
        <w:pStyle w:val="Heading1"/>
      </w:pPr>
      <w:r>
        <w:t>12. Master manuscript skeleton (copy into conference template)</w:t>
      </w:r>
    </w:p>
    <w:p>
      <w:pPr>
        <w:pStyle w:val="ListBullet"/>
      </w:pPr>
      <w:r>
        <w:t>Title: TrustFin-SLM: [Retain “Confidence-Aware” only if validated]</w:t>
      </w:r>
    </w:p>
    <w:p>
      <w:pPr>
        <w:pStyle w:val="ListBullet"/>
      </w:pPr>
      <w:r>
        <w:t>Abstract — Problem; methodological distinction; frozen backbone; test metrics; contribution and limits</w:t>
      </w:r>
    </w:p>
    <w:p>
      <w:pPr>
        <w:pStyle w:val="ListBullet"/>
      </w:pPr>
      <w:r>
        <w:t>Index Terms — Financial QA, SLM, QLoRA, Execution Verification, Selective Prediction</w:t>
      </w:r>
    </w:p>
    <w:p>
      <w:pPr>
        <w:pStyle w:val="ListBullet"/>
      </w:pPr>
      <w:r>
        <w:t>1. Introduction — Motivation; failure examples; gap; RQs; supported contributions</w:t>
      </w:r>
    </w:p>
    <w:p>
      <w:pPr>
        <w:pStyle w:val="ListBullet"/>
      </w:pPr>
      <w:r>
        <w:t>2. Related Work — SLM finance; executable QA; sentiment; confidence; trust benchmarks</w:t>
      </w:r>
    </w:p>
    <w:p>
      <w:pPr>
        <w:pStyle w:val="ListBullet"/>
      </w:pPr>
      <w:r>
        <w:t>3. Proposed TrustFin-SLM — System overview; multi-task adaptation; execution; grounding; risk policy</w:t>
      </w:r>
    </w:p>
    <w:p>
      <w:pPr>
        <w:pStyle w:val="ListBullet"/>
      </w:pPr>
      <w:r>
        <w:t>4. Experimental Setup — Data; splits; leakage; models; baselines; metrics; implementation</w:t>
      </w:r>
    </w:p>
    <w:p>
      <w:pPr>
        <w:pStyle w:val="ListBullet"/>
      </w:pPr>
      <w:r>
        <w:t>5. Results — Baselines; execution-only improvement; risk ablations; test results; efficiency</w:t>
      </w:r>
    </w:p>
    <w:p>
      <w:pPr>
        <w:pStyle w:val="ListBullet"/>
      </w:pPr>
      <w:r>
        <w:t>6. Discussion and Limitations — Semantics, calibration, truncation, generalization, threats to validity</w:t>
      </w:r>
    </w:p>
    <w:p>
      <w:pPr>
        <w:pStyle w:val="ListBullet"/>
      </w:pPr>
      <w:r>
        <w:t>7. Conclusion — Supported findings; clear limitation; realistic next research step</w:t>
      </w:r>
    </w:p>
    <w:p>
      <w:pPr>
        <w:pStyle w:val="ListBullet"/>
      </w:pPr>
      <w:r>
        <w:t>References — Verified venue-formatted citations</w:t>
      </w:r>
    </w:p>
    <w:p>
      <w:pPr>
        <w:pStyle w:val="ListBullet"/>
      </w:pPr>
      <w:r>
        <w:t>Appendix / Supplementary — Extra failure cases, pseudocode, hashes, protocol mapping, prompts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fill="FFF2EB"/>
          </w:tcPr>
          <w:p>
            <w:pPr>
              <w:spacing w:after="80"/>
            </w:pPr>
            <w:r>
              <w:rPr>
                <w:b/>
                <w:color w:val="A04131"/>
                <w:sz w:val="18"/>
              </w:rPr>
              <w:t xml:space="preserve">Final editorial rule  </w:t>
            </w:r>
            <w:r>
              <w:rPr>
                <w:sz w:val="18"/>
              </w:rPr>
              <w:t>Draft the paper now, but freeze definitive claims only after Phase-4B.1 and protected-test review. Treat FinTrust evaluation as a separate unresolved protocol, not a result already achieved.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08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66570"/>
        <w:sz w:val="16"/>
      </w:rPr>
      <w:t xml:space="preserve">Tier-3 conference student writing guide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66570"/>
        <w:sz w:val="15"/>
      </w:rPr>
      <w:t>TRUSTFIN-SLM  /  MANUSCRIPT BLUEPRINT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9" w:lineRule="auto"/>
    </w:pPr>
    <w:rPr>
      <w:rFonts w:ascii="Aptos" w:hAnsi="Aptos"/>
      <w:color w:val="232C3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2C44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0D6972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122C44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2C44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Caption">
    <w:name w:val="Small Caption"/>
    <w:basedOn w:val="Normal"/>
    <w:rPr>
      <w:color w:val="566570"/>
      <w:sz w:val="16"/>
    </w:rPr>
  </w:style>
  <w:style w:type="paragraph" w:customStyle="1" w:styleId="Tiny">
    <w:name w:val="Tiny"/>
    <w:basedOn w:val="Normal"/>
    <w:rPr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32B642A15C5147A8D960A3C98CC766" ma:contentTypeVersion="3" ma:contentTypeDescription="Create a new document." ma:contentTypeScope="" ma:versionID="6185dd70ca67868e727aa1b7496cbd76">
  <xsd:schema xmlns:xsd="http://www.w3.org/2001/XMLSchema" xmlns:xs="http://www.w3.org/2001/XMLSchema" xmlns:p="http://schemas.microsoft.com/office/2006/metadata/properties" xmlns:ns2="a13384d9-4385-48a3-839e-dc54e7818cfe" targetNamespace="http://schemas.microsoft.com/office/2006/metadata/properties" ma:root="true" ma:fieldsID="4ce3728e6574215cbab496bfd457a8cb" ns2:_="">
    <xsd:import namespace="a13384d9-4385-48a3-839e-dc54e7818c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3384d9-4385-48a3-839e-dc54e7818c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AC4653D-C37B-4156-8058-7E5F9D8CA37C}"/>
</file>

<file path=customXml/itemProps3.xml><?xml version="1.0" encoding="utf-8"?>
<ds:datastoreItem xmlns:ds="http://schemas.openxmlformats.org/officeDocument/2006/customXml" ds:itemID="{C5A4127B-ABB8-4469-B093-5047E88864FB}"/>
</file>

<file path=customXml/itemProps4.xml><?xml version="1.0" encoding="utf-8"?>
<ds:datastoreItem xmlns:ds="http://schemas.openxmlformats.org/officeDocument/2006/customXml" ds:itemID="{1EEA7E05-DB02-4301-876E-17C8B311B95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TrustFin-SLM Tier-3 Conference Paper Structure and Student Writing Guide</dc:title>
  <dc:subject>Research manuscript section plan and evidence-readiness guide</dc:subject>
  <dc:creator>Research Team</dc:creator>
  <cp:keywords>TrustFin-SLM, FinQA, FiQA, SLM, execution verification, research writing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0x010100A332B642A15C5147A8D960A3C98CC766</vt:lpwstr>
  </property>
</Properties>
</file>