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73"/>
        <w:gridCol w:w="1860"/>
        <w:gridCol w:w="2092"/>
        <w:gridCol w:w="2557"/>
        <w:gridCol w:w="1994"/>
        <w:gridCol w:w="1578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Multiple hypotheses were tested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(15.2%)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(22.6%)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(25.1%)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(19.4%)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(11.0%)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Quantitative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(45.1%)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(41.0%)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 (39.6%)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Qualitative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(7.8%)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(19.4%)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(31.1%)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Mixed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(33.6%)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(24.4%)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Poor documentation of study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(7.1%)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(63.2%)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(62.8%)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(64.3%)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(53.1%)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 (61.8%)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Restricted access data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(5.3%)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(10.2%)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(12.7%)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(23.7%)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(45.1%)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(42.4%)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Data were gathered from multiple sites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 (34.6%)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 large research team conducted the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(9.9%)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(50.4%)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(53.1%)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 (51.2%)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Relied on expertise unique to the researcher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(14.8%)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(24.0%)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(32.2%)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(16.6%)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Relied on the unique position of the researcher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(10.6%)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(23.7%)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(25.8%)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2023-02-11T17:42:04Z</dcterms:modified>
  <cp:category/>
</cp:coreProperties>
</file>