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99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Pressure to publish original research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75 (26.5%)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(39.2%)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113 (39.9%)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(13.4%)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Low value of replication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(23.1%)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(16.3%)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(41.8%)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(43.1%)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110 (38.9%)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(14.5%)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Low chances of replicating a result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(5.7%)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70 (24.7%)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(31.4%)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85 (30.0%)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(4.9%)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experience conducting replications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41 (30.6%)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31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84 (29.7%)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(26.9%)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64 (22.6%)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(25.5%)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 publishing peer-reviewed replications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(17.3%)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(33.6%)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(36.3%)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96 (33.9%)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25 (24.5%)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(3.5%)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(43.5%)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Difficulty accessing/creating relevant data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(12.0%)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59 (44.0%)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(42.2%)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118 (41.7%)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(24.0%)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(11.7%)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Insufficient information about original 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49 (36.6%)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97 (34.3%)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82 (29.0%)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(11.7%)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Difficulty recreating similar procedures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(9.7%)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(9.2%)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89 (31.4%)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(35.1%)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95 (33.6%)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(11.3%)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(13.1%)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Lack of funding for replication studies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50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99 (35.0%)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(16.4%)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40 (14.1%)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(1.5%)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(18.0%)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Fabrication of data or results by original authors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(10.2%)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(9.0%)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42 (31.3%)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(65.2%)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 (33.2%)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Ethical concerns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(6.4%)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(7.4%)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(11.9%)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(16.6%)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47 (35.1%)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(17.4%)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(34.3%)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90 (31.8%)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(17.9%)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(13.8%)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 (24.0%)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Known spatial variation in phenomena being studied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Always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(6.0%)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Frequently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(25.4%)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Occasionally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(20.9%)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(37.3%)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73 (25.8%)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Rarely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(17.2%)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(12.7%)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Never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(22.4%)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(52.2%)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 (24.4%)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2023-02-11T17:43:04Z</dcterms:modified>
  <cp:category/>
</cp:coreProperties>
</file>