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73"/>
        <w:gridCol w:w="1860"/>
        <w:gridCol w:w="1970"/>
        <w:gridCol w:w="2557"/>
        <w:gridCol w:w="1994"/>
        <w:gridCol w:w="1578"/>
        <w:gridCol w:w="136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Methods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Quantitative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(52.3%)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(63.9%)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 (42.2%)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Qualitative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(18.3%)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Mixed Methods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 (39.0%)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Size of lab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1 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(7.8%)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2 - 5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(49.2%)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 (37.2%)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6 - 10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(41.0%)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(28.9%)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11 - 15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(8.3%)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16+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(11.9%)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Title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Full professor/lecturer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(19.7%)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Associate professor/lecturer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(28.0%)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Assistant professor/lecturer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Laboratory director/head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Research scientist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(12.8%)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Post-doctoral fellow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(11.9%)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Graduate student (PhD, masters)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(8.3%)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Technician/research assistant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Other (specify)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(2.8%)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 (30.3%)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(58.2%)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(67.7%)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(77.0%)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142 (65.1%)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Non-binary / third 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Prefer to self-describe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Prefer not to say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Under 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18-34 years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(20.2%)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35-54 years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(70.1%)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(61.5%)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(59.1%)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(55.7%)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136 (62.4%)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55+ years old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(15.4%)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(18.0%)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(17.4%)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2022-12-15T08:40:45Z</dcterms:modified>
  <cp:category/>
</cp:coreProperties>
</file>