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249"/>
        <w:gridCol w:w="2324"/>
        <w:gridCol w:w="2190"/>
        <w:gridCol w:w="2642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Failing to reproduce a result often means the original finding is 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(30.6%)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(23.9%)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(59.8%)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107 (49.1%)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(55.0%)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(18.3%)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Failing to reproduce a result rarely detracts from the validity of the original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(34.8%)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(45.0%)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 (33.0%)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(41.2%)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 (37.2%)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(11.9%)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If a researcher does not share the data used in their study, I trust the results less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(12.4%)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(41.3%)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(41.2%)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 (38.5%)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(31.5%)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 (32.1%)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(12.4%)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It is important for students to attempt reproductions as part of their training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(22.8%)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(23.9%)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 (63.0%)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(37.5%)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113 (51.8%)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To be credible, research must be reproducible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(60.9%)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(41.2%)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 (45.4%)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(19.3%)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(3.2%)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Reproducibility is incompatible with the epistemologies within my subfield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(32.5%)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(42.5%)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(18.8%)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 (36.2%)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 (22.0%)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(16.3%)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(14.1%)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2022-12-14T19:41:24Z</dcterms:modified>
  <cp:category/>
</cp:coreProperties>
</file>