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097"/>
        <w:gridCol w:w="2324"/>
        <w:gridCol w:w="2190"/>
        <w:gridCol w:w="2642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Validating research findings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 (42.2%)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(38.0%)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 (33.0%)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(11.5%)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(7.8%)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Reducing the risk of errors in the research process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(51.8%)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 (43.1%)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(41.3%)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(32.9%)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 (34.4%)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Increasing trust in study results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 (64.1%)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 (56.5%)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111 (50.9%)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(27.5%)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(11.5%)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Preventing duplication of efforts in future research projects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(28.3%)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(28.9%)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(45.7%)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(30.6%)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 (34.4%)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(37.5%)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(9.6%)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Establishing credibility of research in 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(44.7%)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(37.6%)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(45.7%)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 (34.9%)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(32.5%)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Establishing credibility of research in your primary subfield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 (52.2%)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(43.5%)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 (41.3%)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(39.1%)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 (32.1%)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(42.5%)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(13.3%)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(7.8%)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Communicating research to academics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(40.2%)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(33.5%)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 (35.3%)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(18.3%)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Communicating research to practitioners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(40.2%)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(37.6%)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(33.5%)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(31.2%)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(21.6%)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(8.3%)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Training geography students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(47.8%)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 (40.8%)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 (36.7%)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Meta-analyses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(38.0%)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(44.7%)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(35.8%)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(46.7%)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(32.5%)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(37.6%)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 (40.4%)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(11.5%)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(6.9%)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2022-12-14T19:41:25Z</dcterms:modified>
  <cp:category/>
</cp:coreProperties>
</file>