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82"/>
        <w:gridCol w:w="2324"/>
        <w:gridCol w:w="2190"/>
        <w:gridCol w:w="2642"/>
        <w:gridCol w:w="1817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Percentage of published results that are reproducible: 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47.9 (24.6)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43.2 (23.5)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55.8 (23.8)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50.5 (24.7)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80.0]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[10.0,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[100,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100]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Percentage of published results that are reproducible: Subfield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56.4 (23.3)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26.9 (26.4)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62.8 (25.3)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54.2 (27.8)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60.0 [0.110,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17.5 [0, 90.0]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60.0 [1.00,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[100,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100]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(15.2%)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(14.2%)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2023-01-25T23:38:06Z</dcterms:modified>
  <cp:category/>
</cp:coreProperties>
</file>