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735"/>
        <w:gridCol w:w="2324"/>
        <w:gridCol w:w="2190"/>
        <w:gridCol w:w="2642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Proportion of results: Identically reproduce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(35.9%)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(29.4%)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 (26.6%)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(48.2%)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 (55.0%)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Proportion of results: Partially reproduce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(34.1%)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(28.0%)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(44.6%)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(49.4%)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122 (56.0%)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Proportion of results: Fail to reproduce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(27.1%)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(21.1%)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(18.8%)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(45.7%)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(52.9%)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126 (57.8%)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Ability to access the original study's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(12.4%)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 (25.2%)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Did not attempt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 (54.1%)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Ability to access the original study's code or analytic procedures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(30.4%)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(24.7%)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(22.5%)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Did not attempt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 (54.1%)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Ability to recreate the computational environment (hardware, software, etc.)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(28.3%)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(20.6%)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Did not attempt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 (54.1%)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Ability to submit your findings for publication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(11.9%)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Did not attempt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(13.8%)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(48.2%)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119 (54.6%)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2023-01-26T13:31:52Z</dcterms:modified>
  <cp:category/>
</cp:coreProperties>
</file>