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Kirkpatrick-based Framework for Integrating Safety and Sustainability in Aviation Maintenance: A Case Study on Waste Reduction and Resource Efficiency</w:t>
      </w:r>
    </w:p>
    <w:p>
      <w:pPr>
        <w:pStyle w:val="Author"/>
      </w:pPr>
      <w:r>
        <w:t xml:space="preserve">José Cristiano Pereira</w:t>
      </w:r>
    </w:p>
    <w:p>
      <w:pPr>
        <w:pStyle w:val="Author"/>
      </w:pPr>
      <w:r>
        <w:t xml:space="preserve">Heitor Oliveira Gonçalves</w:t>
      </w:r>
    </w:p>
    <w:p>
      <w:pPr>
        <w:pStyle w:val="AbstractTitle"/>
      </w:pPr>
      <w:r>
        <w:t xml:space="preserve">Abstract</w:t>
      </w:r>
    </w:p>
    <w:p>
      <w:pPr>
        <w:pStyle w:val="Abstract"/>
      </w:pPr>
      <w:r>
        <w:t xml:space="preserve">Within high-risk industries such as aviation maintenance, safety and</w:t>
      </w:r>
      <w:r>
        <w:t xml:space="preserve"> </w:t>
      </w:r>
      <w:r>
        <w:t xml:space="preserve">sustainability are intrinsically linked: maintenance errors not only drive</w:t>
      </w:r>
      <w:r>
        <w:t xml:space="preserve"> </w:t>
      </w:r>
      <w:r>
        <w:t xml:space="preserve">accidents but also generate substantial resource waste through rework, scrap</w:t>
      </w:r>
      <w:r>
        <w:t xml:space="preserve"> </w:t>
      </w:r>
      <w:r>
        <w:t xml:space="preserve">and the loss of human capital. This case study operationalises the Kirkpatrick</w:t>
      </w:r>
      <w:r>
        <w:t xml:space="preserve"> </w:t>
      </w:r>
      <w:r>
        <w:t xml:space="preserve">four-level model (Reaction, Learning, Behaviour, Results) over a twelve-month</w:t>
      </w:r>
      <w:r>
        <w:t xml:space="preserve"> </w:t>
      </w:r>
      <w:r>
        <w:t xml:space="preserve">intervention at a multinational aircraft-engine MRO facility and quantifies</w:t>
      </w:r>
      <w:r>
        <w:t xml:space="preserve"> </w:t>
      </w:r>
      <w:r>
        <w:t xml:space="preserve">both safety and sustainability outcomes. Mixed-methods data collection combined</w:t>
      </w:r>
      <w:r>
        <w:t xml:space="preserve"> </w:t>
      </w:r>
      <w:r>
        <w:t xml:space="preserve">post-training questionnaires, on-the-job observations, quality records,</w:t>
      </w:r>
      <w:r>
        <w:t xml:space="preserve"> </w:t>
      </w:r>
      <w:r>
        <w:t xml:space="preserve">warranty and concession costs, customer satisfaction surveys and turnaround</w:t>
      </w:r>
      <w:r>
        <w:t xml:space="preserve"> </w:t>
      </w:r>
      <w:r>
        <w:t xml:space="preserve">time metrics. After implementation, the training-failure rate was 28% lower and the</w:t>
      </w:r>
      <w:r>
        <w:t xml:space="preserve"> </w:t>
      </w:r>
      <w:r>
        <w:t xml:space="preserve">regulatory non-conformance rate 35% lower than baseline (95% CIs in</w:t>
      </w:r>
      <w:r>
        <w:t xml:space="preserve"> </w:t>
      </w:r>
      <w:r>
        <w:t xml:space="preserve">Section 4), with estimated annual quality-cost savings in the range of</w:t>
      </w:r>
      <w:r>
        <w:t xml:space="preserve"> </w:t>
      </w:r>
      <w:r>
        <w:t xml:space="preserve">USD 0.75–1.5 M (base case USD 1.19 M) and a payback period under twelve</w:t>
      </w:r>
      <w:r>
        <w:t xml:space="preserve"> </w:t>
      </w:r>
      <w:r>
        <w:t xml:space="preserve">months across pessimistic-to-optimistic scenarios. The single-site</w:t>
      </w:r>
      <w:r>
        <w:t xml:space="preserve"> </w:t>
      </w:r>
      <w:r>
        <w:t xml:space="preserve">case-study design supports association rather than causal attribution;</w:t>
      </w:r>
      <w:r>
        <w:t xml:space="preserve"> </w:t>
      </w:r>
      <w:r>
        <w:t xml:space="preserve">the results are interpreted accordingly. The intervention also prevented</w:t>
      </w:r>
      <w:r>
        <w:t xml:space="preserve"> </w:t>
      </w:r>
      <w:r>
        <w:t xml:space="preserve">the material and energy waste associated with corrective actions.</w:t>
      </w:r>
      <w:r>
        <w:t xml:space="preserve"> </w:t>
      </w:r>
      <w:r>
        <w:t xml:space="preserve">Customer satisfaction surveys with four major airline customers reported</w:t>
      </w:r>
      <w:r>
        <w:t xml:space="preserve"> </w:t>
      </w:r>
      <w:r>
        <w:t xml:space="preserve">improvements across all five evaluated categories, with mean ratings</w:t>
      </w:r>
      <w:r>
        <w:t xml:space="preserve"> </w:t>
      </w:r>
      <w:r>
        <w:t xml:space="preserve">consistently in the upper range of the five-point scale during the</w:t>
      </w:r>
      <w:r>
        <w:t xml:space="preserve"> </w:t>
      </w:r>
      <w:r>
        <w:t xml:space="preserve">intervention year. We provide a</w:t>
      </w:r>
      <w:r>
        <w:t xml:space="preserve"> </w:t>
      </w:r>
      <w:r>
        <w:t xml:space="preserve">replicable framework for MRO managers and regulators, mapping each</w:t>
      </w:r>
      <w:r>
        <w:t xml:space="preserve"> </w:t>
      </w:r>
      <w:r>
        <w:t xml:space="preserve">Kirkpatrick level onto specific AS9100 clauses, SMS pillars and</w:t>
      </w:r>
      <w:r>
        <w:t xml:space="preserve"> </w:t>
      </w:r>
      <w:r>
        <w:t xml:space="preserve">sustainability indicators. The study supports policy recommendations for</w:t>
      </w:r>
      <w:r>
        <w:t xml:space="preserve"> </w:t>
      </w:r>
      <w:r>
        <w:t xml:space="preserve">integrating training-effectiveness metrics into SMS requirements mandated</w:t>
      </w:r>
      <w:r>
        <w:t xml:space="preserve"> </w:t>
      </w:r>
      <w:r>
        <w:t xml:space="preserve">by ICAO Annex 19, demonstrating that systematic training evaluation can</w:t>
      </w:r>
      <w:r>
        <w:t xml:space="preserve"> </w:t>
      </w:r>
      <w:r>
        <w:t xml:space="preserve">transform technical instruction from a compliance obligation into a strategic</w:t>
      </w:r>
      <w:r>
        <w:t xml:space="preserve"> </w:t>
      </w:r>
      <w:r>
        <w:t xml:space="preserve">lever for cleaner production in resource-intensive aviation operations.</w:t>
      </w:r>
    </w:p>
    <w:p>
      <w:pPr>
        <w:pStyle w:val="FirstParagraph"/>
      </w:pPr>
      <w:r>
        <w:t xml:space="preserve">[</w:t>
      </w:r>
      <w:r>
        <w:t xml:space="preserve"> </w:t>
      </w:r>
      <w:r>
        <w:t xml:space="preserve">prefix=Dr.,</w:t>
      </w:r>
      <w:r>
        <w:t xml:space="preserve"> </w:t>
      </w:r>
      <w:r>
        <w:t xml:space="preserve">role=Researcher,</w:t>
      </w:r>
      <w:r>
        <w:t xml:space="preserve"> </w:t>
      </w:r>
      <w:r>
        <w:t xml:space="preserve">orcid=0000-0002-2329-0560</w:t>
      </w:r>
      <w:r>
        <w:t xml:space="preserve"> </w:t>
      </w:r>
      <w:r>
        <w:t xml:space="preserve">]</w:t>
      </w:r>
    </w:p>
    <w:p>
      <w:pPr>
        <w:pStyle w:val="BodyText"/>
      </w:pPr>
      <w:r>
        <w:t xml:space="preserve">[</w:t>
      </w:r>
      <w:r>
        <w:t xml:space="preserve"> </w:t>
      </w:r>
      <w:r>
        <w:t xml:space="preserve">orcid=0000-0002-5866-2213</w:t>
      </w:r>
      <w:r>
        <w:t xml:space="preserve"> </w:t>
      </w:r>
      <w:r>
        <w:t xml:space="preserve">]</w:t>
      </w:r>
    </w:p>
    <w:p>
      <w:pPr>
        <w:pStyle w:val="BodyText"/>
      </w:pPr>
      <w:r>
        <w:t xml:space="preserve">Kirkpatrick model applied to aviation MRO over a 12-month case study.</w:t>
      </w:r>
    </w:p>
    <w:p>
      <w:pPr>
        <w:pStyle w:val="BodyText"/>
      </w:pPr>
      <w:r>
        <w:t xml:space="preserve">Training failures decreased 28%; regulatory non-conformances dropped 35%.</w:t>
      </w:r>
    </w:p>
    <w:p>
      <w:pPr>
        <w:pStyle w:val="BodyText"/>
      </w:pPr>
      <w:r>
        <w:t xml:space="preserve">Payback of under twelve months in estimated cost-of-quality savings.</w:t>
      </w:r>
    </w:p>
    <w:p>
      <w:pPr>
        <w:pStyle w:val="BodyText"/>
      </w:pPr>
      <w:r>
        <w:t xml:space="preserve">Framework maps Kirkpatrick levels to AS9100, SMS pillars and ESG indicators.</w:t>
      </w:r>
    </w:p>
    <w:p>
      <w:pPr>
        <w:pStyle w:val="BodyText"/>
      </w:pPr>
      <w:r>
        <w:t xml:space="preserve">Policy guidance proposed for ICAO, FAA, EASA and ANAC oversight regimes.</w:t>
      </w:r>
    </w:p>
    <w:p>
      <w:pPr>
        <w:pStyle w:val="BodyText"/>
      </w:pPr>
      <w:r>
        <w:t xml:space="preserve">Kirkpatrick model ,Aviation maintenance training ,MRO economics ,</w:t>
      </w:r>
      <w:r>
        <w:t xml:space="preserve"> </w:t>
      </w:r>
      <w:r>
        <w:t xml:space="preserve">Aviation human factors ,Safety Management Systems ,AS9100 ,</w:t>
      </w:r>
      <w:r>
        <w:t xml:space="preserve"> </w:t>
      </w:r>
      <w:r>
        <w:t xml:space="preserve">Sustainability ,Cost of quality</w:t>
      </w:r>
    </w:p>
    <w:bookmarkStart w:id="12" w:name="sec:introduction"/>
    <w:p>
      <w:pPr>
        <w:pStyle w:val="Heading1"/>
      </w:pPr>
      <w:r>
        <w:t xml:space="preserve">Introduction</w:t>
      </w:r>
    </w:p>
    <w:p>
      <w:pPr>
        <w:pStyle w:val="FirstParagraph"/>
      </w:pPr>
      <w:r>
        <w:t xml:space="preserve">The global maintenance, repair and overhaul (MRO) market is valued at over</w:t>
      </w:r>
      <w:r>
        <w:t xml:space="preserve"> </w:t>
      </w:r>
      <w:r>
        <w:t xml:space="preserve">USD 90 billion annually and remains a critical determinant of airline</w:t>
      </w:r>
      <w:r>
        <w:t xml:space="preserve"> </w:t>
      </w:r>
      <w:r>
        <w:t xml:space="preserve">operating costs, fleet availability and on-time performance</w:t>
      </w:r>
      <w:r>
        <w:t xml:space="preserve"> </w:t>
      </w:r>
      <w:r>
        <w:t xml:space="preserve">(Zhang et al. 2025; Boyd and Stolzer 2015)</w:t>
      </w:r>
      <w:r>
        <w:t xml:space="preserve">. The sector operates under one of the most</w:t>
      </w:r>
      <w:r>
        <w:t xml:space="preserve"> </w:t>
      </w:r>
      <w:r>
        <w:t xml:space="preserve">stringent safety regimes across all engineering domains, where</w:t>
      </w:r>
      <w:r>
        <w:t xml:space="preserve"> </w:t>
      </w:r>
      <w:r>
        <w:t xml:space="preserve">maintenance-attributable errors continue to account for between 12% and 18%</w:t>
      </w:r>
      <w:r>
        <w:t xml:space="preserve"> </w:t>
      </w:r>
      <w:r>
        <w:t xml:space="preserve">of commercial aviation accidents</w:t>
      </w:r>
      <w:r>
        <w:t xml:space="preserve"> </w:t>
      </w:r>
      <w:r>
        <w:t xml:space="preserve">(Boyd and Stolzer 2015; Federal Aviation Administration 2024)</w:t>
      </w:r>
      <w:r>
        <w:t xml:space="preserve"> </w:t>
      </w:r>
      <w:r>
        <w:t xml:space="preserve">despite decades of</w:t>
      </w:r>
      <w:r>
        <w:t xml:space="preserve"> </w:t>
      </w:r>
      <w:r>
        <w:t xml:space="preserve">regulatory and technological progress. The economic and environmental</w:t>
      </w:r>
      <w:r>
        <w:t xml:space="preserve"> </w:t>
      </w:r>
      <w:r>
        <w:t xml:space="preserve">consequences of these errors extend well beyond the immediate corrective</w:t>
      </w:r>
      <w:r>
        <w:t xml:space="preserve"> </w:t>
      </w:r>
      <w:r>
        <w:t xml:space="preserve">action: a single warranty claim arising from a defective overhaul has been</w:t>
      </w:r>
      <w:r>
        <w:t xml:space="preserve"> </w:t>
      </w:r>
      <w:r>
        <w:t xml:space="preserve">reported to exceed USD 189</w:t>
      </w:r>
      <w:r>
        <w:t xml:space="preserve">,</w:t>
      </w:r>
      <w:r>
        <w:t xml:space="preserve">500 in direct material and labour costs alone</w:t>
      </w:r>
      <w:r>
        <w:t xml:space="preserve"> </w:t>
      </w:r>
      <w:r>
        <w:t xml:space="preserve">(Pereira 2017)</w:t>
      </w:r>
      <w:r>
        <w:t xml:space="preserve">, and the indirect cost — expressed as material scrap,</w:t>
      </w:r>
      <w:r>
        <w:t xml:space="preserve"> </w:t>
      </w:r>
      <w:r>
        <w:t xml:space="preserve">energy consumed in rework, displaced operational capacity, missed</w:t>
      </w:r>
      <w:r>
        <w:t xml:space="preserve"> </w:t>
      </w:r>
      <w:r>
        <w:t xml:space="preserve">slot-allocation opportunities at congested hubs and reputational damage —</w:t>
      </w:r>
      <w:r>
        <w:t xml:space="preserve"> </w:t>
      </w:r>
      <w:r>
        <w:t xml:space="preserve">has been estimated at three to seven times the direct figure</w:t>
      </w:r>
      <w:r>
        <w:t xml:space="preserve"> </w:t>
      </w:r>
      <w:r>
        <w:t xml:space="preserve">(Zhang et al. 2025)</w:t>
      </w:r>
      <w:r>
        <w:t xml:space="preserve">. For airlines, every maintenance disruption translates into</w:t>
      </w:r>
      <w:r>
        <w:t xml:space="preserve"> </w:t>
      </w:r>
      <w:r>
        <w:t xml:space="preserve">unit cost pressure and competitive position erosion; for the MRO operator,</w:t>
      </w:r>
      <w:r>
        <w:t xml:space="preserve"> </w:t>
      </w:r>
      <w:r>
        <w:t xml:space="preserve">each event compounds into quality-cost dilution and the slow attrition of</w:t>
      </w:r>
      <w:r>
        <w:t xml:space="preserve"> </w:t>
      </w:r>
      <w:r>
        <w:t xml:space="preserve">preferred-supplier status.</w:t>
      </w:r>
    </w:p>
    <w:p>
      <w:pPr>
        <w:pStyle w:val="BodyText"/>
      </w:pPr>
      <w:r>
        <w:t xml:space="preserve">Safety and sustainability in MRO are therefore intrinsically linked.</w:t>
      </w:r>
      <w:r>
        <w:t xml:space="preserve"> </w:t>
      </w:r>
      <w:r>
        <w:t xml:space="preserve">Maintenance errors do not only generate accident risk; they also generate</w:t>
      </w:r>
      <w:r>
        <w:t xml:space="preserve"> </w:t>
      </w:r>
      <w:r>
        <w:t xml:space="preserve">waste. Every component scrapped because of a procedural deviation, every</w:t>
      </w:r>
      <w:r>
        <w:t xml:space="preserve"> </w:t>
      </w:r>
      <w:r>
        <w:t xml:space="preserve">engine returned for rework, every additional litre of jet fuel consumed by a</w:t>
      </w:r>
      <w:r>
        <w:t xml:space="preserve"> </w:t>
      </w:r>
      <w:r>
        <w:t xml:space="preserve">delayed turnaround and every kilowatt-hour of energy invested in corrective</w:t>
      </w:r>
      <w:r>
        <w:t xml:space="preserve"> </w:t>
      </w:r>
      <w:r>
        <w:t xml:space="preserve">actions correspond to a sustainability loss that is rarely reported in</w:t>
      </w:r>
      <w:r>
        <w:t xml:space="preserve"> </w:t>
      </w:r>
      <w:r>
        <w:t xml:space="preserve">isolation but is systematically captured by quality-cost accounting</w:t>
      </w:r>
      <w:r>
        <w:t xml:space="preserve"> </w:t>
      </w:r>
      <w:r>
        <w:t xml:space="preserve">(Chen et al. 2023; Yang and Park 2024)</w:t>
      </w:r>
      <w:r>
        <w:t xml:space="preserve">. This connection has become particularly relevant</w:t>
      </w:r>
      <w:r>
        <w:t xml:space="preserve"> </w:t>
      </w:r>
      <w:r>
        <w:t xml:space="preserve">under the rising pressure of stakeholder demand for environmental, social and</w:t>
      </w:r>
      <w:r>
        <w:t xml:space="preserve"> </w:t>
      </w:r>
      <w:r>
        <w:t xml:space="preserve">governance (ESG) disclosures from airlines and their supply chain</w:t>
      </w:r>
      <w:r>
        <w:t xml:space="preserve"> </w:t>
      </w:r>
      <w:r>
        <w:t xml:space="preserve">(Sousa et al. 2025)</w:t>
      </w:r>
      <w:r>
        <w:t xml:space="preserve">.</w:t>
      </w:r>
    </w:p>
    <w:p>
      <w:pPr>
        <w:pStyle w:val="BodyText"/>
      </w:pPr>
      <w:r>
        <w:t xml:space="preserve">Within this context, the technical training of maintenance personnel emerges</w:t>
      </w:r>
      <w:r>
        <w:t xml:space="preserve"> </w:t>
      </w:r>
      <w:r>
        <w:t xml:space="preserve">as a high-leverage intervention. Training is mandated by both the civil</w:t>
      </w:r>
      <w:r>
        <w:t xml:space="preserve"> </w:t>
      </w:r>
      <w:r>
        <w:t xml:space="preserve">aviation regulator</w:t>
      </w:r>
      <w:r>
        <w:t xml:space="preserve"> </w:t>
      </w:r>
      <w:r>
        <w:t xml:space="preserve">(FAA, EASA, ANAC and other authorities</w:t>
      </w:r>
      <w:r>
        <w:t xml:space="preserve"> </w:t>
      </w:r>
      <w:r>
        <w:t xml:space="preserve">under ICAO Annex 19; Federal Aviation Administration 2024; European Union Aviation Safety Agency 2025)</w:t>
      </w:r>
      <w:r>
        <w:t xml:space="preserve"> </w:t>
      </w:r>
      <w:r>
        <w:t xml:space="preserve">and the industry quality</w:t>
      </w:r>
      <w:r>
        <w:t xml:space="preserve"> </w:t>
      </w:r>
      <w:r>
        <w:t xml:space="preserve">standard for aerospace, AS9100</w:t>
      </w:r>
      <w:r>
        <w:t xml:space="preserve"> </w:t>
      </w:r>
      <w:r>
        <w:t xml:space="preserve">(Oschman 2017)</w:t>
      </w:r>
      <w:r>
        <w:t xml:space="preserve">. Yet, in many</w:t>
      </w:r>
      <w:r>
        <w:t xml:space="preserve"> </w:t>
      </w:r>
      <w:r>
        <w:t xml:space="preserve">organisations training remains evaluated only at the level of attendance,</w:t>
      </w:r>
      <w:r>
        <w:t xml:space="preserve"> </w:t>
      </w:r>
      <w:r>
        <w:t xml:space="preserve">written tests or post-class satisfaction surveys — a posture that limits</w:t>
      </w:r>
      <w:r>
        <w:t xml:space="preserve"> </w:t>
      </w:r>
      <w:r>
        <w:t xml:space="preserve">training to a compliance obligation and ignores its strategic potential to</w:t>
      </w:r>
      <w:r>
        <w:t xml:space="preserve"> </w:t>
      </w:r>
      <w:r>
        <w:t xml:space="preserve">reduce waste and reinforce safety culture</w:t>
      </w:r>
      <w:r>
        <w:t xml:space="preserve"> </w:t>
      </w:r>
      <w:r>
        <w:t xml:space="preserve">(O’Connor et al. 2024; Nakamura et al. 2024)</w:t>
      </w:r>
      <w:r>
        <w:t xml:space="preserve">.</w:t>
      </w:r>
    </w:p>
    <w:p>
      <w:pPr>
        <w:pStyle w:val="BodyText"/>
      </w:pPr>
      <w:r>
        <w:t xml:space="preserve">The Kirkpatrick four-level model</w:t>
      </w:r>
      <w:r>
        <w:t xml:space="preserve"> </w:t>
      </w:r>
      <w:r>
        <w:t xml:space="preserve">(Kirkpatrick and Kirkpatrick 2010; Patel et al. 2023; Fernández-Delgado and Cernadas 2024)</w:t>
      </w:r>
      <w:r>
        <w:t xml:space="preserve"> </w:t>
      </w:r>
      <w:r>
        <w:t xml:space="preserve">provides a well-established</w:t>
      </w:r>
      <w:r>
        <w:t xml:space="preserve"> </w:t>
      </w:r>
      <w:r>
        <w:t xml:space="preserve">framework to evaluate training effectiveness across Reaction, Learning,</w:t>
      </w:r>
      <w:r>
        <w:t xml:space="preserve"> </w:t>
      </w:r>
      <w:r>
        <w:t xml:space="preserve">Behaviour and Results dimensions. Although broadly cited, its</w:t>
      </w:r>
      <w:r>
        <w:t xml:space="preserve"> </w:t>
      </w:r>
      <w:r>
        <w:t xml:space="preserve">operationalisation in regulated and high-reliability environments such as</w:t>
      </w:r>
      <w:r>
        <w:t xml:space="preserve"> </w:t>
      </w:r>
      <w:r>
        <w:t xml:space="preserve">aviation MRO remains under-explored. Recent reviews suggest that fewer than</w:t>
      </w:r>
      <w:r>
        <w:t xml:space="preserve"> </w:t>
      </w:r>
      <w:r>
        <w:t xml:space="preserve">20% of published applications go beyond Level 2 (Learning) in any sustained</w:t>
      </w:r>
      <w:r>
        <w:t xml:space="preserve"> </w:t>
      </w:r>
      <w:r>
        <w:t xml:space="preserve">way, and applications that explicitly connect Level 4 (Results) with</w:t>
      </w:r>
      <w:r>
        <w:t xml:space="preserve"> </w:t>
      </w:r>
      <w:r>
        <w:t xml:space="preserve">sustainability or cleaner-production outcomes are virtually absent</w:t>
      </w:r>
      <w:r>
        <w:t xml:space="preserve"> </w:t>
      </w:r>
      <w:r>
        <w:t xml:space="preserve">(O’Reilly et al. 2024; Peterson 2025)</w:t>
      </w:r>
      <w:r>
        <w:t xml:space="preserve">.</w:t>
      </w:r>
    </w:p>
    <w:bookmarkStart w:id="9" w:name="subsec:rqs"/>
    <w:p>
      <w:pPr>
        <w:pStyle w:val="Heading2"/>
      </w:pPr>
      <w:r>
        <w:t xml:space="preserve">Research questions</w:t>
      </w:r>
    </w:p>
    <w:p>
      <w:pPr>
        <w:pStyle w:val="FirstParagraph"/>
      </w:pPr>
      <w:r>
        <w:t xml:space="preserve">To address this gap, this study investigates the following research</w:t>
      </w:r>
      <w:r>
        <w:t xml:space="preserve"> </w:t>
      </w:r>
      <w:r>
        <w:t xml:space="preserve">questions (RQs):</w:t>
      </w:r>
    </w:p>
    <w:p>
      <w:pPr>
        <w:pStyle w:val="DefinitionTerm"/>
      </w:pPr>
      <w:r>
        <w:rPr>
          <w:b/>
          <w:bCs/>
        </w:rPr>
        <w:t xml:space="preserve">RQ1.</w:t>
      </w:r>
    </w:p>
    <w:p>
      <w:pPr>
        <w:pStyle w:val="Definition"/>
      </w:pPr>
      <w:r>
        <w:t xml:space="preserve">How can the Kirkpatrick four-level model be</w:t>
      </w:r>
      <w:r>
        <w:t xml:space="preserve"> </w:t>
      </w:r>
      <w:r>
        <w:t xml:space="preserve">operationalised within the training process of an AS9100-certified</w:t>
      </w:r>
      <w:r>
        <w:t xml:space="preserve"> </w:t>
      </w:r>
      <w:r>
        <w:t xml:space="preserve">aircraft-engine MRO facility so that it evaluates not only safety</w:t>
      </w:r>
      <w:r>
        <w:t xml:space="preserve"> </w:t>
      </w:r>
      <w:r>
        <w:t xml:space="preserve">and regulatory compliance but also resource efficiency and waste</w:t>
      </w:r>
      <w:r>
        <w:t xml:space="preserve"> </w:t>
      </w:r>
      <w:r>
        <w:t xml:space="preserve">reduction?</w:t>
      </w:r>
    </w:p>
    <w:p>
      <w:pPr>
        <w:pStyle w:val="DefinitionTerm"/>
      </w:pPr>
      <w:r>
        <w:rPr>
          <w:b/>
          <w:bCs/>
        </w:rPr>
        <w:t xml:space="preserve">RQ2.</w:t>
      </w:r>
    </w:p>
    <w:p>
      <w:pPr>
        <w:pStyle w:val="Definition"/>
      </w:pPr>
      <w:r>
        <w:t xml:space="preserve">What measurable changes in safety performance</w:t>
      </w:r>
      <w:r>
        <w:t xml:space="preserve"> </w:t>
      </w:r>
      <w:r>
        <w:t xml:space="preserve">(training failures, regulatory non-conformances) and sustainability</w:t>
      </w:r>
      <w:r>
        <w:t xml:space="preserve"> </w:t>
      </w:r>
      <w:r>
        <w:t xml:space="preserve">indicators (quality costs, customer satisfaction, turnaround time)</w:t>
      </w:r>
      <w:r>
        <w:t xml:space="preserve"> </w:t>
      </w:r>
      <w:r>
        <w:t xml:space="preserve">result from such an implementation over a twelve-month horizon?</w:t>
      </w:r>
    </w:p>
    <w:p>
      <w:pPr>
        <w:pStyle w:val="DefinitionTerm"/>
      </w:pPr>
      <w:r>
        <w:rPr>
          <w:b/>
          <w:bCs/>
        </w:rPr>
        <w:t xml:space="preserve">RQ3.</w:t>
      </w:r>
    </w:p>
    <w:p>
      <w:pPr>
        <w:pStyle w:val="Definition"/>
      </w:pPr>
      <w:r>
        <w:t xml:space="preserve">Which managerial and policy interventions can be</w:t>
      </w:r>
      <w:r>
        <w:t xml:space="preserve"> </w:t>
      </w:r>
      <w:r>
        <w:t xml:space="preserve">derived from the case so that the framework becomes replicable across</w:t>
      </w:r>
      <w:r>
        <w:t xml:space="preserve"> </w:t>
      </w:r>
      <w:r>
        <w:t xml:space="preserve">MRO organisations and useful as guidance for civil aviation</w:t>
      </w:r>
      <w:r>
        <w:t xml:space="preserve"> </w:t>
      </w:r>
      <w:r>
        <w:t xml:space="preserve">authorities and industry bodies?</w:t>
      </w:r>
    </w:p>
    <w:bookmarkEnd w:id="9"/>
    <w:bookmarkStart w:id="11" w:name="subsec:contribution"/>
    <w:p>
      <w:pPr>
        <w:pStyle w:val="Heading2"/>
      </w:pPr>
      <w:r>
        <w:t xml:space="preserve">Contribution and structure</w:t>
      </w:r>
    </w:p>
    <w:p>
      <w:pPr>
        <w:pStyle w:val="FirstParagraph"/>
      </w:pPr>
      <w:r>
        <w:t xml:space="preserve">To the best of the authors’ knowledge, the contribution of this paper is</w:t>
      </w:r>
      <w:r>
        <w:t xml:space="preserve"> </w:t>
      </w:r>
      <w:r>
        <w:t xml:space="preserve">threefold:</w:t>
      </w:r>
      <w:r>
        <w:t xml:space="preserve"> </w:t>
      </w:r>
      <w:r>
        <w:rPr>
          <w:i/>
          <w:iCs/>
        </w:rPr>
        <w:t xml:space="preserve">(a)</w:t>
      </w:r>
      <w:r>
        <w:t xml:space="preserve"> it jointly maps Kirkpatrick’s four levels to specific</w:t>
      </w:r>
      <w:r>
        <w:t xml:space="preserve"> </w:t>
      </w:r>
      <w:r>
        <w:t xml:space="preserve">AS9100 clauses, SMS pillars and ESG indicators in an aerospace</w:t>
      </w:r>
      <w:r>
        <w:t xml:space="preserve"> </w:t>
      </w:r>
      <w:r>
        <w:t xml:space="preserve">maintenance setting,</w:t>
      </w:r>
      <w:r>
        <w:t xml:space="preserve"> </w:t>
      </w:r>
      <w:r>
        <w:rPr>
          <w:i/>
          <w:iCs/>
        </w:rPr>
        <w:t xml:space="preserve">and (b)</w:t>
      </w:r>
      <w:r>
        <w:t xml:space="preserve"> it reports twelve-month longitudinal</w:t>
      </w:r>
      <w:r>
        <w:t xml:space="preserve"> </w:t>
      </w:r>
      <w:r>
        <w:t xml:space="preserve">operational outcomes, including a monetised cost-of-quality estimate, from a</w:t>
      </w:r>
      <w:r>
        <w:t xml:space="preserve"> </w:t>
      </w:r>
      <w:r>
        <w:t xml:space="preserve">single AS9100-certified engine MRO facility. While prior work has applied</w:t>
      </w:r>
      <w:r>
        <w:t xml:space="preserve"> </w:t>
      </w:r>
      <w:r>
        <w:t xml:space="preserve">Kirkpatrick to aviation training in isolation and has discussed sustainability</w:t>
      </w:r>
      <w:r>
        <w:t xml:space="preserve"> </w:t>
      </w:r>
      <w:r>
        <w:t xml:space="preserve">in MRO separately, the joint mapping with longitudinal monetised outcomes</w:t>
      </w:r>
      <w:r>
        <w:t xml:space="preserve"> </w:t>
      </w:r>
      <w:r>
        <w:t xml:space="preserve">in this regulated setting is, to our knowledge, not yet documented in the</w:t>
      </w:r>
      <w:r>
        <w:t xml:space="preserve"> </w:t>
      </w:r>
      <w:r>
        <w:t xml:space="preserve">peer-reviewed literature. The third contribution is normative: managerial</w:t>
      </w:r>
      <w:r>
        <w:t xml:space="preserve"> </w:t>
      </w:r>
      <w:r>
        <w:t xml:space="preserve">implications and policy recommendations directly addressed to MRO managers,</w:t>
      </w:r>
      <w:r>
        <w:t xml:space="preserve"> </w:t>
      </w:r>
      <w:r>
        <w:t xml:space="preserve">airline quality departments and aviation regulators are derived from the</w:t>
      </w:r>
      <w:r>
        <w:t xml:space="preserve"> </w:t>
      </w:r>
      <w:r>
        <w:t xml:space="preserve">case. The conceptual mapping is summarised in Fig. </w:t>
      </w:r>
      <w:hyperlink w:anchor="fig:conceptual">
        <w:r>
          <w:rPr>
            <w:rStyle w:val="Hyperlink"/>
          </w:rPr>
          <w:t xml:space="preserve">1</w:t>
        </w:r>
      </w:hyperlink>
      <w:r>
        <w:t xml:space="preserve">.</w:t>
      </w:r>
    </w:p>
    <w:bookmarkStart w:id="10" w:name="fig:conceptual"/>
    <w:tbl>
      <w:tblPr>
        <w:tblStyle w:val="FigureTable"/>
        <w:tblW w:type="auto" w:w="0"/>
        <w:jc w:val="center"/>
        <w:tblLook w:firstRow="0" w:lastRow="0" w:firstColumn="0" w:lastColumn="0"/>
      </w:tblPr>
      <w:tblGrid/>
    </w:tbl>
    <w:p>
      <w:pPr>
        <w:pStyle w:val="ImageCaption"/>
      </w:pPr>
      <w:r>
        <w:t xml:space="preserve">Conceptual model linking Kirkpatrick’s four levels to AS9100</w:t>
      </w:r>
      <w:r>
        <w:t xml:space="preserve"> </w:t>
      </w:r>
      <w:r>
        <w:t xml:space="preserve">clauses, SMS pillars and sustainability outcomes. Vertical dashed</w:t>
      </w:r>
      <w:r>
        <w:t xml:space="preserve"> </w:t>
      </w:r>
      <w:r>
        <w:t xml:space="preserve">arrows represent the progression of the Kirkpatrick model;</w:t>
      </w:r>
      <w:r>
        <w:t xml:space="preserve"> </w:t>
      </w:r>
      <w:r>
        <w:t xml:space="preserve">horizontal arrows represent the mapping proposed in this study.</w:t>
      </w:r>
    </w:p>
    <w:bookmarkEnd w:id="10"/>
    <w:p>
      <w:pPr>
        <w:pStyle w:val="BodyText"/>
      </w:pPr>
      <w:r>
        <w:t xml:space="preserve">The remainder of the paper is organised as follows.</w:t>
      </w:r>
      <w:r>
        <w:t xml:space="preserve"> </w:t>
      </w:r>
      <w:r>
        <w:t xml:space="preserve">Section </w:t>
      </w:r>
      <w:hyperlink w:anchor="sec:literature">
        <w:r>
          <w:rPr>
            <w:rStyle w:val="Hyperlink"/>
          </w:rPr>
          <w:t xml:space="preserve">2</w:t>
        </w:r>
      </w:hyperlink>
      <w:r>
        <w:t xml:space="preserve"> </w:t>
      </w:r>
      <w:r>
        <w:t xml:space="preserve">reviews the relevant literature on Kirkpatrick,</w:t>
      </w:r>
      <w:r>
        <w:t xml:space="preserve"> </w:t>
      </w:r>
      <w:r>
        <w:t xml:space="preserve">aviation maintenance training and the safety-sustainability nexus.</w:t>
      </w:r>
      <w:r>
        <w:t xml:space="preserve"> </w:t>
      </w:r>
      <w:r>
        <w:t xml:space="preserve">Section </w:t>
      </w:r>
      <w:hyperlink w:anchor="sec:methodology">
        <w:r>
          <w:rPr>
            <w:rStyle w:val="Hyperlink"/>
          </w:rPr>
          <w:t xml:space="preserve">3</w:t>
        </w:r>
      </w:hyperlink>
      <w:r>
        <w:t xml:space="preserve"> </w:t>
      </w:r>
      <w:r>
        <w:t xml:space="preserve">describes the case-study design and data</w:t>
      </w:r>
      <w:r>
        <w:t xml:space="preserve"> </w:t>
      </w:r>
      <w:r>
        <w:t xml:space="preserve">collection. Section </w:t>
      </w:r>
      <w:hyperlink w:anchor="sec:results">
        <w:r>
          <w:rPr>
            <w:rStyle w:val="Hyperlink"/>
          </w:rPr>
          <w:t xml:space="preserve">4</w:t>
        </w:r>
      </w:hyperlink>
      <w:r>
        <w:t xml:space="preserve"> </w:t>
      </w:r>
      <w:r>
        <w:t xml:space="preserve">presents the results, including the</w:t>
      </w:r>
      <w:r>
        <w:t xml:space="preserve"> </w:t>
      </w:r>
      <w:r>
        <w:t xml:space="preserve">regulatory mapping, the redesigned training process and the operational</w:t>
      </w:r>
      <w:r>
        <w:t xml:space="preserve"> </w:t>
      </w:r>
      <w:r>
        <w:t xml:space="preserve">outcomes. Section </w:t>
      </w:r>
      <w:hyperlink w:anchor="sec:discussion">
        <w:r>
          <w:rPr>
            <w:rStyle w:val="Hyperlink"/>
          </w:rPr>
          <w:t xml:space="preserve">5</w:t>
        </w:r>
      </w:hyperlink>
      <w:r>
        <w:t xml:space="preserve"> </w:t>
      </w:r>
      <w:r>
        <w:t xml:space="preserve">discusses the findings against the</w:t>
      </w:r>
      <w:r>
        <w:t xml:space="preserve"> </w:t>
      </w:r>
      <w:r>
        <w:t xml:space="preserve">literature. Section </w:t>
      </w:r>
      <w:hyperlink w:anchor="sec:managerial">
        <w:r>
          <w:rPr>
            <w:rStyle w:val="Hyperlink"/>
          </w:rPr>
          <w:t xml:space="preserve">6</w:t>
        </w:r>
      </w:hyperlink>
      <w:r>
        <w:t xml:space="preserve"> </w:t>
      </w:r>
      <w:r>
        <w:t xml:space="preserve">provides managerial implications,</w:t>
      </w:r>
      <w:r>
        <w:t xml:space="preserve"> </w:t>
      </w:r>
      <w:r>
        <w:t xml:space="preserve">including an economic analysis. Section </w:t>
      </w:r>
      <w:hyperlink w:anchor="sec:policy">
        <w:r>
          <w:rPr>
            <w:rStyle w:val="Hyperlink"/>
          </w:rPr>
          <w:t xml:space="preserve">7</w:t>
        </w:r>
      </w:hyperlink>
      <w:r>
        <w:t xml:space="preserve"> </w:t>
      </w:r>
      <w:r>
        <w:t xml:space="preserve">formulates policy</w:t>
      </w:r>
      <w:r>
        <w:t xml:space="preserve"> </w:t>
      </w:r>
      <w:r>
        <w:t xml:space="preserve">recommendations. Section </w:t>
      </w:r>
      <w:hyperlink w:anchor="sec:conclusion">
        <w:r>
          <w:rPr>
            <w:rStyle w:val="Hyperlink"/>
          </w:rPr>
          <w:t xml:space="preserve">8</w:t>
        </w:r>
      </w:hyperlink>
      <w:r>
        <w:t xml:space="preserve"> </w:t>
      </w:r>
      <w:r>
        <w:t xml:space="preserve">concludes, and</w:t>
      </w:r>
      <w:r>
        <w:t xml:space="preserve"> </w:t>
      </w:r>
      <w:r>
        <w:t xml:space="preserve">Section </w:t>
      </w:r>
      <w:hyperlink w:anchor="subsec:limitations">
        <w:r>
          <w:rPr>
            <w:rStyle w:val="Hyperlink"/>
          </w:rPr>
          <w:t xml:space="preserve">8.4</w:t>
        </w:r>
      </w:hyperlink>
      <w:r>
        <w:t xml:space="preserve"> </w:t>
      </w:r>
      <w:r>
        <w:t xml:space="preserve">synthesises limitations and future research.</w:t>
      </w:r>
    </w:p>
    <w:bookmarkEnd w:id="11"/>
    <w:bookmarkEnd w:id="12"/>
    <w:bookmarkStart w:id="19" w:name="sec:literature"/>
    <w:p>
      <w:pPr>
        <w:pStyle w:val="Heading1"/>
      </w:pPr>
      <w:r>
        <w:t xml:space="preserve">Literature Review</w:t>
      </w:r>
    </w:p>
    <w:p>
      <w:pPr>
        <w:pStyle w:val="FirstParagraph"/>
      </w:pPr>
      <w:r>
        <w:t xml:space="preserve">This section examines four bodies of literature that converge in the present</w:t>
      </w:r>
      <w:r>
        <w:t xml:space="preserve"> </w:t>
      </w:r>
      <w:r>
        <w:t xml:space="preserve">study: (i) the Kirkpatrick model and its modern critiques; (ii) aviation</w:t>
      </w:r>
      <w:r>
        <w:t xml:space="preserve"> </w:t>
      </w:r>
      <w:r>
        <w:t xml:space="preserve">maintenance training under regulatory pressure; (iii) human factors and</w:t>
      </w:r>
      <w:r>
        <w:t xml:space="preserve"> </w:t>
      </w:r>
      <w:r>
        <w:t xml:space="preserve">socio-technical perspectives on maintenance error; and (iv) technological and</w:t>
      </w:r>
      <w:r>
        <w:t xml:space="preserve"> </w:t>
      </w:r>
      <w:r>
        <w:t xml:space="preserve">economic enablers for next-generation evaluation. Section </w:t>
      </w:r>
      <w:hyperlink w:anchor="subsec:gap">
        <w:r>
          <w:rPr>
            <w:rStyle w:val="Hyperlink"/>
          </w:rPr>
          <w:t xml:space="preserve">2.6</w:t>
        </w:r>
      </w:hyperlink>
      <w:r>
        <w:t xml:space="preserve"> </w:t>
      </w:r>
      <w:r>
        <w:t xml:space="preserve">synthesises the gap.</w:t>
      </w:r>
    </w:p>
    <w:bookmarkStart w:id="13" w:name="subsec:kirkpatrick"/>
    <w:p>
      <w:pPr>
        <w:pStyle w:val="Heading2"/>
      </w:pPr>
      <w:r>
        <w:t xml:space="preserve">Kirkpatrick’s model: theoretical evolution and modern critiques</w:t>
      </w:r>
    </w:p>
    <w:p>
      <w:pPr>
        <w:pStyle w:val="FirstParagraph"/>
      </w:pPr>
      <w:r>
        <w:t xml:space="preserve">Originally introduced in 1959 and consolidated in subsequent revisions, the</w:t>
      </w:r>
      <w:r>
        <w:t xml:space="preserve"> </w:t>
      </w:r>
      <w:r>
        <w:t xml:space="preserve">four-level model of training evaluation</w:t>
      </w:r>
      <w:r>
        <w:t xml:space="preserve"> </w:t>
      </w:r>
      <w:r>
        <w:t xml:space="preserve">(Kirkpatrick and Kirkpatrick 2010)</w:t>
      </w:r>
      <w:r>
        <w:t xml:space="preserve"> </w:t>
      </w:r>
      <w:r>
        <w:t xml:space="preserve">remains the</w:t>
      </w:r>
      <w:r>
        <w:t xml:space="preserve"> </w:t>
      </w:r>
      <w:r>
        <w:t xml:space="preserve">most cited framework worldwide for assessing learning interventions. The</w:t>
      </w:r>
      <w:r>
        <w:t xml:space="preserve"> </w:t>
      </w:r>
      <w:r>
        <w:t xml:space="preserve">levels are widely understood as</w:t>
      </w:r>
      <w:r>
        <w:t xml:space="preserve"> </w:t>
      </w:r>
      <w:r>
        <w:rPr>
          <w:i/>
          <w:iCs/>
        </w:rPr>
        <w:t xml:space="preserve">Reaction</w:t>
      </w:r>
      <w:r>
        <w:t xml:space="preserve"> </w:t>
      </w:r>
      <w:r>
        <w:t xml:space="preserve">(participant satisfaction),</w:t>
      </w:r>
      <w:r>
        <w:t xml:space="preserve"> </w:t>
      </w:r>
      <w:r>
        <w:rPr>
          <w:i/>
          <w:iCs/>
        </w:rPr>
        <w:t xml:space="preserve">Learning</w:t>
      </w:r>
      <w:r>
        <w:t xml:space="preserve"> </w:t>
      </w:r>
      <w:r>
        <w:t xml:space="preserve">(knowledge or</w:t>
      </w:r>
      <w:r>
        <w:t xml:space="preserve"> </w:t>
      </w:r>
      <w:r>
        <w:t xml:space="preserve">skill acquisition),</w:t>
      </w:r>
      <w:r>
        <w:t xml:space="preserve"> </w:t>
      </w:r>
      <w:r>
        <w:rPr>
          <w:i/>
          <w:iCs/>
        </w:rPr>
        <w:t xml:space="preserve">Behaviour</w:t>
      </w:r>
      <w:r>
        <w:t xml:space="preserve"> </w:t>
      </w:r>
      <w:r>
        <w:t xml:space="preserve">(transfer of training to the workplace)</w:t>
      </w:r>
      <w:r>
        <w:t xml:space="preserve"> </w:t>
      </w:r>
      <w:r>
        <w:t xml:space="preserve">and</w:t>
      </w:r>
      <w:r>
        <w:t xml:space="preserve"> </w:t>
      </w:r>
      <w:r>
        <w:rPr>
          <w:i/>
          <w:iCs/>
        </w:rPr>
        <w:t xml:space="preserve">Results</w:t>
      </w:r>
      <w:r>
        <w:t xml:space="preserve"> </w:t>
      </w:r>
      <w:r>
        <w:t xml:space="preserve">(organisational outcomes). The simplicity of the model</w:t>
      </w:r>
      <w:r>
        <w:t xml:space="preserve"> </w:t>
      </w:r>
      <w:r>
        <w:t xml:space="preserve">explains its longevity, but it has also drawn substantial criticism for</w:t>
      </w:r>
      <w:r>
        <w:t xml:space="preserve"> </w:t>
      </w:r>
      <w:r>
        <w:t xml:space="preserve">treating the four levels as a linear causal chain</w:t>
      </w:r>
      <w:r>
        <w:t xml:space="preserve"> </w:t>
      </w:r>
      <w:r>
        <w:t xml:space="preserve">(Patel et al. 2023; Fernández-Delgado and Cernadas 2024)</w:t>
      </w:r>
      <w:r>
        <w:t xml:space="preserve">.</w:t>
      </w:r>
    </w:p>
    <w:p>
      <w:pPr>
        <w:pStyle w:val="BodyText"/>
      </w:pPr>
      <w:r>
        <w:t xml:space="preserve">Contemporary work has refined the model along three axes. First, attribution</w:t>
      </w:r>
      <w:r>
        <w:t xml:space="preserve"> </w:t>
      </w:r>
      <w:r>
        <w:t xml:space="preserve">methods such as SHAP-based causal analysis and quasi-experimental design have</w:t>
      </w:r>
      <w:r>
        <w:t xml:space="preserve"> </w:t>
      </w:r>
      <w:r>
        <w:t xml:space="preserve">been proposed to isolate the unique contribution of training when many other</w:t>
      </w:r>
      <w:r>
        <w:t xml:space="preserve"> </w:t>
      </w:r>
      <w:r>
        <w:t xml:space="preserve">variables change simultaneously</w:t>
      </w:r>
      <w:r>
        <w:t xml:space="preserve"> </w:t>
      </w:r>
      <w:r>
        <w:t xml:space="preserve">(Fernández-Delgado and Cernadas 2024)</w:t>
      </w:r>
      <w:r>
        <w:t xml:space="preserve">. Second, predictive</w:t>
      </w:r>
      <w:r>
        <w:t xml:space="preserve"> </w:t>
      </w:r>
      <w:r>
        <w:t xml:space="preserve">extensions have been developed to forecast Level 3 and Level 4 outcomes from</w:t>
      </w:r>
      <w:r>
        <w:t xml:space="preserve"> </w:t>
      </w:r>
      <w:r>
        <w:t xml:space="preserve">Level 1 and Level 2 signals, enabling more proactive management</w:t>
      </w:r>
      <w:r>
        <w:t xml:space="preserve"> </w:t>
      </w:r>
      <w:r>
        <w:t xml:space="preserve">(Peterson 2025)</w:t>
      </w:r>
      <w:r>
        <w:t xml:space="preserve">. Third, integrative variants have linked Kirkpatrick to</w:t>
      </w:r>
      <w:r>
        <w:t xml:space="preserve"> </w:t>
      </w:r>
      <w:r>
        <w:t xml:space="preserve">safety culture, human-capital metrics and sustainability indicators</w:t>
      </w:r>
      <w:r>
        <w:t xml:space="preserve"> </w:t>
      </w:r>
      <w:r>
        <w:t xml:space="preserve">(Sousa et al. 2025; Yang and Park 2024)</w:t>
      </w:r>
      <w:r>
        <w:t xml:space="preserve">. Despite these advances, empirical applications in</w:t>
      </w:r>
      <w:r>
        <w:t xml:space="preserve"> </w:t>
      </w:r>
      <w:r>
        <w:t xml:space="preserve">regulated heavy-asset sectors remain limited.</w:t>
      </w:r>
    </w:p>
    <w:bookmarkEnd w:id="13"/>
    <w:bookmarkStart w:id="14" w:name="subsec:aviation-training"/>
    <w:p>
      <w:pPr>
        <w:pStyle w:val="Heading2"/>
      </w:pPr>
      <w:r>
        <w:t xml:space="preserve">Aviation maintenance training: regulatory imperatives and empirical shortfalls</w:t>
      </w:r>
    </w:p>
    <w:p>
      <w:pPr>
        <w:pStyle w:val="FirstParagraph"/>
      </w:pPr>
      <w:r>
        <w:t xml:space="preserve">Aviation MRO is regulated by a multi-level architecture that originates in</w:t>
      </w:r>
      <w:r>
        <w:t xml:space="preserve"> </w:t>
      </w:r>
      <w:r>
        <w:t xml:space="preserve">the ICAO Convention on International Civil Aviation, is implemented by the</w:t>
      </w:r>
      <w:r>
        <w:t xml:space="preserve"> </w:t>
      </w:r>
      <w:r>
        <w:t xml:space="preserve">FAA, EASA, ANAC and other civil aviation authorities (CAA), and</w:t>
      </w:r>
      <w:r>
        <w:t xml:space="preserve"> </w:t>
      </w:r>
      <w:r>
        <w:t xml:space="preserve">operationalised by individual airlines, airports and MRO facilities</w:t>
      </w:r>
      <w:r>
        <w:t xml:space="preserve"> </w:t>
      </w:r>
      <w:r>
        <w:t xml:space="preserve">through their Safety Management System (SMS) manuals</w:t>
      </w:r>
      <w:r>
        <w:t xml:space="preserve"> </w:t>
      </w:r>
      <w:r>
        <w:t xml:space="preserve">(Federal Aviation Administration 2024; European Union Aviation Safety Agency 2025)</w:t>
      </w:r>
      <w:r>
        <w:t xml:space="preserve">. In parallel, the aerospace quality standard</w:t>
      </w:r>
      <w:r>
        <w:t xml:space="preserve"> </w:t>
      </w:r>
      <w:r>
        <w:t xml:space="preserve">AS9100 imposes specific requirements on the training process under its</w:t>
      </w:r>
      <w:r>
        <w:t xml:space="preserve"> </w:t>
      </w:r>
      <w:r>
        <w:t xml:space="preserve">clauses on resources (7.1), competence (7.2), awareness (7.3) and</w:t>
      </w:r>
      <w:r>
        <w:t xml:space="preserve"> </w:t>
      </w:r>
      <w:r>
        <w:t xml:space="preserve">communication (7.4)</w:t>
      </w:r>
      <w:r>
        <w:t xml:space="preserve"> </w:t>
      </w:r>
      <w:r>
        <w:t xml:space="preserve">(Oschman 2017)</w:t>
      </w:r>
      <w:r>
        <w:t xml:space="preserve">.</w:t>
      </w:r>
    </w:p>
    <w:p>
      <w:pPr>
        <w:pStyle w:val="BodyText"/>
      </w:pPr>
      <w:r>
        <w:t xml:space="preserve">Empirical work consistently reports that compliance with these requirements</w:t>
      </w:r>
      <w:r>
        <w:t xml:space="preserve"> </w:t>
      </w:r>
      <w:r>
        <w:t xml:space="preserve">does not automatically translate into reduced maintenance error.</w:t>
      </w:r>
      <w:r>
        <w:t xml:space="preserve"> </w:t>
      </w:r>
      <w:r>
        <w:t xml:space="preserve">Nakamura et al. (2024)</w:t>
      </w:r>
      <w:r>
        <w:t xml:space="preserve"> </w:t>
      </w:r>
      <w:r>
        <w:t xml:space="preserve">document a</w:t>
      </w:r>
      <w:r>
        <w:t xml:space="preserve"> </w:t>
      </w:r>
      <w:r>
        <w:rPr>
          <w:i/>
          <w:iCs/>
        </w:rPr>
        <w:t xml:space="preserve">compliance paradox</w:t>
      </w:r>
      <w:r>
        <w:t xml:space="preserve"> </w:t>
      </w:r>
      <w:r>
        <w:t xml:space="preserve">whereby</w:t>
      </w:r>
      <w:r>
        <w:t xml:space="preserve"> </w:t>
      </w:r>
      <w:r>
        <w:t xml:space="preserve">organisations satisfy regulatory documentation requirements while their</w:t>
      </w:r>
      <w:r>
        <w:t xml:space="preserve"> </w:t>
      </w:r>
      <w:r>
        <w:t xml:space="preserve">underlying behavioural and outcome metrics remain stagnant.</w:t>
      </w:r>
      <w:r>
        <w:t xml:space="preserve"> </w:t>
      </w:r>
      <w:r>
        <w:t xml:space="preserve">O’Connor et al. (2024)</w:t>
      </w:r>
      <w:r>
        <w:t xml:space="preserve"> </w:t>
      </w:r>
      <w:r>
        <w:t xml:space="preserve">highlight the moderating role of safety culture in</w:t>
      </w:r>
      <w:r>
        <w:t xml:space="preserve"> </w:t>
      </w:r>
      <w:r>
        <w:t xml:space="preserve">determining whether training transfers to operational behaviour, while</w:t>
      </w:r>
      <w:r>
        <w:t xml:space="preserve"> </w:t>
      </w:r>
      <w:r>
        <w:t xml:space="preserve">Boyd and Stolzer (2015)</w:t>
      </w:r>
      <w:r>
        <w:t xml:space="preserve"> </w:t>
      </w:r>
      <w:r>
        <w:t xml:space="preserve">show that maintenance-related accident rates have plateaued</w:t>
      </w:r>
      <w:r>
        <w:t xml:space="preserve"> </w:t>
      </w:r>
      <w:r>
        <w:t xml:space="preserve">over the past two decades despite expanded training budgets. Recent</w:t>
      </w:r>
      <w:r>
        <w:t xml:space="preserve"> </w:t>
      </w:r>
      <w:r>
        <w:t xml:space="preserve">reviews specific to MRO economics indicate that quality-cost reductions</w:t>
      </w:r>
      <w:r>
        <w:t xml:space="preserve"> </w:t>
      </w:r>
      <w:r>
        <w:t xml:space="preserve">from training are achievable but require systematic evaluation beyond</w:t>
      </w:r>
      <w:r>
        <w:t xml:space="preserve"> </w:t>
      </w:r>
      <w:r>
        <w:t xml:space="preserve">Level 1</w:t>
      </w:r>
      <w:r>
        <w:t xml:space="preserve"> </w:t>
      </w:r>
      <w:r>
        <w:t xml:space="preserve">(Zhang et al. 2025; García and López 2024)</w:t>
      </w:r>
      <w:r>
        <w:t xml:space="preserve">.</w:t>
      </w:r>
    </w:p>
    <w:bookmarkEnd w:id="14"/>
    <w:bookmarkStart w:id="15" w:name="subsec:human-factors"/>
    <w:p>
      <w:pPr>
        <w:pStyle w:val="Heading2"/>
      </w:pPr>
      <w:r>
        <w:t xml:space="preserve">Human factors and socio-technical systems in maintenance</w:t>
      </w:r>
    </w:p>
    <w:p>
      <w:pPr>
        <w:pStyle w:val="FirstParagraph"/>
      </w:pPr>
      <w:r>
        <w:t xml:space="preserve">The contemporary understanding of maintenance error rests on the recognition</w:t>
      </w:r>
      <w:r>
        <w:t xml:space="preserve"> </w:t>
      </w:r>
      <w:r>
        <w:t xml:space="preserve">that errors are properties of socio-technical systems rather than properties</w:t>
      </w:r>
      <w:r>
        <w:t xml:space="preserve"> </w:t>
      </w:r>
      <w:r>
        <w:t xml:space="preserve">of individuals.</w:t>
      </w:r>
      <w:r>
        <w:t xml:space="preserve"> </w:t>
      </w:r>
      <w:r>
        <w:t xml:space="preserve">Reason (2016)</w:t>
      </w:r>
      <w:r>
        <w:t xml:space="preserve"> </w:t>
      </w:r>
      <w:r>
        <w:t xml:space="preserve">provides the canonical model of latent and</w:t>
      </w:r>
      <w:r>
        <w:t xml:space="preserve"> </w:t>
      </w:r>
      <w:r>
        <w:t xml:space="preserve">active failures, recently extended by</w:t>
      </w:r>
      <w:r>
        <w:t xml:space="preserve"> </w:t>
      </w:r>
      <w:r>
        <w:t xml:space="preserve">Leveson (2024)</w:t>
      </w:r>
      <w:r>
        <w:t xml:space="preserve"> </w:t>
      </w:r>
      <w:r>
        <w:t xml:space="preserve">into systems-theory</w:t>
      </w:r>
      <w:r>
        <w:t xml:space="preserve"> </w:t>
      </w:r>
      <w:r>
        <w:t xml:space="preserve">formulations that emphasise hierarchical control and feedback loops.</w:t>
      </w:r>
      <w:r>
        <w:t xml:space="preserve"> </w:t>
      </w:r>
      <w:r>
        <w:t xml:space="preserve">Dismukes (2023)</w:t>
      </w:r>
      <w:r>
        <w:t xml:space="preserve"> </w:t>
      </w:r>
      <w:r>
        <w:t xml:space="preserve">adds cognitive depth, showing that procedural deviations</w:t>
      </w:r>
      <w:r>
        <w:t xml:space="preserve"> </w:t>
      </w:r>
      <w:r>
        <w:t xml:space="preserve">in maintenance frequently originate from attentional bottlenecks rather than</w:t>
      </w:r>
      <w:r>
        <w:t xml:space="preserve"> </w:t>
      </w:r>
      <w:r>
        <w:t xml:space="preserve">from lack of knowledge, which has direct implications for the design of</w:t>
      </w:r>
      <w:r>
        <w:t xml:space="preserve"> </w:t>
      </w:r>
      <w:r>
        <w:t xml:space="preserve">training and assessment.</w:t>
      </w:r>
    </w:p>
    <w:p>
      <w:pPr>
        <w:pStyle w:val="BodyText"/>
      </w:pPr>
      <w:r>
        <w:t xml:space="preserve">The relevance of this stream of literature for the present case study is</w:t>
      </w:r>
      <w:r>
        <w:t xml:space="preserve"> </w:t>
      </w:r>
      <w:r>
        <w:t xml:space="preserve">twofold. First, it justifies why a Level 2 (Learning) outcome alone does not</w:t>
      </w:r>
      <w:r>
        <w:t xml:space="preserve"> </w:t>
      </w:r>
      <w:r>
        <w:t xml:space="preserve">guarantee a Level 3 (Behaviour) outcome — attention, fatigue, time pressure</w:t>
      </w:r>
      <w:r>
        <w:t xml:space="preserve"> </w:t>
      </w:r>
      <w:r>
        <w:t xml:space="preserve">and supervision practice all intervene. Second, it grounds the choice of</w:t>
      </w:r>
      <w:r>
        <w:t xml:space="preserve"> </w:t>
      </w:r>
      <w:r>
        <w:t xml:space="preserve">combining post-training questionnaires with direct on-the-job observation in</w:t>
      </w:r>
      <w:r>
        <w:t xml:space="preserve"> </w:t>
      </w:r>
      <w:r>
        <w:t xml:space="preserve">the data collection design (Section </w:t>
      </w:r>
      <w:hyperlink w:anchor="sec:methodology">
        <w:r>
          <w:rPr>
            <w:rStyle w:val="Hyperlink"/>
          </w:rPr>
          <w:t xml:space="preserve">3</w:t>
        </w:r>
      </w:hyperlink>
      <w:r>
        <w:t xml:space="preserve">).</w:t>
      </w:r>
    </w:p>
    <w:bookmarkEnd w:id="15"/>
    <w:bookmarkStart w:id="16" w:name="subsec:tech-enablers"/>
    <w:p>
      <w:pPr>
        <w:pStyle w:val="Heading2"/>
      </w:pPr>
      <w:r>
        <w:t xml:space="preserve">Technological enablers for next-generation evaluation</w:t>
      </w:r>
    </w:p>
    <w:p>
      <w:pPr>
        <w:pStyle w:val="FirstParagraph"/>
      </w:pPr>
      <w:r>
        <w:t xml:space="preserve">Recent work indicates that digital tools — notably digital twins for</w:t>
      </w:r>
      <w:r>
        <w:t xml:space="preserve"> </w:t>
      </w:r>
      <w:r>
        <w:t xml:space="preserve">procedural rehearsal</w:t>
      </w:r>
      <w:r>
        <w:t xml:space="preserve"> </w:t>
      </w:r>
      <w:r>
        <w:t xml:space="preserve">(García and López 2024)</w:t>
      </w:r>
      <w:r>
        <w:t xml:space="preserve"> </w:t>
      </w:r>
      <w:r>
        <w:t xml:space="preserve">and causal-attribution methods</w:t>
      </w:r>
      <w:r>
        <w:t xml:space="preserve"> </w:t>
      </w:r>
      <w:r>
        <w:t xml:space="preserve">(Fernández-Delgado and Cernadas 2024)</w:t>
      </w:r>
      <w:r>
        <w:t xml:space="preserve"> </w:t>
      </w:r>
      <w:r>
        <w:t xml:space="preserve">— can extend training evaluation beyond</w:t>
      </w:r>
      <w:r>
        <w:t xml:space="preserve"> </w:t>
      </w:r>
      <w:r>
        <w:t xml:space="preserve">paper-based satisfaction surveys. While these enablers are not used in</w:t>
      </w:r>
      <w:r>
        <w:t xml:space="preserve"> </w:t>
      </w:r>
      <w:r>
        <w:t xml:space="preserve">the present case study, they are revisited in</w:t>
      </w:r>
      <w:r>
        <w:t xml:space="preserve"> </w:t>
      </w:r>
      <w:r>
        <w:t xml:space="preserve">Section </w:t>
      </w:r>
      <w:hyperlink w:anchor="subsec:limitations">
        <w:r>
          <w:rPr>
            <w:rStyle w:val="Hyperlink"/>
          </w:rPr>
          <w:t xml:space="preserve">8.4</w:t>
        </w:r>
      </w:hyperlink>
      <w:r>
        <w:t xml:space="preserve"> </w:t>
      </w:r>
      <w:r>
        <w:t xml:space="preserve">as future-research directions for</w:t>
      </w:r>
      <w:r>
        <w:t xml:space="preserve"> </w:t>
      </w:r>
      <w:r>
        <w:t xml:space="preserve">disentangling training effects from contemporaneous confounders and for</w:t>
      </w:r>
      <w:r>
        <w:t xml:space="preserve"> </w:t>
      </w:r>
      <w:r>
        <w:t xml:space="preserve">continuous Level 3 measurement.</w:t>
      </w:r>
    </w:p>
    <w:bookmarkEnd w:id="16"/>
    <w:bookmarkStart w:id="17" w:name="subsec:bridge"/>
    <w:p>
      <w:pPr>
        <w:pStyle w:val="Heading2"/>
      </w:pPr>
      <w:r>
        <w:t xml:space="preserve">Bridging theory to practice: the safety–sustainability nexus</w:t>
      </w:r>
    </w:p>
    <w:p>
      <w:pPr>
        <w:pStyle w:val="FirstParagraph"/>
      </w:pPr>
      <w:r>
        <w:t xml:space="preserve">The most recent literature explicitly links human-capital development in</w:t>
      </w:r>
      <w:r>
        <w:t xml:space="preserve"> </w:t>
      </w:r>
      <w:r>
        <w:t xml:space="preserve">high-reliability organisations with cleaner-production and circular-economy</w:t>
      </w:r>
      <w:r>
        <w:t xml:space="preserve"> </w:t>
      </w:r>
      <w:r>
        <w:t xml:space="preserve">outcomes</w:t>
      </w:r>
      <w:r>
        <w:t xml:space="preserve"> </w:t>
      </w:r>
      <w:r>
        <w:t xml:space="preserve">(Sousa et al. 2025; Yang and Park 2024; Chen et al. 2023)</w:t>
      </w:r>
      <w:r>
        <w:t xml:space="preserve">. The argument runs as follows:</w:t>
      </w:r>
      <w:r>
        <w:t xml:space="preserve"> </w:t>
      </w:r>
      <w:r>
        <w:t xml:space="preserve">every prevented error reduces the consumption of raw material, energy and</w:t>
      </w:r>
      <w:r>
        <w:t xml:space="preserve"> </w:t>
      </w:r>
      <w:r>
        <w:t xml:space="preserve">labour associated with rework, scrap, warranty and concession. When the</w:t>
      </w:r>
      <w:r>
        <w:t xml:space="preserve"> </w:t>
      </w:r>
      <w:r>
        <w:t xml:space="preserve">prevention mechanism is training, the resulting savings should be visible in</w:t>
      </w:r>
      <w:r>
        <w:t xml:space="preserve"> </w:t>
      </w:r>
      <w:r>
        <w:t xml:space="preserve">quality-cost accounts and in ESG disclosures.</w:t>
      </w:r>
    </w:p>
    <w:bookmarkEnd w:id="17"/>
    <w:bookmarkStart w:id="18" w:name="subsec:gap"/>
    <w:p>
      <w:pPr>
        <w:pStyle w:val="Heading2"/>
      </w:pPr>
      <w:r>
        <w:t xml:space="preserve">Research gap</w:t>
      </w:r>
    </w:p>
    <w:p>
      <w:pPr>
        <w:pStyle w:val="FirstParagraph"/>
      </w:pPr>
      <w:r>
        <w:t xml:space="preserve">Three observations summarise the gap targeted by this paper:</w:t>
      </w:r>
    </w:p>
    <w:p>
      <w:pPr>
        <w:numPr>
          <w:ilvl w:val="0"/>
          <w:numId w:val="1001"/>
        </w:numPr>
      </w:pPr>
      <w:r>
        <w:t xml:space="preserve">Despite the maturity of Kirkpatrick, empirical operationalisation</w:t>
      </w:r>
      <w:r>
        <w:t xml:space="preserve"> </w:t>
      </w:r>
      <w:r>
        <w:t xml:space="preserve">beyond Level 2 in AS9100-certified MRO facilities is rare and</w:t>
      </w:r>
      <w:r>
        <w:t xml:space="preserve"> </w:t>
      </w:r>
      <w:r>
        <w:t xml:space="preserve">the few existing studies report only safety or only economic</w:t>
      </w:r>
      <w:r>
        <w:t xml:space="preserve"> </w:t>
      </w:r>
      <w:r>
        <w:t xml:space="preserve">outcomes, not both.</w:t>
      </w:r>
    </w:p>
    <w:p>
      <w:pPr>
        <w:numPr>
          <w:ilvl w:val="0"/>
          <w:numId w:val="1001"/>
        </w:numPr>
      </w:pPr>
      <w:r>
        <w:t xml:space="preserve">Regulatory frameworks (FAA, EASA, ANAC) mandate training but</w:t>
      </w:r>
      <w:r>
        <w:t xml:space="preserve"> </w:t>
      </w:r>
      <w:r>
        <w:t xml:space="preserve">do not prescribe how to evaluate it across the four Kirkpatrick</w:t>
      </w:r>
      <w:r>
        <w:t xml:space="preserve"> </w:t>
      </w:r>
      <w:r>
        <w:t xml:space="preserve">levels, creating a wide variance in practice.</w:t>
      </w:r>
    </w:p>
    <w:p>
      <w:pPr>
        <w:numPr>
          <w:ilvl w:val="0"/>
          <w:numId w:val="1001"/>
        </w:numPr>
      </w:pPr>
      <w:r>
        <w:t xml:space="preserve">The literature linking training effectiveness to sustainability</w:t>
      </w:r>
      <w:r>
        <w:t xml:space="preserve"> </w:t>
      </w:r>
      <w:r>
        <w:t xml:space="preserve">outcomes in aviation MRO is incipient: the explicit translation of</w:t>
      </w:r>
      <w:r>
        <w:t xml:space="preserve"> </w:t>
      </w:r>
      <w:r>
        <w:t xml:space="preserve">Levels 3 and 4 into material, energy and waste indicators has not yet</w:t>
      </w:r>
      <w:r>
        <w:t xml:space="preserve"> </w:t>
      </w:r>
      <w:r>
        <w:t xml:space="preserve">been documented in a single longitudinal case.</w:t>
      </w:r>
    </w:p>
    <w:p>
      <w:pPr>
        <w:pStyle w:val="FirstParagraph"/>
      </w:pPr>
      <w:r>
        <w:t xml:space="preserve">The present case study addresses these three observations directly through</w:t>
      </w:r>
      <w:r>
        <w:t xml:space="preserve"> </w:t>
      </w:r>
      <w:r>
        <w:t xml:space="preserve">the design described in Section </w:t>
      </w:r>
      <w:hyperlink w:anchor="sec:methodology">
        <w:r>
          <w:rPr>
            <w:rStyle w:val="Hyperlink"/>
          </w:rPr>
          <w:t xml:space="preserve">3</w:t>
        </w:r>
      </w:hyperlink>
      <w:r>
        <w:t xml:space="preserve">.</w:t>
      </w:r>
    </w:p>
    <w:bookmarkEnd w:id="18"/>
    <w:bookmarkEnd w:id="19"/>
    <w:bookmarkStart w:id="28" w:name="sec:methodology"/>
    <w:p>
      <w:pPr>
        <w:pStyle w:val="Heading1"/>
      </w:pPr>
      <w:r>
        <w:t xml:space="preserve">Methodology</w:t>
      </w:r>
    </w:p>
    <w:bookmarkStart w:id="20" w:name="subsec:design"/>
    <w:p>
      <w:pPr>
        <w:pStyle w:val="Heading2"/>
      </w:pPr>
      <w:r>
        <w:t xml:space="preserve">Research design</w:t>
      </w:r>
    </w:p>
    <w:p>
      <w:pPr>
        <w:pStyle w:val="FirstParagraph"/>
      </w:pPr>
      <w:r>
        <w:t xml:space="preserve">The study adopts a longitudinal single-case study design</w:t>
      </w:r>
      <w:r>
        <w:t xml:space="preserve"> </w:t>
      </w:r>
      <w:r>
        <w:t xml:space="preserve">(Patel et al. 2023; O’Reilly et al. 2024)</w:t>
      </w:r>
      <w:r>
        <w:t xml:space="preserve"> </w:t>
      </w:r>
      <w:r>
        <w:t xml:space="preserve">conducted over twelve calendar months at a</w:t>
      </w:r>
      <w:r>
        <w:t xml:space="preserve"> </w:t>
      </w:r>
      <w:r>
        <w:t xml:space="preserve">multinational aircraft-engine MRO facility certified under AS9100 and</w:t>
      </w:r>
      <w:r>
        <w:t xml:space="preserve"> </w:t>
      </w:r>
      <w:r>
        <w:t xml:space="preserve">operating under regulatory oversight of an ICAO-aligned civil aviation</w:t>
      </w:r>
      <w:r>
        <w:t xml:space="preserve"> </w:t>
      </w:r>
      <w:r>
        <w:t xml:space="preserve">authority. The case-study approach is appropriate because the research</w:t>
      </w:r>
      <w:r>
        <w:t xml:space="preserve"> </w:t>
      </w:r>
      <w:r>
        <w:t xml:space="preserve">questions are explanatory (</w:t>
      </w:r>
      <w:r>
        <w:rPr>
          <w:i/>
          <w:iCs/>
        </w:rPr>
        <w:t xml:space="preserve">how</w:t>
      </w:r>
      <w:r>
        <w:t xml:space="preserve"> </w:t>
      </w:r>
      <w:r>
        <w:t xml:space="preserve">and</w:t>
      </w:r>
      <w:r>
        <w:t xml:space="preserve"> </w:t>
      </w:r>
      <w:r>
        <w:rPr>
          <w:i/>
          <w:iCs/>
        </w:rPr>
        <w:t xml:space="preserve">what changes</w:t>
      </w:r>
      <w:r>
        <w:t xml:space="preserve">), the</w:t>
      </w:r>
      <w:r>
        <w:t xml:space="preserve"> </w:t>
      </w:r>
      <w:r>
        <w:t xml:space="preserve">unit of analysis (the training process) is contemporary, embedded in its</w:t>
      </w:r>
      <w:r>
        <w:t xml:space="preserve"> </w:t>
      </w:r>
      <w:r>
        <w:t xml:space="preserve">operational context, and not controllable by the researchers.</w:t>
      </w:r>
    </w:p>
    <w:p>
      <w:pPr>
        <w:pStyle w:val="BodyText"/>
      </w:pPr>
      <w:r>
        <w:t xml:space="preserve">The intervention consists of the operationalisation of the Kirkpatrick</w:t>
      </w:r>
      <w:r>
        <w:t xml:space="preserve"> </w:t>
      </w:r>
      <w:r>
        <w:t xml:space="preserve">four-level model within the existing training process. The study compares</w:t>
      </w:r>
      <w:r>
        <w:t xml:space="preserve"> </w:t>
      </w:r>
      <w:r>
        <w:t xml:space="preserve">operational outcomes</w:t>
      </w:r>
      <w:r>
        <w:t xml:space="preserve"> </w:t>
      </w:r>
      <w:r>
        <w:rPr>
          <w:i/>
          <w:iCs/>
        </w:rPr>
        <w:t xml:space="preserve">before</w:t>
      </w:r>
      <w:r>
        <w:t xml:space="preserve"> </w:t>
      </w:r>
      <w:r>
        <w:t xml:space="preserve">the intervention (baseline, derived from</w:t>
      </w:r>
      <w:r>
        <w:t xml:space="preserve"> </w:t>
      </w:r>
      <w:r>
        <w:t xml:space="preserve">the facility’s existing quality records for the preceding twelve months) and</w:t>
      </w:r>
      <w:r>
        <w:t xml:space="preserve"> </w:t>
      </w:r>
      <w:r>
        <w:rPr>
          <w:i/>
          <w:iCs/>
        </w:rPr>
        <w:t xml:space="preserve">after</w:t>
      </w:r>
      <w:r>
        <w:t xml:space="preserve"> </w:t>
      </w:r>
      <w:r>
        <w:t xml:space="preserve">the intervention (intervention year), holding workforce size</w:t>
      </w:r>
      <w:r>
        <w:t xml:space="preserve"> </w:t>
      </w:r>
      <w:r>
        <w:t xml:space="preserve">and engine programmes constant to the extent feasible. The redesigned process</w:t>
      </w:r>
      <w:r>
        <w:t xml:space="preserve"> </w:t>
      </w:r>
      <w:r>
        <w:t xml:space="preserve">is presented in Section </w:t>
      </w:r>
      <w:hyperlink w:anchor="subsec:results-process">
        <w:r>
          <w:rPr>
            <w:rStyle w:val="Hyperlink"/>
          </w:rPr>
          <w:t xml:space="preserve">4.3</w:t>
        </w:r>
      </w:hyperlink>
      <w:r>
        <w:t xml:space="preserve">.</w:t>
      </w:r>
    </w:p>
    <w:bookmarkEnd w:id="20"/>
    <w:bookmarkStart w:id="24" w:name="subsec:data"/>
    <w:p>
      <w:pPr>
        <w:pStyle w:val="Heading2"/>
      </w:pPr>
      <w:r>
        <w:t xml:space="preserve">Data collection</w:t>
      </w:r>
    </w:p>
    <w:p>
      <w:pPr>
        <w:pStyle w:val="FirstParagraph"/>
      </w:pPr>
      <w:r>
        <w:t xml:space="preserve">Data collection combined four sources to support triangulation:</w:t>
      </w:r>
    </w:p>
    <w:p>
      <w:pPr>
        <w:numPr>
          <w:ilvl w:val="0"/>
          <w:numId w:val="1002"/>
        </w:numPr>
      </w:pPr>
      <w:r>
        <w:rPr>
          <w:b/>
          <w:bCs/>
        </w:rPr>
        <w:t xml:space="preserve">Post-training questionnaires</w:t>
      </w:r>
      <w:r>
        <w:t xml:space="preserve"> </w:t>
      </w:r>
      <w:r>
        <w:t xml:space="preserve">(Level 1 and Level 2): a</w:t>
      </w:r>
      <w:r>
        <w:t xml:space="preserve"> </w:t>
      </w:r>
      <w:r>
        <w:t xml:space="preserve">seven-item satisfaction questionnaire administered immediately after</w:t>
      </w:r>
      <w:r>
        <w:t xml:space="preserve"> </w:t>
      </w:r>
      <w:r>
        <w:t xml:space="preserve">every training session (n = 10 sampled sessions across the year) and</w:t>
      </w:r>
      <w:r>
        <w:t xml:space="preserve"> </w:t>
      </w:r>
      <w:r>
        <w:t xml:space="preserve">a knowledge assessment with a pre-defined pass mark of 70/100</w:t>
      </w:r>
      <w:r>
        <w:t xml:space="preserve"> </w:t>
      </w:r>
      <w:r>
        <w:t xml:space="preserve">administered to all participants (n = 21 employees in the sampled</w:t>
      </w:r>
      <w:r>
        <w:t xml:space="preserve"> </w:t>
      </w:r>
      <w:r>
        <w:t xml:space="preserve">cohort). The seven-item instrument was adapted from established</w:t>
      </w:r>
      <w:r>
        <w:t xml:space="preserve"> </w:t>
      </w:r>
      <w:r>
        <w:t xml:space="preserve">post-training evaluation scales</w:t>
      </w:r>
      <w:r>
        <w:t xml:space="preserve"> </w:t>
      </w:r>
      <w:r>
        <w:t xml:space="preserve">(Kirkpatrick and Kirkpatrick 2010; Patel et al. 2023)</w:t>
      </w:r>
      <w:r>
        <w:t xml:space="preserve">,</w:t>
      </w:r>
      <w:r>
        <w:t xml:space="preserve"> </w:t>
      </w:r>
      <w:r>
        <w:t xml:space="preserve">pilot-tested with twelve technicians prior to deployment and</w:t>
      </w:r>
      <w:r>
        <w:t xml:space="preserve"> </w:t>
      </w:r>
      <w:r>
        <w:t xml:space="preserve">achieved an internal consistency of Cronbach’s</w:t>
      </w:r>
      <w:r>
        <w:t xml:space="preserve"> </w:t>
      </w:r>
      <m:oMath>
        <m:r>
          <m:t>α</m:t>
        </m:r>
        <m:r>
          <m:rPr>
            <m:sty m:val="p"/>
          </m:rPr>
          <m:t>=</m:t>
        </m:r>
        <m:r>
          <m:t>0.82</m:t>
        </m:r>
      </m:oMath>
      <w:r>
        <w:t xml:space="preserve"> </w:t>
      </w:r>
      <w:r>
        <w:t xml:space="preserve">in</w:t>
      </w:r>
      <w:r>
        <w:t xml:space="preserve"> </w:t>
      </w:r>
      <w:r>
        <w:t xml:space="preserve">the present sample (above the conventional 0.70 threshold).</w:t>
      </w:r>
    </w:p>
    <w:p>
      <w:pPr>
        <w:numPr>
          <w:ilvl w:val="0"/>
          <w:numId w:val="1002"/>
        </w:numPr>
      </w:pPr>
      <w:r>
        <w:rPr>
          <w:b/>
          <w:bCs/>
        </w:rPr>
        <w:t xml:space="preserve">On-the-job observations</w:t>
      </w:r>
      <w:r>
        <w:t xml:space="preserve"> </w:t>
      </w:r>
      <w:r>
        <w:t xml:space="preserve">(Level 3): structured behaviour</w:t>
      </w:r>
      <w:r>
        <w:t xml:space="preserve"> </w:t>
      </w:r>
      <w:r>
        <w:t xml:space="preserve">observations by trained supervisors covering the application of</w:t>
      </w:r>
      <w:r>
        <w:t xml:space="preserve"> </w:t>
      </w:r>
      <w:r>
        <w:t xml:space="preserve">procedural knowledge during the first 90 days after each training</w:t>
      </w:r>
      <w:r>
        <w:t xml:space="preserve"> </w:t>
      </w:r>
      <w:r>
        <w:t xml:space="preserve">intervention. Each observation used a twelve-item checklist linked</w:t>
      </w:r>
      <w:r>
        <w:t xml:space="preserve"> </w:t>
      </w:r>
      <w:r>
        <w:t xml:space="preserve">to procedural standards. Inter-rater reliability was assessed during</w:t>
      </w:r>
      <w:r>
        <w:t xml:space="preserve"> </w:t>
      </w:r>
      <w:r>
        <w:t xml:space="preserve">a one-day calibration exercise between two independent supervisors</w:t>
      </w:r>
      <w:r>
        <w:t xml:space="preserve"> </w:t>
      </w:r>
      <w:r>
        <w:t xml:space="preserve">on the same set of 20 task observations and produced a Cohen’s</w:t>
      </w:r>
      <w:r>
        <w:t xml:space="preserve"> </w:t>
      </w:r>
      <m:oMath>
        <m:r>
          <m:t>κ</m:t>
        </m:r>
        <m:r>
          <m:rPr>
            <m:sty m:val="p"/>
          </m:rPr>
          <m:t>=</m:t>
        </m:r>
        <m:r>
          <m:t>0.78</m:t>
        </m:r>
      </m:oMath>
      <w:r>
        <w:t xml:space="preserve">, indicating substantial agreement.</w:t>
      </w:r>
    </w:p>
    <w:p>
      <w:pPr>
        <w:numPr>
          <w:ilvl w:val="0"/>
          <w:numId w:val="1002"/>
        </w:numPr>
      </w:pPr>
      <w:r>
        <w:rPr>
          <w:b/>
          <w:bCs/>
        </w:rPr>
        <w:t xml:space="preserve">Operational metrics</w:t>
      </w:r>
      <w:r>
        <w:t xml:space="preserve"> </w:t>
      </w:r>
      <w:r>
        <w:t xml:space="preserve">(Level 4): four metrics extracted from</w:t>
      </w:r>
      <w:r>
        <w:t xml:space="preserve"> </w:t>
      </w:r>
      <w:r>
        <w:t xml:space="preserve">the facility’s enterprise resource planning (ERP) and quality</w:t>
      </w:r>
      <w:r>
        <w:t xml:space="preserve"> </w:t>
      </w:r>
      <w:r>
        <w:t xml:space="preserve">management systems — training failures, regulatory</w:t>
      </w:r>
      <w:r>
        <w:t xml:space="preserve"> </w:t>
      </w:r>
      <w:r>
        <w:t xml:space="preserve">non-conformances, quality costs and turnaround time. Operational</w:t>
      </w:r>
      <w:r>
        <w:t xml:space="preserve"> </w:t>
      </w:r>
      <w:r>
        <w:t xml:space="preserve">definitions are reported below.</w:t>
      </w:r>
    </w:p>
    <w:p>
      <w:pPr>
        <w:numPr>
          <w:ilvl w:val="0"/>
          <w:numId w:val="1002"/>
        </w:numPr>
      </w:pPr>
      <w:r>
        <w:rPr>
          <w:b/>
          <w:bCs/>
        </w:rPr>
        <w:t xml:space="preserve">Customer satisfaction surveys</w:t>
      </w:r>
      <w:r>
        <w:t xml:space="preserve"> </w:t>
      </w:r>
      <w:r>
        <w:t xml:space="preserve">(Level 4): structured surveys</w:t>
      </w:r>
      <w:r>
        <w:t xml:space="preserve"> </w:t>
      </w:r>
      <w:r>
        <w:t xml:space="preserve">administered semi-annually to four major airline customers covering</w:t>
      </w:r>
      <w:r>
        <w:t xml:space="preserve"> </w:t>
      </w:r>
      <w:r>
        <w:t xml:space="preserve">five categories (product delivery quality, technical documentation,</w:t>
      </w:r>
      <w:r>
        <w:t xml:space="preserve"> </w:t>
      </w:r>
      <w:r>
        <w:t xml:space="preserve">turnaround time, customer support and engineering team assistance).</w:t>
      </w:r>
    </w:p>
    <w:bookmarkStart w:id="21" w:name="subsubsec:rate-definitions"/>
    <w:p>
      <w:pPr>
        <w:pStyle w:val="Heading3"/>
      </w:pPr>
      <w:r>
        <w:t xml:space="preserve">Operational definitions of rate metrics</w:t>
      </w:r>
    </w:p>
    <w:p>
      <w:pPr>
        <w:pStyle w:val="FirstParagraph"/>
      </w:pPr>
      <w:r>
        <w:t xml:space="preserve">To remove ambiguity in interpretation, the rate metrics used in this study</w:t>
      </w:r>
      <w:r>
        <w:t xml:space="preserve"> </w:t>
      </w:r>
      <w:r>
        <w:t xml:space="preserve">are defined as follows:</w:t>
      </w:r>
    </w:p>
    <w:p>
      <w:pPr>
        <w:numPr>
          <w:ilvl w:val="0"/>
          <w:numId w:val="1003"/>
        </w:numPr>
      </w:pPr>
      <w:r>
        <w:rPr>
          <w:b/>
          <w:bCs/>
        </w:rPr>
        <w:t xml:space="preserve">Training-failure rate</w:t>
      </w:r>
      <w:r>
        <w:t xml:space="preserve"> </w:t>
      </w:r>
      <w:r>
        <w:t xml:space="preserve">= number of documented training</w:t>
      </w:r>
      <w:r>
        <w:t xml:space="preserve"> </w:t>
      </w:r>
      <w:r>
        <w:t xml:space="preserve">failures attributable to a knowledge or skill gap (see definition</w:t>
      </w:r>
      <w:r>
        <w:t xml:space="preserve"> </w:t>
      </w:r>
      <w:r>
        <w:t xml:space="preserve">below) divided by the total number of training-intervention exits</w:t>
      </w:r>
      <w:r>
        <w:t xml:space="preserve"> </w:t>
      </w:r>
      <w:r>
        <w:t xml:space="preserve">in the twelve-month window, expressed per 1</w:t>
      </w:r>
      <w:r>
        <w:t xml:space="preserve">,</w:t>
      </w:r>
      <w:r>
        <w:t xml:space="preserve">000 maintenance tasks</w:t>
      </w:r>
      <w:r>
        <w:t xml:space="preserve"> </w:t>
      </w:r>
      <w:r>
        <w:t xml:space="preserve">performed.</w:t>
      </w:r>
    </w:p>
    <w:p>
      <w:pPr>
        <w:numPr>
          <w:ilvl w:val="0"/>
          <w:numId w:val="1003"/>
        </w:numPr>
      </w:pPr>
      <w:r>
        <w:rPr>
          <w:b/>
          <w:bCs/>
        </w:rPr>
        <w:t xml:space="preserve">Regulatory non-conformance rate</w:t>
      </w:r>
      <w:r>
        <w:t xml:space="preserve"> </w:t>
      </w:r>
      <w:r>
        <w:t xml:space="preserve">= number of major or minor</w:t>
      </w:r>
      <w:r>
        <w:t xml:space="preserve"> </w:t>
      </w:r>
      <w:r>
        <w:t xml:space="preserve">findings issued by the civil aviation authority (CAA) during</w:t>
      </w:r>
      <w:r>
        <w:t xml:space="preserve"> </w:t>
      </w:r>
      <w:r>
        <w:t xml:space="preserve">scheduled audit cycles in the twelve-month window, indexed to the</w:t>
      </w:r>
      <w:r>
        <w:t xml:space="preserve"> </w:t>
      </w:r>
      <w:r>
        <w:t xml:space="preserve">number of audit cycles conducted.</w:t>
      </w:r>
    </w:p>
    <w:p>
      <w:pPr>
        <w:numPr>
          <w:ilvl w:val="0"/>
          <w:numId w:val="1003"/>
        </w:numPr>
      </w:pPr>
      <w:r>
        <w:rPr>
          <w:b/>
          <w:bCs/>
        </w:rPr>
        <w:t xml:space="preserve">First-attempt pass rate</w:t>
      </w:r>
      <w:r>
        <w:t xml:space="preserve"> </w:t>
      </w:r>
      <w:r>
        <w:t xml:space="preserve">(Level 2) = number of participants</w:t>
      </w:r>
      <w:r>
        <w:t xml:space="preserve"> </w:t>
      </w:r>
      <w:r>
        <w:t xml:space="preserve">who reached the 70/100 pass mark on the first attempt divided by</w:t>
      </w:r>
      <w:r>
        <w:t xml:space="preserve"> </w:t>
      </w:r>
      <w:r>
        <w:t xml:space="preserve">the total number of participants in the assessed cohort.</w:t>
      </w:r>
    </w:p>
    <w:p>
      <w:pPr>
        <w:numPr>
          <w:ilvl w:val="0"/>
          <w:numId w:val="1003"/>
        </w:numPr>
      </w:pPr>
      <w:r>
        <w:rPr>
          <w:b/>
          <w:bCs/>
        </w:rPr>
        <w:t xml:space="preserve">Work-card consultation rate</w:t>
      </w:r>
      <w:r>
        <w:t xml:space="preserve"> </w:t>
      </w:r>
      <w:r>
        <w:t xml:space="preserve">(Level 3) = proportion of</w:t>
      </w:r>
      <w:r>
        <w:t xml:space="preserve"> </w:t>
      </w:r>
      <w:r>
        <w:t xml:space="preserve">observation events in which the technician consulted the relevant</w:t>
      </w:r>
      <w:r>
        <w:t xml:space="preserve"> </w:t>
      </w:r>
      <w:r>
        <w:t xml:space="preserve">work card before initiating a non-routine task.</w:t>
      </w:r>
    </w:p>
    <w:bookmarkEnd w:id="21"/>
    <w:bookmarkStart w:id="22" w:name="subsubsec:baseline"/>
    <w:p>
      <w:pPr>
        <w:pStyle w:val="Heading3"/>
      </w:pPr>
      <w:r>
        <w:t xml:space="preserve">Baseline reconstruction and its limitations</w:t>
      </w:r>
    </w:p>
    <w:p>
      <w:pPr>
        <w:pStyle w:val="FirstParagraph"/>
      </w:pPr>
      <w:r>
        <w:t xml:space="preserve">Baseline values for the training-failure rate and the regulatory</w:t>
      </w:r>
      <w:r>
        <w:t xml:space="preserve"> </w:t>
      </w:r>
      <w:r>
        <w:t xml:space="preserve">non-conformance rate were extracted retrospectively from the facility’s</w:t>
      </w:r>
      <w:r>
        <w:t xml:space="preserve"> </w:t>
      </w:r>
      <w:r>
        <w:t xml:space="preserve">quality records using the same operational definitions adopted in the</w:t>
      </w:r>
      <w:r>
        <w:t xml:space="preserve"> </w:t>
      </w:r>
      <w:r>
        <w:t xml:space="preserve">intervention year. Baseline values for the Level 2 first-attempt pass rate</w:t>
      </w:r>
      <w:r>
        <w:t xml:space="preserve"> </w:t>
      </w:r>
      <w:r>
        <w:t xml:space="preserve">and the Level 3 work-card consultation rate were reconstructed from the</w:t>
      </w:r>
      <w:r>
        <w:t xml:space="preserve"> </w:t>
      </w:r>
      <w:r>
        <w:t xml:space="preserve">facility’s LMS records and from a sample of routine supervisor reports;</w:t>
      </w:r>
      <w:r>
        <w:t xml:space="preserve"> </w:t>
      </w:r>
      <w:r>
        <w:t xml:space="preserve">the latter were not collected with the structured observation protocol</w:t>
      </w:r>
      <w:r>
        <w:t xml:space="preserve"> </w:t>
      </w:r>
      <w:r>
        <w:t xml:space="preserve">used in the intervention year, and the resulting baseline figures are</w:t>
      </w:r>
      <w:r>
        <w:t xml:space="preserve"> </w:t>
      </w:r>
      <w:r>
        <w:t xml:space="preserve">therefore subject to a possible upward bias that the present study cannot</w:t>
      </w:r>
      <w:r>
        <w:t xml:space="preserve"> </w:t>
      </w:r>
      <w:r>
        <w:t xml:space="preserve">fully quantify. The reliability indices reported below (Cronbach’s</w:t>
      </w:r>
      <w:r>
        <w:t xml:space="preserve"> </w:t>
      </w:r>
      <m:oMath>
        <m:r>
          <m:t>α</m:t>
        </m:r>
      </m:oMath>
      <w:r>
        <w:t xml:space="preserve">, Cohen’s</w:t>
      </w:r>
      <w:r>
        <w:t xml:space="preserve"> </w:t>
      </w:r>
      <m:oMath>
        <m:r>
          <m:t>κ</m:t>
        </m:r>
      </m:oMath>
      <w:r>
        <w:t xml:space="preserve">) were calculated on the intervention-year</w:t>
      </w:r>
      <w:r>
        <w:t xml:space="preserve"> </w:t>
      </w:r>
      <w:r>
        <w:t xml:space="preserve">sample only; the baseline year did not use the same structured</w:t>
      </w:r>
      <w:r>
        <w:t xml:space="preserve"> </w:t>
      </w:r>
      <w:r>
        <w:t xml:space="preserve">instrument, so the reliability of the baseline figures is not directly</w:t>
      </w:r>
      <w:r>
        <w:t xml:space="preserve"> </w:t>
      </w:r>
      <w:r>
        <w:t xml:space="preserve">comparable.</w:t>
      </w:r>
    </w:p>
    <w:bookmarkEnd w:id="22"/>
    <w:bookmarkStart w:id="23" w:name="subsubsec:training-failure"/>
    <w:p>
      <w:pPr>
        <w:pStyle w:val="Heading3"/>
      </w:pPr>
      <w:r>
        <w:t xml:space="preserve">Operational definition of</w:t>
      </w:r>
      <w:r>
        <w:t xml:space="preserve"> </w:t>
      </w:r>
      <w:r>
        <w:rPr>
          <w:i/>
          <w:iCs/>
        </w:rPr>
        <w:t xml:space="preserve">training failure</w:t>
      </w:r>
    </w:p>
    <w:p>
      <w:pPr>
        <w:pStyle w:val="FirstParagraph"/>
      </w:pPr>
      <w:r>
        <w:t xml:space="preserve">The operational definition used throughout the study is:</w:t>
      </w:r>
    </w:p>
    <w:p>
      <w:pPr>
        <w:pStyle w:val="BlockText"/>
      </w:pPr>
      <w:r>
        <w:t xml:space="preserve">A</w:t>
      </w:r>
      <w:r>
        <w:t xml:space="preserve"> </w:t>
      </w:r>
      <w:r>
        <w:rPr>
          <w:i/>
          <w:iCs/>
        </w:rPr>
        <w:t xml:space="preserve">training failure</w:t>
      </w:r>
      <w:r>
        <w:t xml:space="preserve"> </w:t>
      </w:r>
      <w:r>
        <w:t xml:space="preserve">is an instance where a maintenance technician,</w:t>
      </w:r>
      <w:r>
        <w:t xml:space="preserve"> </w:t>
      </w:r>
      <w:r>
        <w:t xml:space="preserve">after completing a scheduled training intervention, commits a documented</w:t>
      </w:r>
      <w:r>
        <w:t xml:space="preserve"> </w:t>
      </w:r>
      <w:r>
        <w:t xml:space="preserve">procedural error within the subsequent 90-day window that is directly</w:t>
      </w:r>
      <w:r>
        <w:t xml:space="preserve"> </w:t>
      </w:r>
      <w:r>
        <w:t xml:space="preserve">attributable to a knowledge or skill gap identified in the post-training</w:t>
      </w:r>
      <w:r>
        <w:t xml:space="preserve"> </w:t>
      </w:r>
      <w:r>
        <w:t xml:space="preserve">evaluation. Errors caused by tool malfunction, supplier non-conformance or</w:t>
      </w:r>
      <w:r>
        <w:t xml:space="preserve"> </w:t>
      </w:r>
      <w:r>
        <w:t xml:space="preserve">documented changes in the standard procedure are excluded from this</w:t>
      </w:r>
      <w:r>
        <w:t xml:space="preserve"> </w:t>
      </w:r>
      <w:r>
        <w:t xml:space="preserve">definition.</w:t>
      </w:r>
    </w:p>
    <w:p>
      <w:pPr>
        <w:pStyle w:val="FirstParagraph"/>
      </w:pPr>
      <w:r>
        <w:t xml:space="preserve">Documentation of attribution is taken from the facility’s root-cause analysis</w:t>
      </w:r>
      <w:r>
        <w:t xml:space="preserve"> </w:t>
      </w:r>
      <w:r>
        <w:t xml:space="preserve">records (RCA), which are independently reviewed by a quality engineer</w:t>
      </w:r>
      <w:r>
        <w:t xml:space="preserve"> </w:t>
      </w:r>
      <w:r>
        <w:t xml:space="preserve">who is not the technician’s direct supervisor.</w:t>
      </w:r>
    </w:p>
    <w:bookmarkEnd w:id="23"/>
    <w:bookmarkEnd w:id="24"/>
    <w:bookmarkStart w:id="27" w:name="subsec:analysis"/>
    <w:p>
      <w:pPr>
        <w:pStyle w:val="Heading2"/>
      </w:pPr>
      <w:r>
        <w:t xml:space="preserve">Data analysis</w:t>
      </w:r>
    </w:p>
    <w:p>
      <w:pPr>
        <w:pStyle w:val="FirstParagraph"/>
      </w:pPr>
      <w:r>
        <w:t xml:space="preserve">The analysis proceeded in four steps. First, a descriptive comparison of</w:t>
      </w:r>
      <w:r>
        <w:t xml:space="preserve"> </w:t>
      </w:r>
      <w:r>
        <w:t xml:space="preserve">each operational metric was performed between the baseline year and the</w:t>
      </w:r>
      <w:r>
        <w:t xml:space="preserve"> </w:t>
      </w:r>
      <w:r>
        <w:t xml:space="preserve">intervention year. Second, simple inference was applied to proportion-based</w:t>
      </w:r>
      <w:r>
        <w:t xml:space="preserve"> </w:t>
      </w:r>
      <w:r>
        <w:t xml:space="preserve">metrics: two-proportion</w:t>
      </w:r>
      <w:r>
        <w:t xml:space="preserve"> </w:t>
      </w:r>
      <m:oMath>
        <m:r>
          <m:t>z</m:t>
        </m:r>
      </m:oMath>
      <w:r>
        <w:t xml:space="preserve">-tests (and chi-square cross-checks) with 95%</w:t>
      </w:r>
      <w:r>
        <w:t xml:space="preserve"> </w:t>
      </w:r>
      <w:r>
        <w:t xml:space="preserve">confidence intervals were computed for the changes in training-failure</w:t>
      </w:r>
      <w:r>
        <w:t xml:space="preserve"> </w:t>
      </w:r>
      <w:r>
        <w:t xml:space="preserve">rate, non-conformance rate, first-attempt pass rate and work-card</w:t>
      </w:r>
      <w:r>
        <w:t xml:space="preserve"> </w:t>
      </w:r>
      <w:r>
        <w:t xml:space="preserve">consultation rate, to ensure that the observed differences exceed plausible</w:t>
      </w:r>
      <w:r>
        <w:t xml:space="preserve"> </w:t>
      </w:r>
      <w:r>
        <w:t xml:space="preserve">sampling variation. Third, the Kirkpatrick four-level structure was used to</w:t>
      </w:r>
      <w:r>
        <w:t xml:space="preserve"> </w:t>
      </w:r>
      <w:r>
        <w:t xml:space="preserve">organise the findings, with each level connected to specific data sources.</w:t>
      </w:r>
      <w:r>
        <w:t xml:space="preserve"> </w:t>
      </w:r>
      <w:r>
        <w:t xml:space="preserve">Fourth, an economic analysis was conducted using a standard cost-of-quality</w:t>
      </w:r>
      <w:r>
        <w:t xml:space="preserve"> </w:t>
      </w:r>
      <w:r>
        <w:t xml:space="preserve">(CoQ) decomposition, presented in Section </w:t>
      </w:r>
      <w:hyperlink w:anchor="subsec:results-economic">
        <w:r>
          <w:rPr>
            <w:rStyle w:val="Hyperlink"/>
          </w:rPr>
          <w:t xml:space="preserve">4.5</w:t>
        </w:r>
      </w:hyperlink>
      <w:r>
        <w:t xml:space="preserve">,</w:t>
      </w:r>
      <w:r>
        <w:t xml:space="preserve"> </w:t>
      </w:r>
      <w:r>
        <w:t xml:space="preserve">to translate the operational changes into approximate annual financial and</w:t>
      </w:r>
      <w:r>
        <w:t xml:space="preserve"> </w:t>
      </w:r>
      <w:r>
        <w:t xml:space="preserve">sustainability terms.</w:t>
      </w:r>
    </w:p>
    <w:bookmarkStart w:id="25" w:name="subsubsec:validity"/>
    <w:p>
      <w:pPr>
        <w:pStyle w:val="Heading3"/>
      </w:pPr>
      <w:r>
        <w:t xml:space="preserve">Threats to internal validity</w:t>
      </w:r>
    </w:p>
    <w:p>
      <w:pPr>
        <w:pStyle w:val="FirstParagraph"/>
      </w:pPr>
      <w:r>
        <w:t xml:space="preserve">The design is a single-site pre/post comparison without a concurrent control</w:t>
      </w:r>
      <w:r>
        <w:t xml:space="preserve"> </w:t>
      </w:r>
      <w:r>
        <w:t xml:space="preserve">group; therefore, five classical threats to internal validity require</w:t>
      </w:r>
      <w:r>
        <w:t xml:space="preserve"> </w:t>
      </w:r>
      <w:r>
        <w:t xml:space="preserve">explicit consideration:</w:t>
      </w:r>
      <w:r>
        <w:t xml:space="preserve"> </w:t>
      </w:r>
      <w:r>
        <w:rPr>
          <w:i/>
          <w:iCs/>
        </w:rPr>
        <w:t xml:space="preserve">History</w:t>
      </w:r>
      <w:r>
        <w:t xml:space="preserve"> </w:t>
      </w:r>
      <w:r>
        <w:t xml:space="preserve">— contemporaneous changes in workforce composition,</w:t>
      </w:r>
      <w:r>
        <w:t xml:space="preserve"> </w:t>
      </w:r>
      <w:r>
        <w:t xml:space="preserve">contract portfolio or supplier mix could co-vary with the intervention.</w:t>
      </w:r>
      <w:r>
        <w:t xml:space="preserve"> </w:t>
      </w:r>
      <w:r>
        <w:t xml:space="preserve">The study controls for this by holding the engine programmes and the</w:t>
      </w:r>
      <w:r>
        <w:t xml:space="preserve"> </w:t>
      </w:r>
      <w:r>
        <w:t xml:space="preserve">nominal workforce size constant within the observation window, but it</w:t>
      </w:r>
      <w:r>
        <w:t xml:space="preserve"> </w:t>
      </w:r>
      <w:r>
        <w:t xml:space="preserve">cannot fully eliminate the threat.</w:t>
      </w:r>
      <w:r>
        <w:t xml:space="preserve"> </w:t>
      </w:r>
      <w:r>
        <w:rPr>
          <w:i/>
          <w:iCs/>
        </w:rPr>
        <w:t xml:space="preserve">Maturation</w:t>
      </w:r>
      <w:r>
        <w:t xml:space="preserve"> </w:t>
      </w:r>
      <w:r>
        <w:t xml:space="preserve">— gradual organisational learning could explain part</w:t>
      </w:r>
      <w:r>
        <w:t xml:space="preserve"> </w:t>
      </w:r>
      <w:r>
        <w:t xml:space="preserve">of the observed improvement independently of the intervention.</w:t>
      </w:r>
      <w:r>
        <w:t xml:space="preserve"> </w:t>
      </w:r>
      <w:r>
        <w:rPr>
          <w:i/>
          <w:iCs/>
        </w:rPr>
        <w:t xml:space="preserve">Instrumentation</w:t>
      </w:r>
      <w:r>
        <w:t xml:space="preserve"> </w:t>
      </w:r>
      <w:r>
        <w:t xml:space="preserve">— changes in the way operational metrics are</w:t>
      </w:r>
      <w:r>
        <w:t xml:space="preserve"> </w:t>
      </w:r>
      <w:r>
        <w:t xml:space="preserve">recorded over time can spuriously create apparent improvement. The study</w:t>
      </w:r>
      <w:r>
        <w:t xml:space="preserve"> </w:t>
      </w:r>
      <w:r>
        <w:t xml:space="preserve">mitigates this by using metric definitions held constant from the baseline</w:t>
      </w:r>
      <w:r>
        <w:t xml:space="preserve"> </w:t>
      </w:r>
      <w:r>
        <w:t xml:space="preserve">year and audited by the facility’s quality department.</w:t>
      </w:r>
      <w:r>
        <w:t xml:space="preserve"> </w:t>
      </w:r>
      <w:r>
        <w:rPr>
          <w:i/>
          <w:iCs/>
        </w:rPr>
        <w:t xml:space="preserve">Selection</w:t>
      </w:r>
      <w:r>
        <w:t xml:space="preserve"> </w:t>
      </w:r>
      <w:r>
        <w:t xml:space="preserve">— because no random assignment is performed, the</w:t>
      </w:r>
      <w:r>
        <w:t xml:space="preserve"> </w:t>
      </w:r>
      <w:r>
        <w:t xml:space="preserve">cohort observed in the intervention year is the same that would have been</w:t>
      </w:r>
      <w:r>
        <w:t xml:space="preserve"> </w:t>
      </w:r>
      <w:r>
        <w:t xml:space="preserve">observed in the absence of the intervention; this protects against</w:t>
      </w:r>
      <w:r>
        <w:t xml:space="preserve"> </w:t>
      </w:r>
      <w:r>
        <w:t xml:space="preserve">selection bias but does not establish a counterfactual.</w:t>
      </w:r>
      <w:r>
        <w:t xml:space="preserve"> </w:t>
      </w:r>
      <w:r>
        <w:rPr>
          <w:i/>
          <w:iCs/>
        </w:rPr>
        <w:t xml:space="preserve">Hawthorne effect</w:t>
      </w:r>
      <w:r>
        <w:t xml:space="preserve"> </w:t>
      </w:r>
      <w:r>
        <w:t xml:space="preserve">— the introduction of structured behavioural</w:t>
      </w:r>
      <w:r>
        <w:t xml:space="preserve"> </w:t>
      </w:r>
      <w:r>
        <w:t xml:space="preserve">observation may have changed technician behaviour independently of the</w:t>
      </w:r>
      <w:r>
        <w:t xml:space="preserve"> </w:t>
      </w:r>
      <w:r>
        <w:t xml:space="preserve">training content. The present study cannot disentangle the observation</w:t>
      </w:r>
      <w:r>
        <w:t xml:space="preserve"> </w:t>
      </w:r>
      <w:r>
        <w:t xml:space="preserve">effect from the training effect; future work should compare the present</w:t>
      </w:r>
      <w:r>
        <w:t xml:space="preserve"> </w:t>
      </w:r>
      <w:r>
        <w:t xml:space="preserve">observation protocol against an unobtrusive baseline (for example, an</w:t>
      </w:r>
      <w:r>
        <w:t xml:space="preserve"> </w:t>
      </w:r>
      <w:r>
        <w:t xml:space="preserve">archival document audit) to estimate the size of this contribution.</w:t>
      </w:r>
      <w:r>
        <w:t xml:space="preserve"> </w:t>
      </w:r>
      <w:r>
        <w:t xml:space="preserve">Causal attribution under these threats is necessarily provisional, and the</w:t>
      </w:r>
      <w:r>
        <w:t xml:space="preserve"> </w:t>
      </w:r>
      <w:r>
        <w:t xml:space="preserve">findings should be interpreted as</w:t>
      </w:r>
      <w:r>
        <w:t xml:space="preserve"> </w:t>
      </w:r>
      <w:r>
        <w:rPr>
          <w:i/>
          <w:iCs/>
        </w:rPr>
        <w:t xml:space="preserve">associated with</w:t>
      </w:r>
      <w:r>
        <w:t xml:space="preserve"> </w:t>
      </w:r>
      <w:r>
        <w:t xml:space="preserve">the intervention</w:t>
      </w:r>
      <w:r>
        <w:t xml:space="preserve"> </w:t>
      </w:r>
      <w:r>
        <w:t xml:space="preserve">rather than</w:t>
      </w:r>
      <w:r>
        <w:t xml:space="preserve"> </w:t>
      </w:r>
      <w:r>
        <w:rPr>
          <w:i/>
          <w:iCs/>
        </w:rPr>
        <w:t xml:space="preserve">produced by</w:t>
      </w:r>
      <w:r>
        <w:t xml:space="preserve"> </w:t>
      </w:r>
      <w:r>
        <w:t xml:space="preserve">it. Section </w:t>
      </w:r>
      <w:hyperlink w:anchor="subsec:limitations">
        <w:r>
          <w:rPr>
            <w:rStyle w:val="Hyperlink"/>
          </w:rPr>
          <w:t xml:space="preserve">8.4</w:t>
        </w:r>
      </w:hyperlink>
      <w:r>
        <w:t xml:space="preserve"> </w:t>
      </w:r>
      <w:r>
        <w:t xml:space="preserve">returns</w:t>
      </w:r>
      <w:r>
        <w:t xml:space="preserve"> </w:t>
      </w:r>
      <w:r>
        <w:t xml:space="preserve">to this point and indicates the quasi-experimental or</w:t>
      </w:r>
      <w:r>
        <w:t xml:space="preserve"> </w:t>
      </w:r>
      <w:r>
        <w:t xml:space="preserve">difference-in-differences extensions that would strengthen attribution in</w:t>
      </w:r>
      <w:r>
        <w:t xml:space="preserve"> </w:t>
      </w:r>
      <w:r>
        <w:t xml:space="preserve">future work.</w:t>
      </w:r>
    </w:p>
    <w:bookmarkEnd w:id="25"/>
    <w:bookmarkStart w:id="26" w:name="note-on-data-confidentiality"/>
    <w:p>
      <w:pPr>
        <w:pStyle w:val="Heading3"/>
      </w:pPr>
      <w:r>
        <w:t xml:space="preserve">Note on data confidentiality</w:t>
      </w:r>
    </w:p>
    <w:p>
      <w:pPr>
        <w:pStyle w:val="FirstParagraph"/>
      </w:pPr>
      <w:r>
        <w:t xml:space="preserve">For commercial confidentiality, individual-level records of the facility</w:t>
      </w:r>
      <w:r>
        <w:t xml:space="preserve"> </w:t>
      </w:r>
      <w:r>
        <w:t xml:space="preserve">are not publicly disclosed. All values reported in the figures and tables</w:t>
      </w:r>
      <w:r>
        <w:t xml:space="preserve"> </w:t>
      </w:r>
      <w:r>
        <w:t xml:space="preserve">correspond to actual operational records of the facility, anonymised and</w:t>
      </w:r>
      <w:r>
        <w:t xml:space="preserve"> </w:t>
      </w:r>
      <w:r>
        <w:t xml:space="preserve">aggregated by the facility’s quality department prior to release for</w:t>
      </w:r>
      <w:r>
        <w:t xml:space="preserve"> </w:t>
      </w:r>
      <w:r>
        <w:t xml:space="preserve">analysis. No values were synthesised or imputed.</w:t>
      </w:r>
    </w:p>
    <w:bookmarkEnd w:id="26"/>
    <w:bookmarkEnd w:id="27"/>
    <w:bookmarkEnd w:id="28"/>
    <w:bookmarkStart w:id="50" w:name="sec:results"/>
    <w:p>
      <w:pPr>
        <w:pStyle w:val="Heading1"/>
      </w:pPr>
      <w:r>
        <w:t xml:space="preserve">Results</w:t>
      </w:r>
    </w:p>
    <w:p>
      <w:pPr>
        <w:pStyle w:val="FirstParagraph"/>
      </w:pPr>
      <w:r>
        <w:t xml:space="preserve">This section presents results in four steps. First, the regulatory mapping</w:t>
      </w:r>
      <w:r>
        <w:t xml:space="preserve"> </w:t>
      </w:r>
      <w:r>
        <w:t xml:space="preserve">used as starting point for the redesign of the training process</w:t>
      </w:r>
      <w:r>
        <w:t xml:space="preserve"> </w:t>
      </w:r>
      <w:r>
        <w:t xml:space="preserve">(Section </w:t>
      </w:r>
      <w:hyperlink w:anchor="subsec:results-as9100">
        <w:r>
          <w:rPr>
            <w:rStyle w:val="Hyperlink"/>
          </w:rPr>
          <w:t xml:space="preserve">4.1</w:t>
        </w:r>
      </w:hyperlink>
      <w:r>
        <w:t xml:space="preserve"> </w:t>
      </w:r>
      <w:r>
        <w:t xml:space="preserve">and </w:t>
      </w:r>
      <w:hyperlink w:anchor="subsec:results-regulation">
        <w:r>
          <w:rPr>
            <w:rStyle w:val="Hyperlink"/>
          </w:rPr>
          <w:t xml:space="preserve">4.2</w:t>
        </w:r>
      </w:hyperlink>
      <w:r>
        <w:t xml:space="preserve">).</w:t>
      </w:r>
      <w:r>
        <w:t xml:space="preserve"> </w:t>
      </w:r>
      <w:r>
        <w:t xml:space="preserve">Second, the operational changes introduced by the Kirkpatrick-based redesign</w:t>
      </w:r>
      <w:r>
        <w:t xml:space="preserve"> </w:t>
      </w:r>
      <w:r>
        <w:t xml:space="preserve">(Section </w:t>
      </w:r>
      <w:hyperlink w:anchor="subsec:results-process">
        <w:r>
          <w:rPr>
            <w:rStyle w:val="Hyperlink"/>
          </w:rPr>
          <w:t xml:space="preserve">4.3</w:t>
        </w:r>
      </w:hyperlink>
      <w:r>
        <w:t xml:space="preserve">). Third, the level-by-level findings</w:t>
      </w:r>
      <w:r>
        <w:t xml:space="preserve"> </w:t>
      </w:r>
      <w:r>
        <w:t xml:space="preserve">(Section </w:t>
      </w:r>
      <w:hyperlink w:anchor="subsec:results-levels">
        <w:r>
          <w:rPr>
            <w:rStyle w:val="Hyperlink"/>
          </w:rPr>
          <w:t xml:space="preserve">4.4</w:t>
        </w:r>
      </w:hyperlink>
      <w:r>
        <w:t xml:space="preserve">). Fourth, a quantitative economic</w:t>
      </w:r>
      <w:r>
        <w:t xml:space="preserve"> </w:t>
      </w:r>
      <w:r>
        <w:t xml:space="preserve">analysis of the impact on costs of quality (Section </w:t>
      </w:r>
      <w:hyperlink w:anchor="subsec:results-economic">
        <w:r>
          <w:rPr>
            <w:rStyle w:val="Hyperlink"/>
          </w:rPr>
          <w:t xml:space="preserve">4.5</w:t>
        </w:r>
      </w:hyperlink>
      <w:r>
        <w:t xml:space="preserve">).</w:t>
      </w:r>
    </w:p>
    <w:bookmarkStart w:id="30" w:name="subsec:results-as9100"/>
    <w:p>
      <w:pPr>
        <w:pStyle w:val="Heading2"/>
      </w:pPr>
      <w:r>
        <w:t xml:space="preserve">AS9100 training requirements</w:t>
      </w:r>
    </w:p>
    <w:p>
      <w:pPr>
        <w:pStyle w:val="FirstParagraph"/>
      </w:pPr>
      <w:r>
        <w:t xml:space="preserve">AS9100 contractualises the customer relationship in aerospace through a</w:t>
      </w:r>
      <w:r>
        <w:t xml:space="preserve"> </w:t>
      </w:r>
      <w:r>
        <w:t xml:space="preserve">Quality Management System whose support clauses bear directly on training.</w:t>
      </w:r>
      <w:r>
        <w:t xml:space="preserve"> </w:t>
      </w:r>
      <w:r>
        <w:t xml:space="preserve">Figure </w:t>
      </w:r>
      <w:hyperlink w:anchor="fig:as9100">
        <w:r>
          <w:rPr>
            <w:rStyle w:val="Hyperlink"/>
          </w:rPr>
          <w:t xml:space="preserve">2</w:t>
        </w:r>
      </w:hyperlink>
      <w:r>
        <w:t xml:space="preserve"> </w:t>
      </w:r>
      <w:r>
        <w:t xml:space="preserve">maps the relevant requirements: clause 6.1</w:t>
      </w:r>
      <w:r>
        <w:t xml:space="preserve"> </w:t>
      </w:r>
      <w:r>
        <w:t xml:space="preserve">(</w:t>
      </w:r>
      <w:r>
        <w:rPr>
          <w:i/>
          <w:iCs/>
        </w:rPr>
        <w:t xml:space="preserve">Actions for risks and opportunities</w:t>
      </w:r>
      <w:r>
        <w:t xml:space="preserve">), 7.1 (</w:t>
      </w:r>
      <w:r>
        <w:rPr>
          <w:i/>
          <w:iCs/>
        </w:rPr>
        <w:t xml:space="preserve">Resources</w:t>
      </w:r>
      <w:r>
        <w:t xml:space="preserve">),</w:t>
      </w:r>
      <w:r>
        <w:t xml:space="preserve"> </w:t>
      </w:r>
      <w:r>
        <w:t xml:space="preserve">7.2 (</w:t>
      </w:r>
      <w:r>
        <w:rPr>
          <w:i/>
          <w:iCs/>
        </w:rPr>
        <w:t xml:space="preserve">Competence</w:t>
      </w:r>
      <w:r>
        <w:t xml:space="preserve">), 7.3 (</w:t>
      </w:r>
      <w:r>
        <w:rPr>
          <w:i/>
          <w:iCs/>
        </w:rPr>
        <w:t xml:space="preserve">Awareness</w:t>
      </w:r>
      <w:r>
        <w:t xml:space="preserve">), 7.4</w:t>
      </w:r>
      <w:r>
        <w:t xml:space="preserve"> </w:t>
      </w:r>
      <w:r>
        <w:t xml:space="preserve">(</w:t>
      </w:r>
      <w:r>
        <w:rPr>
          <w:i/>
          <w:iCs/>
        </w:rPr>
        <w:t xml:space="preserve">Communication</w:t>
      </w:r>
      <w:r>
        <w:t xml:space="preserve">) and 8.1.1 (</w:t>
      </w:r>
      <w:r>
        <w:rPr>
          <w:i/>
          <w:iCs/>
        </w:rPr>
        <w:t xml:space="preserve">Operational risk management</w:t>
      </w:r>
      <w:r>
        <w:t xml:space="preserve">).</w:t>
      </w:r>
      <w:r>
        <w:t xml:space="preserve"> </w:t>
      </w:r>
      <w:r>
        <w:t xml:space="preserve">These clauses jointly require that the organisation determine the necessary</w:t>
      </w:r>
      <w:r>
        <w:t xml:space="preserve"> </w:t>
      </w:r>
      <w:r>
        <w:t xml:space="preserve">competence of persons performing work that affects product quality, provide</w:t>
      </w:r>
      <w:r>
        <w:t xml:space="preserve"> </w:t>
      </w:r>
      <w:r>
        <w:t xml:space="preserve">training as needed, evaluate the effectiveness of that training, and retain</w:t>
      </w:r>
      <w:r>
        <w:t xml:space="preserve"> </w:t>
      </w:r>
      <w:r>
        <w:t xml:space="preserve">documented information as evidence.</w:t>
      </w:r>
    </w:p>
    <w:bookmarkStart w:id="29" w:name="fig:as9100"/>
    <w:tbl>
      <w:tblPr>
        <w:tblStyle w:val="FigureTable"/>
        <w:tblW w:type="auto" w:w="0"/>
        <w:jc w:val="center"/>
        <w:tblLook w:firstRow="0" w:lastRow="0" w:firstColumn="0" w:lastColumn="0"/>
      </w:tblPr>
      <w:tblGrid/>
    </w:tbl>
    <w:p>
      <w:pPr>
        <w:pStyle w:val="ImageCaption"/>
      </w:pPr>
      <w:r>
        <w:t xml:space="preserve">AS9100 requirements relevant to maintenance training.</w:t>
      </w:r>
    </w:p>
    <w:bookmarkEnd w:id="29"/>
    <w:bookmarkEnd w:id="30"/>
    <w:bookmarkStart w:id="32" w:name="subsec:results-regulation"/>
    <w:p>
      <w:pPr>
        <w:pStyle w:val="Heading2"/>
      </w:pPr>
      <w:r>
        <w:t xml:space="preserve">Civil aviation regulation (CAR) training requirements</w:t>
      </w:r>
    </w:p>
    <w:p>
      <w:pPr>
        <w:pStyle w:val="FirstParagraph"/>
      </w:pPr>
      <w:r>
        <w:t xml:space="preserve">Operational regulation cascades from the ICAO Convention to the CAA</w:t>
      </w:r>
      <w:r>
        <w:t xml:space="preserve"> </w:t>
      </w:r>
      <w:r>
        <w:t xml:space="preserve">(FAA, EASA, ANAC and equivalents) and ultimately to the SMS</w:t>
      </w:r>
      <w:r>
        <w:t xml:space="preserve"> </w:t>
      </w:r>
      <w:r>
        <w:t xml:space="preserve">manuals of airlines, airports and MRO facilities. Figure </w:t>
      </w:r>
      <w:hyperlink w:anchor="fig:regulation">
        <w:r>
          <w:rPr>
            <w:rStyle w:val="Hyperlink"/>
          </w:rPr>
          <w:t xml:space="preserve">3</w:t>
        </w:r>
      </w:hyperlink>
      <w:r>
        <w:t xml:space="preserve"> </w:t>
      </w:r>
      <w:r>
        <w:t xml:space="preserve">summarises this cascade and the four SMS components — Safety Policy and</w:t>
      </w:r>
      <w:r>
        <w:t xml:space="preserve"> </w:t>
      </w:r>
      <w:r>
        <w:t xml:space="preserve">Objectives, Safety Risk Management, Safety Assurance, and Safety Promotion —</w:t>
      </w:r>
      <w:r>
        <w:t xml:space="preserve"> </w:t>
      </w:r>
      <w:r>
        <w:t xml:space="preserve">each of which embeds training duties.</w:t>
      </w:r>
    </w:p>
    <w:bookmarkStart w:id="31" w:name="fig:regulation"/>
    <w:tbl>
      <w:tblPr>
        <w:tblStyle w:val="FigureTable"/>
        <w:tblW w:type="auto" w:w="0"/>
        <w:jc w:val="center"/>
        <w:tblLook w:firstRow="0" w:lastRow="0" w:firstColumn="0" w:lastColumn="0"/>
      </w:tblPr>
      <w:tblGrid/>
    </w:tbl>
    <w:p>
      <w:pPr>
        <w:pStyle w:val="ImageCaption"/>
      </w:pPr>
      <w:r>
        <w:t xml:space="preserve">Regulatory cascade and SMS components.</w:t>
      </w:r>
    </w:p>
    <w:bookmarkEnd w:id="31"/>
    <w:bookmarkEnd w:id="32"/>
    <w:bookmarkStart w:id="35" w:name="subsec:results-process"/>
    <w:p>
      <w:pPr>
        <w:pStyle w:val="Heading2"/>
      </w:pPr>
      <w:r>
        <w:t xml:space="preserve">Training process: original and redesigned</w:t>
      </w:r>
    </w:p>
    <w:p>
      <w:pPr>
        <w:pStyle w:val="FirstParagraph"/>
      </w:pPr>
      <w:r>
        <w:t xml:space="preserve">Figure </w:t>
      </w:r>
      <w:hyperlink w:anchor="fig:process-original">
        <w:r>
          <w:rPr>
            <w:rStyle w:val="Hyperlink"/>
          </w:rPr>
          <w:t xml:space="preserve">4</w:t>
        </w:r>
      </w:hyperlink>
      <w:r>
        <w:t xml:space="preserve"> </w:t>
      </w:r>
      <w:r>
        <w:t xml:space="preserve">represents the training process as it</w:t>
      </w:r>
      <w:r>
        <w:t xml:space="preserve"> </w:t>
      </w:r>
      <w:r>
        <w:t xml:space="preserve">operated before the intervention. The flow covered the identification of</w:t>
      </w:r>
      <w:r>
        <w:t xml:space="preserve"> </w:t>
      </w:r>
      <w:r>
        <w:t xml:space="preserve">training needs, the preparation of an annual plan, the verification of</w:t>
      </w:r>
      <w:r>
        <w:t xml:space="preserve"> </w:t>
      </w:r>
      <w:r>
        <w:t xml:space="preserve">instructor availability, the creation of training classes in the Learning</w:t>
      </w:r>
      <w:r>
        <w:t xml:space="preserve"> </w:t>
      </w:r>
      <w:r>
        <w:t xml:space="preserve">Management System (LMS), the registration of employees, the preparation</w:t>
      </w:r>
      <w:r>
        <w:t xml:space="preserve"> </w:t>
      </w:r>
      <w:r>
        <w:t xml:space="preserve">of resources, the reception of records from instructors, the registration</w:t>
      </w:r>
      <w:r>
        <w:t xml:space="preserve"> </w:t>
      </w:r>
      <w:r>
        <w:t xml:space="preserve">of class closure in the LMS, the loading of data into the ERP, the</w:t>
      </w:r>
      <w:r>
        <w:t xml:space="preserve"> </w:t>
      </w:r>
      <w:r>
        <w:t xml:space="preserve">granting of ERP access to trained employees, instructor payment and the</w:t>
      </w:r>
      <w:r>
        <w:t xml:space="preserve"> </w:t>
      </w:r>
      <w:r>
        <w:t xml:space="preserve">archiving of records.</w:t>
      </w:r>
    </w:p>
    <w:bookmarkStart w:id="33" w:name="fig:process-original"/>
    <w:tbl>
      <w:tblPr>
        <w:tblStyle w:val="FigureTable"/>
        <w:tblW w:type="auto" w:w="0"/>
        <w:jc w:val="center"/>
        <w:tblLook w:firstRow="0" w:lastRow="0" w:firstColumn="0" w:lastColumn="0"/>
      </w:tblPr>
      <w:tblGrid/>
    </w:tbl>
    <w:p>
      <w:pPr>
        <w:pStyle w:val="ImageCaption"/>
      </w:pPr>
      <w:r>
        <w:t xml:space="preserve">Order of activities in the original training process.</w:t>
      </w:r>
    </w:p>
    <w:bookmarkEnd w:id="33"/>
    <w:p>
      <w:pPr>
        <w:pStyle w:val="BodyText"/>
      </w:pPr>
      <w:r>
        <w:t xml:space="preserve">The redesigned process (Fig. </w:t>
      </w:r>
      <w:hyperlink w:anchor="fig:process-changed">
        <w:r>
          <w:rPr>
            <w:rStyle w:val="Hyperlink"/>
          </w:rPr>
          <w:t xml:space="preserve">5</w:t>
        </w:r>
      </w:hyperlink>
      <w:r>
        <w:t xml:space="preserve">) preserves every step</w:t>
      </w:r>
      <w:r>
        <w:t xml:space="preserve"> </w:t>
      </w:r>
      <w:r>
        <w:t xml:space="preserve">of the original flow and adds three new activities at the end:</w:t>
      </w:r>
      <w:r>
        <w:t xml:space="preserve"> </w:t>
      </w:r>
      <w:r>
        <w:rPr>
          <w:i/>
          <w:iCs/>
        </w:rPr>
        <w:t xml:space="preserve">(i)</w:t>
      </w:r>
      <w:r>
        <w:t xml:space="preserve"> </w:t>
      </w:r>
      <w:r>
        <w:t xml:space="preserve">evaluation of the four Kirkpatrick levels;</w:t>
      </w:r>
      <w:r>
        <w:t xml:space="preserve"> </w:t>
      </w:r>
      <w:r>
        <w:rPr>
          <w:i/>
          <w:iCs/>
        </w:rPr>
        <w:t xml:space="preserve">(ii)</w:t>
      </w:r>
      <w:r>
        <w:t xml:space="preserve"> </w:t>
      </w:r>
      <w:r>
        <w:t xml:space="preserve">verification of the data collected for each level against</w:t>
      </w:r>
      <w:r>
        <w:t xml:space="preserve"> </w:t>
      </w:r>
      <w:r>
        <w:t xml:space="preserve">acceptance criteria; and</w:t>
      </w:r>
      <w:r>
        <w:t xml:space="preserve"> </w:t>
      </w:r>
      <w:r>
        <w:rPr>
          <w:i/>
          <w:iCs/>
        </w:rPr>
        <w:t xml:space="preserve">(iii)</w:t>
      </w:r>
      <w:r>
        <w:t xml:space="preserve"> </w:t>
      </w:r>
      <w:r>
        <w:t xml:space="preserve">data-driven optimisation of the</w:t>
      </w:r>
      <w:r>
        <w:t xml:space="preserve"> </w:t>
      </w:r>
      <w:r>
        <w:t xml:space="preserve">training intervention for the next cycle. The redesign minimises operational</w:t>
      </w:r>
      <w:r>
        <w:t xml:space="preserve"> </w:t>
      </w:r>
      <w:r>
        <w:t xml:space="preserve">disruption while embedding the evaluation loop required to move training from</w:t>
      </w:r>
      <w:r>
        <w:t xml:space="preserve"> </w:t>
      </w:r>
      <w:r>
        <w:t xml:space="preserve">a compliance task to a continuous-improvement engine.</w:t>
      </w:r>
    </w:p>
    <w:bookmarkStart w:id="34" w:name="fig:process-changed"/>
    <w:tbl>
      <w:tblPr>
        <w:tblStyle w:val="FigureTable"/>
        <w:tblW w:type="auto" w:w="0"/>
        <w:jc w:val="center"/>
        <w:tblLook w:firstRow="0" w:lastRow="0" w:firstColumn="0" w:lastColumn="0"/>
      </w:tblPr>
      <w:tblGrid/>
    </w:tbl>
    <w:p>
      <w:pPr>
        <w:pStyle w:val="ImageCaption"/>
      </w:pPr>
      <w:r>
        <w:t xml:space="preserve">Redesigned training process with Kirkpatrick evaluation embedded.</w:t>
      </w:r>
    </w:p>
    <w:bookmarkEnd w:id="34"/>
    <w:bookmarkEnd w:id="35"/>
    <w:bookmarkStart w:id="43" w:name="subsec:results-levels"/>
    <w:p>
      <w:pPr>
        <w:pStyle w:val="Heading2"/>
      </w:pPr>
      <w:r>
        <w:t xml:space="preserve">Application of Kirkpatrick’s four levels</w:t>
      </w:r>
    </w:p>
    <w:bookmarkStart w:id="37" w:name="subsubsec:level1"/>
    <w:p>
      <w:pPr>
        <w:pStyle w:val="Heading3"/>
      </w:pPr>
      <w:r>
        <w:t xml:space="preserve">Level 1 – Reaction</w:t>
      </w:r>
    </w:p>
    <w:p>
      <w:pPr>
        <w:pStyle w:val="FirstParagraph"/>
      </w:pPr>
      <w:r>
        <w:t xml:space="preserve">Level 1 was operationalised through a seven-criterion post-training</w:t>
      </w:r>
      <w:r>
        <w:t xml:space="preserve"> </w:t>
      </w:r>
      <w:r>
        <w:t xml:space="preserve">questionnaire covering learning, satisfaction, content, punctuality,</w:t>
      </w:r>
      <w:r>
        <w:t xml:space="preserve"> </w:t>
      </w:r>
      <w:r>
        <w:t xml:space="preserve">communication, instructor mastery and infrastructure. Figure </w:t>
      </w:r>
      <w:hyperlink w:anchor="fig:scores-reaction">
        <w:r>
          <w:rPr>
            <w:rStyle w:val="Hyperlink"/>
          </w:rPr>
          <w:t xml:space="preserve">6</w:t>
        </w:r>
      </w:hyperlink>
      <w:r>
        <w:t xml:space="preserve"> </w:t>
      </w:r>
      <w:r>
        <w:t xml:space="preserve">plots the aggregated scores observed across ten sampled training sessions.</w:t>
      </w:r>
      <w:r>
        <w:t xml:space="preserve"> </w:t>
      </w:r>
      <w:r>
        <w:t xml:space="preserve">Across most criteria and sessions, scores exceeded 9 on a 0–10 scale, with</w:t>
      </w:r>
      <w:r>
        <w:t xml:space="preserve"> </w:t>
      </w:r>
      <w:r>
        <w:t xml:space="preserve">two sessions producing isolated dips below 8 that triggered structured</w:t>
      </w:r>
      <w:r>
        <w:t xml:space="preserve"> </w:t>
      </w:r>
      <w:r>
        <w:t xml:space="preserve">follow-up with the instructor and the participants.</w:t>
      </w:r>
    </w:p>
    <w:bookmarkStart w:id="36" w:name="fig:scores-reaction"/>
    <w:tbl>
      <w:tblPr>
        <w:tblStyle w:val="FigureTable"/>
        <w:tblW w:type="auto" w:w="0"/>
        <w:jc w:val="center"/>
        <w:tblLook w:firstRow="0" w:lastRow="0" w:firstColumn="0" w:lastColumn="0"/>
      </w:tblPr>
      <w:tblGrid/>
    </w:tbl>
    <w:p>
      <w:pPr>
        <w:pStyle w:val="ImageCaption"/>
      </w:pPr>
      <w:r>
        <w:t xml:space="preserve">Sample of post-training reaction scores across ten sessions and</w:t>
      </w:r>
      <w:r>
        <w:t xml:space="preserve"> </w:t>
      </w:r>
      <w:r>
        <w:t xml:space="preserve">seven evaluation criteria. Anonymised aggregated values from the</w:t>
      </w:r>
      <w:r>
        <w:t xml:space="preserve"> </w:t>
      </w:r>
      <w:r>
        <w:t xml:space="preserve">facility’s quality records.</w:t>
      </w:r>
    </w:p>
    <w:bookmarkEnd w:id="36"/>
    <w:bookmarkEnd w:id="37"/>
    <w:bookmarkStart w:id="39" w:name="subsubsec:level2"/>
    <w:p>
      <w:pPr>
        <w:pStyle w:val="Heading3"/>
      </w:pPr>
      <w:r>
        <w:t xml:space="preserve">Level 2 – Learning</w:t>
      </w:r>
    </w:p>
    <w:p>
      <w:pPr>
        <w:pStyle w:val="FirstParagraph"/>
      </w:pPr>
      <w:r>
        <w:t xml:space="preserve">Level 2 was operationalised through a knowledge assessment with a pass mark</w:t>
      </w:r>
      <w:r>
        <w:t xml:space="preserve"> </w:t>
      </w:r>
      <w:r>
        <w:t xml:space="preserve">of 70/100 applied to all participants. Figure </w:t>
      </w:r>
      <w:hyperlink w:anchor="fig:scores-grades">
        <w:r>
          <w:rPr>
            <w:rStyle w:val="Hyperlink"/>
          </w:rPr>
          <w:t xml:space="preserve">7</w:t>
        </w:r>
      </w:hyperlink>
      <w:r>
        <w:t xml:space="preserve"> </w:t>
      </w:r>
      <w:r>
        <w:t xml:space="preserve">plots</w:t>
      </w:r>
      <w:r>
        <w:t xml:space="preserve"> </w:t>
      </w:r>
      <w:r>
        <w:t xml:space="preserve">final grades of the 21 participants in the sampled cohort, with the dashed</w:t>
      </w:r>
      <w:r>
        <w:t xml:space="preserve"> </w:t>
      </w:r>
      <w:r>
        <w:t xml:space="preserve">line indicating the pass mark. Three participants did not reach the pass</w:t>
      </w:r>
      <w:r>
        <w:t xml:space="preserve"> </w:t>
      </w:r>
      <w:r>
        <w:t xml:space="preserve">mark on the first attempt and were re-trained and re-assessed; all reached</w:t>
      </w:r>
      <w:r>
        <w:t xml:space="preserve"> </w:t>
      </w:r>
      <w:r>
        <w:t xml:space="preserve">the pass mark on the second attempt. The pass-rate on first attempt</w:t>
      </w:r>
      <w:r>
        <w:t xml:space="preserve"> </w:t>
      </w:r>
      <w:r>
        <w:t xml:space="preserve">improved from 78% in the baseline year to 86% in the intervention year.</w:t>
      </w:r>
    </w:p>
    <w:bookmarkStart w:id="38" w:name="fig:scores-grades"/>
    <w:tbl>
      <w:tblPr>
        <w:tblStyle w:val="FigureTable"/>
        <w:tblW w:type="auto" w:w="0"/>
        <w:jc w:val="center"/>
        <w:tblLook w:firstRow="0" w:lastRow="0" w:firstColumn="0" w:lastColumn="0"/>
      </w:tblPr>
      <w:tblGrid/>
    </w:tbl>
    <w:p>
      <w:pPr>
        <w:pStyle w:val="ImageCaption"/>
      </w:pPr>
      <w:r>
        <w:t xml:space="preserve">Final grades of 21 participants in the sampled cohort. Dashed</w:t>
      </w:r>
      <w:r>
        <w:t xml:space="preserve"> </w:t>
      </w:r>
      <w:r>
        <w:t xml:space="preserve">line indicates the 70/100 pass mark. Anonymised values from the</w:t>
      </w:r>
      <w:r>
        <w:t xml:space="preserve"> </w:t>
      </w:r>
      <w:r>
        <w:t xml:space="preserve">facility’s quality records.</w:t>
      </w:r>
    </w:p>
    <w:bookmarkEnd w:id="38"/>
    <w:bookmarkEnd w:id="39"/>
    <w:bookmarkStart w:id="40" w:name="subsubsec:level3"/>
    <w:p>
      <w:pPr>
        <w:pStyle w:val="Heading3"/>
      </w:pPr>
      <w:r>
        <w:t xml:space="preserve">Level 3 – Behaviour</w:t>
      </w:r>
    </w:p>
    <w:p>
      <w:pPr>
        <w:pStyle w:val="FirstParagraph"/>
      </w:pPr>
      <w:r>
        <w:t xml:space="preserve">Level 3 was operationalised through structured on-the-job observations</w:t>
      </w:r>
      <w:r>
        <w:t xml:space="preserve"> </w:t>
      </w:r>
      <w:r>
        <w:t xml:space="preserve">covering the first 90 days after each training intervention. The</w:t>
      </w:r>
      <w:r>
        <w:t xml:space="preserve"> </w:t>
      </w:r>
      <w:r>
        <w:t xml:space="preserve">observation protocol contained twelve items linked to the procedural</w:t>
      </w:r>
      <w:r>
        <w:t xml:space="preserve"> </w:t>
      </w:r>
      <w:r>
        <w:t xml:space="preserve">content of each training module. Across the intervention year, observed</w:t>
      </w:r>
      <w:r>
        <w:t xml:space="preserve"> </w:t>
      </w:r>
      <w:r>
        <w:t xml:space="preserve">adherence to the procedural standard increased on every module. The most</w:t>
      </w:r>
      <w:r>
        <w:t xml:space="preserve"> </w:t>
      </w:r>
      <w:r>
        <w:t xml:space="preserve">visible behavioural change concerned the correct use of technical</w:t>
      </w:r>
      <w:r>
        <w:t xml:space="preserve"> </w:t>
      </w:r>
      <w:r>
        <w:t xml:space="preserve">documentation: the proportion of observations in which the technician</w:t>
      </w:r>
      <w:r>
        <w:t xml:space="preserve"> </w:t>
      </w:r>
      <w:r>
        <w:t xml:space="preserve">consulted the relevant work card before initiating a non-routine task</w:t>
      </w:r>
      <w:r>
        <w:t xml:space="preserve"> </w:t>
      </w:r>
      <w:r>
        <w:t xml:space="preserve">rose from 71% to 94%.</w:t>
      </w:r>
    </w:p>
    <w:bookmarkEnd w:id="40"/>
    <w:bookmarkStart w:id="42" w:name="subsubsec:level4"/>
    <w:p>
      <w:pPr>
        <w:pStyle w:val="Heading3"/>
      </w:pPr>
      <w:r>
        <w:t xml:space="preserve">Level 4 – Results</w:t>
      </w:r>
    </w:p>
    <w:p>
      <w:pPr>
        <w:pStyle w:val="FirstParagraph"/>
      </w:pPr>
      <w:r>
        <w:t xml:space="preserve">Level 4 was operationalised through four operational metrics. The</w:t>
      </w:r>
      <w:r>
        <w:t xml:space="preserve"> </w:t>
      </w:r>
      <w:r>
        <w:t xml:space="preserve">training-failure rate, as defined in</w:t>
      </w:r>
      <w:r>
        <w:t xml:space="preserve"> </w:t>
      </w:r>
      <w:r>
        <w:t xml:space="preserve">Section </w:t>
      </w:r>
      <w:hyperlink w:anchor="subsubsec:training-failure">
        <w:r>
          <w:rPr>
            <w:rStyle w:val="Hyperlink"/>
          </w:rPr>
          <w:t xml:space="preserve">[subsubsec:training-failure]</w:t>
        </w:r>
      </w:hyperlink>
      <w:r>
        <w:t xml:space="preserve">, was 28% lower in the</w:t>
      </w:r>
      <w:r>
        <w:t xml:space="preserve"> </w:t>
      </w:r>
      <w:r>
        <w:t xml:space="preserve">intervention year than in the baseline year (two-proportion</w:t>
      </w:r>
      <w:r>
        <w:t xml:space="preserve"> </w:t>
      </w:r>
      <m:oMath>
        <m:r>
          <m:t>z</m:t>
        </m:r>
      </m:oMath>
      <w:r>
        <w:t xml:space="preserve">-test,</w:t>
      </w:r>
      <w:r>
        <w:t xml:space="preserve"> </w:t>
      </w:r>
      <m:oMath>
        <m:r>
          <m:t>p</m:t>
        </m:r>
        <m:r>
          <m:rPr>
            <m:sty m:val="p"/>
          </m:rPr>
          <m:t>&lt;</m:t>
        </m:r>
        <m:r>
          <m:t>0.01</m:t>
        </m:r>
      </m:oMath>
      <w:r>
        <w:t xml:space="preserve">; 95% CI of the absolute reduction</w:t>
      </w:r>
      <w:r>
        <w:t xml:space="preserve"> </w:t>
      </w:r>
      <m:oMath>
        <m:r>
          <m:rPr>
            <m:sty m:val="p"/>
          </m:rPr>
          <m:t>[</m:t>
        </m:r>
        <m:r>
          <m:t>19</m:t>
        </m:r>
        <m:r>
          <m:rPr>
            <m:sty m:val="p"/>
          </m:rPr>
          <m:t>%</m:t>
        </m:r>
        <m:r>
          <m:rPr>
            <m:sty m:val="p"/>
          </m:rPr>
          <m:t>,</m:t>
        </m:r>
        <m:r>
          <m:t> </m:t>
        </m:r>
        <m:r>
          <m:t>37</m:t>
        </m:r>
        <m:r>
          <m:rPr>
            <m:sty m:val="p"/>
          </m:rPr>
          <m:t>%</m:t>
        </m:r>
        <m:r>
          <m:rPr>
            <m:sty m:val="p"/>
          </m:rPr>
          <m:t>]</m:t>
        </m:r>
      </m:oMath>
      <w:r>
        <w:t xml:space="preserve">).</w:t>
      </w:r>
      <w:r>
        <w:t xml:space="preserve"> </w:t>
      </w:r>
      <w:r>
        <w:t xml:space="preserve">The regulatory non-conformance rate issued by the CAA during audit</w:t>
      </w:r>
      <w:r>
        <w:t xml:space="preserve"> </w:t>
      </w:r>
      <w:r>
        <w:t xml:space="preserve">cycles was 35% lower (95% CI</w:t>
      </w:r>
      <w:r>
        <w:t xml:space="preserve"> </w:t>
      </w:r>
      <m:oMath>
        <m:r>
          <m:rPr>
            <m:sty m:val="p"/>
          </m:rPr>
          <m:t>[</m:t>
        </m:r>
        <m:r>
          <m:t>22</m:t>
        </m:r>
        <m:r>
          <m:rPr>
            <m:sty m:val="p"/>
          </m:rPr>
          <m:t>%</m:t>
        </m:r>
        <m:r>
          <m:rPr>
            <m:sty m:val="p"/>
          </m:rPr>
          <m:t>,</m:t>
        </m:r>
        <m:r>
          <m:t> </m:t>
        </m:r>
        <m:r>
          <m:t>48</m:t>
        </m:r>
        <m:r>
          <m:rPr>
            <m:sty m:val="p"/>
          </m:rPr>
          <m:t>%</m:t>
        </m:r>
        <m:r>
          <m:rPr>
            <m:sty m:val="p"/>
          </m:rPr>
          <m:t>]</m:t>
        </m:r>
      </m:oMath>
      <w:r>
        <w:t xml:space="preserve">), and turnaround time on</w:t>
      </w:r>
      <w:r>
        <w:t xml:space="preserve"> </w:t>
      </w:r>
      <w:r>
        <w:t xml:space="preserve">the engine programmes covered by the intervention was approximately 6%</w:t>
      </w:r>
      <w:r>
        <w:t xml:space="preserve"> </w:t>
      </w:r>
      <w:r>
        <w:t xml:space="preserve">shorter. Customer satisfaction surveys with four major airline customers</w:t>
      </w:r>
      <w:r>
        <w:t xml:space="preserve"> </w:t>
      </w:r>
      <w:r>
        <w:t xml:space="preserve">showed improvement across all five surveyed categories</w:t>
      </w:r>
      <w:r>
        <w:t xml:space="preserve"> </w:t>
      </w:r>
      <w:r>
        <w:t xml:space="preserve">(Figure </w:t>
      </w:r>
      <w:hyperlink w:anchor="fig:customer-satisfaction">
        <w:r>
          <w:rPr>
            <w:rStyle w:val="Hyperlink"/>
          </w:rPr>
          <w:t xml:space="preserve">8</w:t>
        </w:r>
      </w:hyperlink>
      <w:r>
        <w:t xml:space="preserve">). Consistent with the</w:t>
      </w:r>
      <w:r>
        <w:t xml:space="preserve"> </w:t>
      </w:r>
      <w:r>
        <w:t xml:space="preserve">internal-validity considerations of Section </w:t>
      </w:r>
      <w:hyperlink w:anchor="subsubsec:validity">
        <w:r>
          <w:rPr>
            <w:rStyle w:val="Hyperlink"/>
          </w:rPr>
          <w:t xml:space="preserve">[subsubsec:validity]</w:t>
        </w:r>
      </w:hyperlink>
      <w:r>
        <w:t xml:space="preserve">,</w:t>
      </w:r>
      <w:r>
        <w:t xml:space="preserve"> </w:t>
      </w:r>
      <w:r>
        <w:t xml:space="preserve">these movements are reported as</w:t>
      </w:r>
      <w:r>
        <w:t xml:space="preserve"> </w:t>
      </w:r>
      <w:r>
        <w:rPr>
          <w:i/>
          <w:iCs/>
        </w:rPr>
        <w:t xml:space="preserve">associated with</w:t>
      </w:r>
      <w:r>
        <w:t xml:space="preserve">, not</w:t>
      </w:r>
      <w:r>
        <w:t xml:space="preserve"> </w:t>
      </w:r>
      <w:r>
        <w:rPr>
          <w:i/>
          <w:iCs/>
        </w:rPr>
        <w:t xml:space="preserve">caused by</w:t>
      </w:r>
      <w:r>
        <w:t xml:space="preserve">, the intervention; the case-study design cannot</w:t>
      </w:r>
      <w:r>
        <w:t xml:space="preserve"> </w:t>
      </w:r>
      <w:r>
        <w:t xml:space="preserve">isolate the contribution of training from contemporaneous changes in</w:t>
      </w:r>
      <w:r>
        <w:t xml:space="preserve"> </w:t>
      </w:r>
      <w:r>
        <w:t xml:space="preserve">workforce composition, supplier mix or contract portfolio.</w:t>
      </w:r>
    </w:p>
    <w:bookmarkStart w:id="41" w:name="fig:customer-satisfaction"/>
    <w:tbl>
      <w:tblPr>
        <w:tblStyle w:val="FigureTable"/>
        <w:tblW w:type="auto" w:w="0"/>
        <w:jc w:val="center"/>
        <w:tblLook w:firstRow="0" w:lastRow="0" w:firstColumn="0" w:lastColumn="0"/>
      </w:tblPr>
      <w:tblGrid/>
    </w:tbl>
    <w:p>
      <w:pPr>
        <w:pStyle w:val="ImageCaption"/>
      </w:pPr>
      <w:r>
        <w:t xml:space="preserve">Customer satisfaction per category, mean across four major</w:t>
      </w:r>
      <w:r>
        <w:t xml:space="preserve"> </w:t>
      </w:r>
      <w:r>
        <w:t xml:space="preserve">airline customers. Post-intervention values come from the</w:t>
      </w:r>
      <w:r>
        <w:t xml:space="preserve"> </w:t>
      </w:r>
      <w:r>
        <w:t xml:space="preserve">structured semi-annual survey described in</w:t>
      </w:r>
      <w:r>
        <w:t xml:space="preserve"> </w:t>
      </w:r>
      <w:r>
        <w:t xml:space="preserve">Section </w:t>
      </w:r>
      <w:hyperlink w:anchor="subsec:data">
        <w:r>
          <w:rPr>
            <w:rStyle w:val="Hyperlink"/>
          </w:rPr>
          <w:t xml:space="preserve">3.2</w:t>
        </w:r>
      </w:hyperlink>
      <w:r>
        <w:t xml:space="preserve">; pre-intervention values are</w:t>
      </w:r>
      <w:r>
        <w:t xml:space="preserve"> </w:t>
      </w:r>
      <w:r>
        <w:t xml:space="preserve">retrospective estimates from non-structured supervisor reports</w:t>
      </w:r>
      <w:r>
        <w:t xml:space="preserve"> </w:t>
      </w:r>
      <w:r>
        <w:t xml:space="preserve">and are presented for context only — they should not be</w:t>
      </w:r>
      <w:r>
        <w:t xml:space="preserve"> </w:t>
      </w:r>
      <w:r>
        <w:t xml:space="preserve">interpreted as a directly comparable baseline.</w:t>
      </w:r>
    </w:p>
    <w:bookmarkEnd w:id="41"/>
    <w:p>
      <w:pPr>
        <w:pStyle w:val="BodyText"/>
      </w:pPr>
      <w:r>
        <w:t xml:space="preserve">A consolidated before-after comparison is presented in</w:t>
      </w:r>
      <w:r>
        <w:t xml:space="preserve"> </w:t>
      </w:r>
      <w:r>
        <w:t xml:space="preserve">Table </w:t>
      </w:r>
      <w:hyperlink w:anchor="tab:before-after">
        <w:r>
          <w:rPr>
            <w:rStyle w:val="Hyperlink"/>
          </w:rPr>
          <w:t xml:space="preserve">[tab:before-after]</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right"/>
            </w:pPr>
            <w:r>
              <w:rPr>
                <w:b/>
                <w:bCs/>
              </w:rPr>
              <w:t xml:space="preserve">Before</w:t>
            </w:r>
          </w:p>
        </w:tc>
        <w:tc>
          <w:tcPr/>
          <w:p>
            <w:pPr>
              <w:pStyle w:val="Compact"/>
              <w:jc w:val="right"/>
            </w:pPr>
            <w:r>
              <w:rPr>
                <w:b/>
                <w:bCs/>
              </w:rPr>
              <w:t xml:space="preserve">After</w:t>
            </w:r>
          </w:p>
        </w:tc>
        <w:tc>
          <w:tcPr/>
          <w:p>
            <w:pPr>
              <w:pStyle w:val="Compact"/>
              <w:jc w:val="right"/>
            </w:pPr>
            <w:r>
              <w:rPr>
                <w:b/>
                <w:bCs/>
              </w:rPr>
              <w:t xml:space="preserve">Variation</w:t>
            </w:r>
          </w:p>
        </w:tc>
      </w:tr>
      <w:tr>
        <w:tc>
          <w:tcPr/>
          <w:p>
            <w:pPr>
              <w:pStyle w:val="Compact"/>
              <w:jc w:val="left"/>
            </w:pPr>
            <w:r>
              <w:t xml:space="preserve">Training failures (rate, %)</w:t>
            </w:r>
          </w:p>
        </w:tc>
        <w:tc>
          <w:tcPr/>
          <w:p>
            <w:pPr>
              <w:pStyle w:val="Compact"/>
              <w:jc w:val="right"/>
            </w:pPr>
            <w:r>
              <w:t xml:space="preserve">100</w:t>
            </w:r>
          </w:p>
        </w:tc>
        <w:tc>
          <w:tcPr/>
          <w:p>
            <w:pPr>
              <w:pStyle w:val="Compact"/>
              <w:jc w:val="right"/>
            </w:pPr>
            <w:r>
              <w:t xml:space="preserve">72</w:t>
            </w:r>
          </w:p>
        </w:tc>
        <w:tc>
          <w:tcPr/>
          <w:p>
            <w:pPr>
              <w:pStyle w:val="Compact"/>
              <w:jc w:val="right"/>
            </w:pPr>
            <m:oMath>
              <m:r>
                <m:rPr>
                  <m:sty m:val="p"/>
                </m:rPr>
                <m:t>−</m:t>
              </m:r>
              <m:r>
                <m:t>28</m:t>
              </m:r>
              <m:r>
                <m:rPr>
                  <m:sty m:val="p"/>
                </m:rPr>
                <m:t>%</m:t>
              </m:r>
            </m:oMath>
          </w:p>
        </w:tc>
      </w:tr>
      <w:tr>
        <w:tc>
          <w:tcPr/>
          <w:p>
            <w:pPr>
              <w:pStyle w:val="Compact"/>
              <w:jc w:val="left"/>
            </w:pPr>
            <w:r>
              <w:t xml:space="preserve">Regulatory non-conformances (n / audit)</w:t>
            </w:r>
          </w:p>
        </w:tc>
        <w:tc>
          <w:tcPr/>
          <w:p>
            <w:pPr>
              <w:pStyle w:val="Compact"/>
              <w:jc w:val="right"/>
            </w:pPr>
            <w:r>
              <w:t xml:space="preserve">100</w:t>
            </w:r>
          </w:p>
        </w:tc>
        <w:tc>
          <w:tcPr/>
          <w:p>
            <w:pPr>
              <w:pStyle w:val="Compact"/>
              <w:jc w:val="right"/>
            </w:pPr>
            <w:r>
              <w:t xml:space="preserve">65</w:t>
            </w:r>
          </w:p>
        </w:tc>
        <w:tc>
          <w:tcPr/>
          <w:p>
            <w:pPr>
              <w:pStyle w:val="Compact"/>
              <w:jc w:val="right"/>
            </w:pPr>
            <m:oMath>
              <m:r>
                <m:rPr>
                  <m:sty m:val="p"/>
                </m:rPr>
                <m:t>−</m:t>
              </m:r>
              <m:r>
                <m:t>35</m:t>
              </m:r>
              <m:r>
                <m:rPr>
                  <m:sty m:val="p"/>
                </m:rPr>
                <m:t>%</m:t>
              </m:r>
            </m:oMath>
          </w:p>
        </w:tc>
      </w:tr>
      <w:tr>
        <w:tc>
          <w:tcPr/>
          <w:p>
            <w:pPr>
              <w:pStyle w:val="Compact"/>
              <w:jc w:val="left"/>
            </w:pPr>
            <w:r>
              <w:t xml:space="preserve">First-attempt pass rate (Level 2, %)</w:t>
            </w:r>
          </w:p>
        </w:tc>
        <w:tc>
          <w:tcPr/>
          <w:p>
            <w:pPr>
              <w:pStyle w:val="Compact"/>
              <w:jc w:val="right"/>
            </w:pPr>
            <w:r>
              <w:t xml:space="preserve">78</w:t>
            </w:r>
          </w:p>
        </w:tc>
        <w:tc>
          <w:tcPr/>
          <w:p>
            <w:pPr>
              <w:pStyle w:val="Compact"/>
              <w:jc w:val="right"/>
            </w:pPr>
            <w:r>
              <w:t xml:space="preserve">86</w:t>
            </w:r>
          </w:p>
        </w:tc>
        <w:tc>
          <w:tcPr/>
          <w:p>
            <w:pPr>
              <w:pStyle w:val="Compact"/>
              <w:jc w:val="right"/>
            </w:pPr>
            <m:oMath>
              <m:r>
                <m:rPr>
                  <m:sty m:val="p"/>
                </m:rPr>
                <m:t>+</m:t>
              </m:r>
              <m:r>
                <m:t>8</m:t>
              </m:r>
            </m:oMath>
            <w:r>
              <w:t xml:space="preserve"> </w:t>
            </w:r>
            <w:r>
              <w:t xml:space="preserve">pp</w:t>
            </w:r>
          </w:p>
        </w:tc>
      </w:tr>
      <w:tr>
        <w:tc>
          <w:tcPr/>
          <w:p>
            <w:pPr>
              <w:pStyle w:val="Compact"/>
              <w:jc w:val="left"/>
            </w:pPr>
            <w:r>
              <w:t xml:space="preserve">Work-card consultation (Level 3, %)</w:t>
            </w:r>
          </w:p>
        </w:tc>
        <w:tc>
          <w:tcPr/>
          <w:p>
            <w:pPr>
              <w:pStyle w:val="Compact"/>
              <w:jc w:val="right"/>
            </w:pPr>
            <w:r>
              <w:t xml:space="preserve">71</w:t>
            </w:r>
          </w:p>
        </w:tc>
        <w:tc>
          <w:tcPr/>
          <w:p>
            <w:pPr>
              <w:pStyle w:val="Compact"/>
              <w:jc w:val="right"/>
            </w:pPr>
            <w:r>
              <w:t xml:space="preserve">94</w:t>
            </w:r>
          </w:p>
        </w:tc>
        <w:tc>
          <w:tcPr/>
          <w:p>
            <w:pPr>
              <w:pStyle w:val="Compact"/>
              <w:jc w:val="right"/>
            </w:pPr>
            <m:oMath>
              <m:r>
                <m:rPr>
                  <m:sty m:val="p"/>
                </m:rPr>
                <m:t>+</m:t>
              </m:r>
              <m:r>
                <m:t>23</m:t>
              </m:r>
            </m:oMath>
            <w:r>
              <w:t xml:space="preserve"> </w:t>
            </w:r>
            <w:r>
              <w:t xml:space="preserve">pp</w:t>
            </w:r>
          </w:p>
        </w:tc>
      </w:tr>
      <w:tr>
        <w:tc>
          <w:tcPr/>
          <w:p>
            <w:pPr>
              <w:pStyle w:val="Compact"/>
              <w:jc w:val="left"/>
            </w:pPr>
            <w:r>
              <w:t xml:space="preserve">Quality costs (USD M / year)</w:t>
            </w:r>
          </w:p>
        </w:tc>
        <w:tc>
          <w:tcPr/>
          <w:p>
            <w:pPr>
              <w:pStyle w:val="Compact"/>
              <w:jc w:val="right"/>
            </w:pPr>
            <m:oMath>
              <m:r>
                <m:rPr>
                  <m:sty m:val="p"/>
                </m:rPr>
                <m:t>≈</m:t>
              </m:r>
              <m:r>
                <m:t>4.2</m:t>
              </m:r>
            </m:oMath>
          </w:p>
        </w:tc>
        <w:tc>
          <w:tcPr/>
          <w:p>
            <w:pPr>
              <w:pStyle w:val="Compact"/>
              <w:jc w:val="right"/>
            </w:pPr>
            <m:oMath>
              <m:r>
                <m:rPr>
                  <m:sty m:val="p"/>
                </m:rPr>
                <m:t>≈</m:t>
              </m:r>
              <m:r>
                <m:t>3.0</m:t>
              </m:r>
            </m:oMath>
          </w:p>
        </w:tc>
        <w:tc>
          <w:tcPr/>
          <w:p>
            <w:pPr>
              <w:pStyle w:val="Compact"/>
              <w:jc w:val="right"/>
            </w:pPr>
            <m:oMath>
              <m:r>
                <m:rPr>
                  <m:sty m:val="p"/>
                </m:rPr>
                <m:t>≈</m:t>
              </m:r>
              <m:r>
                <m:rPr>
                  <m:sty m:val="p"/>
                </m:rPr>
                <m:t>−</m:t>
              </m:r>
              <m:r>
                <m:t>1.2</m:t>
              </m:r>
            </m:oMath>
          </w:p>
        </w:tc>
      </w:tr>
      <w:tr>
        <w:tc>
          <w:tcPr/>
          <w:p>
            <w:pPr>
              <w:pStyle w:val="Compact"/>
              <w:jc w:val="left"/>
            </w:pPr>
            <w:r>
              <w:t xml:space="preserve">Turnaround time (index, baseline</w:t>
            </w:r>
            <w:r>
              <w:t xml:space="preserve"> </w:t>
            </w:r>
            <m:oMath>
              <m:r>
                <m:rPr>
                  <m:sty m:val="p"/>
                </m:rPr>
                <m:t>=</m:t>
              </m:r>
              <m:r>
                <m:t>100</m:t>
              </m:r>
            </m:oMath>
            <w:r>
              <w:t xml:space="preserve">)</w:t>
            </w:r>
          </w:p>
        </w:tc>
        <w:tc>
          <w:tcPr/>
          <w:p>
            <w:pPr>
              <w:pStyle w:val="Compact"/>
              <w:jc w:val="right"/>
            </w:pPr>
            <w:r>
              <w:t xml:space="preserve">100</w:t>
            </w:r>
          </w:p>
        </w:tc>
        <w:tc>
          <w:tcPr/>
          <w:p>
            <w:pPr>
              <w:pStyle w:val="Compact"/>
              <w:jc w:val="right"/>
            </w:pPr>
            <w:r>
              <w:t xml:space="preserve">94</w:t>
            </w:r>
          </w:p>
        </w:tc>
        <w:tc>
          <w:tcPr/>
          <w:p>
            <w:pPr>
              <w:pStyle w:val="Compact"/>
              <w:jc w:val="right"/>
            </w:pPr>
            <m:oMath>
              <m:r>
                <m:rPr>
                  <m:sty m:val="p"/>
                </m:rPr>
                <m:t>−</m:t>
              </m:r>
              <m:r>
                <m:t>6</m:t>
              </m:r>
              <m:r>
                <m:rPr>
                  <m:sty m:val="p"/>
                </m:rPr>
                <m:t>%</m:t>
              </m:r>
            </m:oMath>
          </w:p>
        </w:tc>
      </w:tr>
      <w:tr>
        <w:tc>
          <w:tcPr/>
          <w:p>
            <w:pPr>
              <w:pStyle w:val="Compact"/>
              <w:jc w:val="left"/>
            </w:pPr>
            <w:r>
              <w:t xml:space="preserve">Customer satisfaction (0–5 scale, mean)</w:t>
            </w:r>
          </w:p>
        </w:tc>
        <w:tc>
          <w:tcPr/>
          <w:p>
            <w:pPr>
              <w:pStyle w:val="Compact"/>
              <w:jc w:val="right"/>
            </w:pPr>
            <w:r>
              <w:t xml:space="preserve">n.a.</w:t>
            </w:r>
            <w:r>
              <w:rPr>
                <w:vertAlign w:val="superscript"/>
              </w:rPr>
              <w:t xml:space="preserve">a</w:t>
            </w:r>
          </w:p>
        </w:tc>
        <w:tc>
          <w:tcPr/>
          <w:p>
            <w:pPr>
              <w:pStyle w:val="Compact"/>
              <w:jc w:val="right"/>
            </w:pPr>
            <w:r>
              <w:t xml:space="preserve">4.7</w:t>
            </w:r>
          </w:p>
        </w:tc>
        <w:tc>
          <w:tcPr/>
          <w:p>
            <w:pPr>
              <w:pStyle w:val="Compact"/>
              <w:jc w:val="right"/>
            </w:pPr>
            <w:r>
              <w:t xml:space="preserve">—</w:t>
            </w:r>
          </w:p>
        </w:tc>
      </w:tr>
    </w:tbl>
    <w:p>
      <w:pPr>
        <w:pStyle w:val="BodyText"/>
      </w:pPr>
      <w:r>
        <w:br/>
      </w:r>
      <w:r>
        <w:rPr>
          <w:i/>
          <w:iCs/>
        </w:rPr>
        <w:t xml:space="preserve">Notes.</w:t>
      </w:r>
      <w:r>
        <w:t xml:space="preserve"> </w:t>
      </w:r>
      <w:r>
        <w:t xml:space="preserve">Training failures and regulatory non-conformances are</w:t>
      </w:r>
      <w:r>
        <w:t xml:space="preserve"> </w:t>
      </w:r>
      <w:r>
        <w:t xml:space="preserve">indexed to 100 in the baseline year for confidentiality. The</w:t>
      </w:r>
      <w:r>
        <w:t xml:space="preserve"> </w:t>
      </w:r>
      <w:r>
        <w:t xml:space="preserve">training-failure rate is expressed per 1</w:t>
      </w:r>
      <w:r>
        <w:t xml:space="preserve">,</w:t>
      </w:r>
      <w:r>
        <w:t xml:space="preserve">000 maintenance tasks; the</w:t>
      </w:r>
      <w:r>
        <w:t xml:space="preserve"> </w:t>
      </w:r>
      <w:r>
        <w:t xml:space="preserve">non-conformance rate is indexed to audit cycles. Quality costs are</w:t>
      </w:r>
      <w:r>
        <w:t xml:space="preserve"> </w:t>
      </w:r>
      <w:r>
        <w:t xml:space="preserve">reported as the facility’s best estimate of total CoQ attributable</w:t>
      </w:r>
      <w:r>
        <w:t xml:space="preserve"> </w:t>
      </w:r>
      <w:r>
        <w:t xml:space="preserve">to training-driven scope. Both pre- and post-intervention values are</w:t>
      </w:r>
      <w:r>
        <w:t xml:space="preserve"> </w:t>
      </w:r>
      <w:r>
        <w:t xml:space="preserve">anonymised aggregates supplied by the facility’s quality department.</w:t>
      </w:r>
      <w:r>
        <w:t xml:space="preserve"> </w:t>
      </w:r>
      <w:r>
        <w:rPr>
          <w:vertAlign w:val="superscript"/>
        </w:rPr>
        <w:t xml:space="preserve">a</w:t>
      </w:r>
      <w:r>
        <w:t xml:space="preserve"> The baseline year did not employ the structured</w:t>
      </w:r>
      <w:r>
        <w:t xml:space="preserve"> </w:t>
      </w:r>
      <w:r>
        <w:t xml:space="preserve">customer-survey instrument used in the intervention year; a directly</w:t>
      </w:r>
      <w:r>
        <w:t xml:space="preserve"> </w:t>
      </w:r>
      <w:r>
        <w:t xml:space="preserve">comparable pre-intervention mean is therefore not available.</w:t>
      </w:r>
    </w:p>
    <w:bookmarkEnd w:id="42"/>
    <w:bookmarkEnd w:id="43"/>
    <w:bookmarkStart w:id="49" w:name="subsec:results-economic"/>
    <w:p>
      <w:pPr>
        <w:pStyle w:val="Heading2"/>
      </w:pPr>
      <w:r>
        <w:t xml:space="preserve">Economic analysis: impact on cost of quality</w:t>
      </w:r>
    </w:p>
    <w:p>
      <w:pPr>
        <w:pStyle w:val="FirstParagraph"/>
      </w:pPr>
      <w:r>
        <w:t xml:space="preserve">The cost-of-quality (CoQ) framework decomposes total quality costs into</w:t>
      </w:r>
      <w:r>
        <w:t xml:space="preserve"> </w:t>
      </w:r>
      <w:r>
        <w:t xml:space="preserve">four categories: internal failure, external failure, appraisal and</w:t>
      </w:r>
      <w:r>
        <w:t xml:space="preserve"> </w:t>
      </w:r>
      <w:r>
        <w:t xml:space="preserve">prevention</w:t>
      </w:r>
      <w:r>
        <w:t xml:space="preserve"> </w:t>
      </w:r>
      <w:r>
        <w:t xml:space="preserve">(Pereira 2017; Zhang et al. 2025)</w:t>
      </w:r>
      <w:r>
        <w:t xml:space="preserve">. The intervention shifts spending</w:t>
      </w:r>
      <w:r>
        <w:t xml:space="preserve"> </w:t>
      </w:r>
      <w:r>
        <w:t xml:space="preserve">from failure categories (internal and external) towards prevention and</w:t>
      </w:r>
      <w:r>
        <w:t xml:space="preserve"> </w:t>
      </w:r>
      <w:r>
        <w:t xml:space="preserve">appraisal, with the expectation that the net total decreases. To support</w:t>
      </w:r>
      <w:r>
        <w:t xml:space="preserve"> </w:t>
      </w:r>
      <w:r>
        <w:t xml:space="preserve">managerial decision-making, three scenarios are reported in</w:t>
      </w:r>
      <w:r>
        <w:t xml:space="preserve"> </w:t>
      </w:r>
      <w:r>
        <w:t xml:space="preserve">Table </w:t>
      </w:r>
      <w:hyperlink w:anchor="tab:coq-scenarios">
        <w:r>
          <w:rPr>
            <w:rStyle w:val="Hyperlink"/>
          </w:rPr>
          <w:t xml:space="preserve">[tab:coq-scenarios]</w:t>
        </w:r>
      </w:hyperlink>
      <w:r>
        <w:t xml:space="preserve">: pessimistic, base and optimistic, with</w:t>
      </w:r>
      <w:r>
        <w:t xml:space="preserve"> </w:t>
      </w:r>
      <w:r>
        <w:t xml:space="preserve">parameter bounds discussed below. All monetary figures are reported in</w:t>
      </w:r>
      <w:r>
        <w:t xml:space="preserve"> </w:t>
      </w:r>
      <w:r>
        <w:t xml:space="preserve">constant USD and rounded to the nearest USD 10</w:t>
      </w:r>
      <w:r>
        <w:t xml:space="preserve">,</w:t>
      </w:r>
      <w:r>
        <w:t xml:space="preserve">000.</w:t>
      </w:r>
    </w:p>
    <w:bookmarkStart w:id="44" w:name="internal-failure-costs."/>
    <w:p>
      <w:pPr>
        <w:pStyle w:val="Heading4"/>
      </w:pPr>
      <w:r>
        <w:t xml:space="preserve">Internal failure costs.</w:t>
      </w:r>
    </w:p>
    <w:p>
      <w:pPr>
        <w:pStyle w:val="FirstParagraph"/>
      </w:pPr>
      <w:r>
        <w:t xml:space="preserve">Internal failure costs are dominated by rework labour hours and scrapped</w:t>
      </w:r>
      <w:r>
        <w:t xml:space="preserve"> </w:t>
      </w:r>
      <w:r>
        <w:t xml:space="preserve">components. Using the facility’s reported reduction in</w:t>
      </w:r>
      <w:r>
        <w:t xml:space="preserve"> </w:t>
      </w:r>
      <w:r>
        <w:t xml:space="preserve">training-attributable rework, the annual internal-failure savings are</w:t>
      </w:r>
      <w:r>
        <w:t xml:space="preserve"> </w:t>
      </w:r>
      <w:r>
        <w:t xml:space="preserve">estimated as</w:t>
      </w:r>
    </w:p>
    <w:p>
      <w:pPr>
        <w:pStyle w:val="BodyText"/>
      </w:pPr>
      <w:r>
        <w:t xml:space="preserve">$$\begin{equation}
      \Delta C_{\text{IF}} = L_h \cdot R + S_c \cdot \bar{P}_c
      \label{eq:internal}
    \end{equation}$$</w:t>
      </w:r>
    </w:p>
    <w:p>
      <w:pPr>
        <w:pStyle w:val="FirstParagraph"/>
      </w:pPr>
      <w:r>
        <w:t xml:space="preserve">where</w:t>
      </w:r>
      <w:r>
        <w:t xml:space="preserve"> </w:t>
      </w:r>
      <m:oMath>
        <m:sSub>
          <m:e>
            <m:r>
              <m:t>L</m:t>
            </m:r>
          </m:e>
          <m:sub>
            <m:r>
              <m:t>h</m:t>
            </m:r>
          </m:sub>
        </m:sSub>
      </m:oMath>
      <w:r>
        <w:t xml:space="preserve"> </w:t>
      </w:r>
      <w:r>
        <w:t xml:space="preserve">is the reduction in rework labour hours,</w:t>
      </w:r>
      <w:r>
        <w:t xml:space="preserve"> </w:t>
      </w:r>
      <m:oMath>
        <m:r>
          <m:t>R</m:t>
        </m:r>
      </m:oMath>
      <w:r>
        <w:t xml:space="preserve"> </w:t>
      </w:r>
      <w:r>
        <w:t xml:space="preserve">is the loaded</w:t>
      </w:r>
      <w:r>
        <w:t xml:space="preserve"> </w:t>
      </w:r>
      <w:r>
        <w:t xml:space="preserve">hourly rate,</w:t>
      </w:r>
      <w:r>
        <w:t xml:space="preserve"> </w:t>
      </w:r>
      <m:oMath>
        <m:sSub>
          <m:e>
            <m:r>
              <m:t>S</m:t>
            </m:r>
          </m:e>
          <m:sub>
            <m:r>
              <m:t>c</m:t>
            </m:r>
          </m:sub>
        </m:sSub>
      </m:oMath>
      <w:r>
        <w:t xml:space="preserve"> </w:t>
      </w:r>
      <w:r>
        <w:t xml:space="preserve">is the reduction in scrapped components and</w:t>
      </w:r>
      <w:r>
        <w:t xml:space="preserve"> </w:t>
      </w:r>
      <m:oMath>
        <m:sSub>
          <m:e>
            <m:acc>
              <m:accPr>
                <m:chr m:val="‾"/>
              </m:accPr>
              <m:e>
                <m:r>
                  <m:t>P</m:t>
                </m:r>
              </m:e>
            </m:acc>
          </m:e>
          <m:sub>
            <m:r>
              <m:t>c</m:t>
            </m:r>
          </m:sub>
        </m:sSub>
      </m:oMath>
      <w:r>
        <w:t xml:space="preserve"> </w:t>
      </w:r>
      <w:r>
        <w:t xml:space="preserve">is their mean material cost. Plugging in the base-scenario</w:t>
      </w:r>
      <w:r>
        <w:t xml:space="preserve"> </w:t>
      </w:r>
      <w:r>
        <w:t xml:space="preserve">values reported by the facility (</w:t>
      </w:r>
      <m:oMath>
        <m:sSub>
          <m:e>
            <m:r>
              <m:t>L</m:t>
            </m:r>
          </m:e>
          <m:sub>
            <m:r>
              <m:t>h</m:t>
            </m:r>
          </m:sub>
        </m:sSub>
        <m:r>
          <m:rPr>
            <m:sty m:val="p"/>
          </m:rPr>
          <m:t>≈</m:t>
        </m:r>
        <m:r>
          <m:t>4</m:t>
        </m:r>
        <m:r>
          <m:rPr>
            <m:sty m:val="p"/>
          </m:rPr>
          <m:t>,</m:t>
        </m:r>
        <m:r>
          <m:t>800</m:t>
        </m:r>
      </m:oMath>
      <w:r>
        <w:t xml:space="preserve"> h,</w:t>
      </w:r>
      <w:r>
        <w:t xml:space="preserve"> </w:t>
      </w:r>
      <m:oMath>
        <m:r>
          <m:t>R</m:t>
        </m:r>
        <m:r>
          <m:rPr>
            <m:sty m:val="p"/>
          </m:rPr>
          <m:t>≈</m:t>
        </m:r>
        <m:r>
          <m:rPr>
            <m:nor/>
            <m:sty m:val="p"/>
          </m:rPr>
          <m:t>USD</m:t>
        </m:r>
        <m:r>
          <m:t> </m:t>
        </m:r>
        <m:r>
          <m:t>85</m:t>
        </m:r>
      </m:oMath>
      <w:r>
        <w:t xml:space="preserve">/h,</w:t>
      </w:r>
      <w:r>
        <w:t xml:space="preserve"> </w:t>
      </w:r>
      <m:oMath>
        <m:sSub>
          <m:e>
            <m:r>
              <m:t>S</m:t>
            </m:r>
          </m:e>
          <m:sub>
            <m:r>
              <m:t>c</m:t>
            </m:r>
          </m:sub>
        </m:sSub>
        <m:r>
          <m:rPr>
            <m:sty m:val="p"/>
          </m:rPr>
          <m:t>≈</m:t>
        </m:r>
        <m:r>
          <m:t>12</m:t>
        </m:r>
      </m:oMath>
      <w:r>
        <w:t xml:space="preserve"> </w:t>
      </w:r>
      <w:r>
        <w:t xml:space="preserve">components,</w:t>
      </w:r>
      <w:r>
        <w:t xml:space="preserve"> </w:t>
      </w:r>
      <m:oMath>
        <m:sSub>
          <m:e>
            <m:acc>
              <m:accPr>
                <m:chr m:val="‾"/>
              </m:accPr>
              <m:e>
                <m:r>
                  <m:t>P</m:t>
                </m:r>
              </m:e>
            </m:acc>
          </m:e>
          <m:sub>
            <m:r>
              <m:t>c</m:t>
            </m:r>
          </m:sub>
        </m:sSub>
        <m:r>
          <m:rPr>
            <m:sty m:val="p"/>
          </m:rPr>
          <m:t>≈</m:t>
        </m:r>
        <m:r>
          <m:rPr>
            <m:nor/>
            <m:sty m:val="p"/>
          </m:rPr>
          <m:t>USD</m:t>
        </m:r>
        <m:r>
          <m:t> </m:t>
        </m:r>
        <m:r>
          <m:t>35</m:t>
        </m:r>
        <m:r>
          <m:rPr>
            <m:sty m:val="p"/>
          </m:rPr>
          <m:t>,</m:t>
        </m:r>
        <m:r>
          <m:t>000</m:t>
        </m:r>
      </m:oMath>
      <w:r>
        <w:t xml:space="preserve">) yields</w:t>
      </w:r>
      <w:r>
        <w:t xml:space="preserve"> </w:t>
      </w:r>
      <m:oMath>
        <m:r>
          <m:rPr>
            <m:sty m:val="p"/>
          </m:rPr>
          <m:t>Δ</m:t>
        </m:r>
        <m:sSub>
          <m:e>
            <m:r>
              <m:t>C</m:t>
            </m:r>
          </m:e>
          <m:sub>
            <m:r>
              <m:rPr>
                <m:nor/>
                <m:sty m:val="p"/>
              </m:rPr>
              <m:t>IF</m:t>
            </m:r>
          </m:sub>
        </m:sSub>
        <m:r>
          <m:rPr>
            <m:sty m:val="p"/>
          </m:rPr>
          <m:t>≈</m:t>
        </m:r>
        <m:r>
          <m:rPr>
            <m:nor/>
            <m:sty m:val="p"/>
          </m:rPr>
          <m:t>USD</m:t>
        </m:r>
        <m:r>
          <m:t> </m:t>
        </m:r>
        <m:r>
          <m:t>828</m:t>
        </m:r>
        <m:r>
          <m:rPr>
            <m:sty m:val="p"/>
          </m:rPr>
          <m:t>,</m:t>
        </m:r>
        <m:r>
          <m:t>000</m:t>
        </m:r>
      </m:oMath>
      <w:r>
        <w:t xml:space="preserve"> </w:t>
      </w:r>
      <w:r>
        <w:t xml:space="preserve">per year.</w:t>
      </w:r>
    </w:p>
    <w:bookmarkEnd w:id="44"/>
    <w:bookmarkStart w:id="45" w:name="external-failure-costs."/>
    <w:p>
      <w:pPr>
        <w:pStyle w:val="Heading4"/>
      </w:pPr>
      <w:r>
        <w:t xml:space="preserve">External failure costs.</w:t>
      </w:r>
    </w:p>
    <w:p>
      <w:pPr>
        <w:pStyle w:val="FirstParagraph"/>
      </w:pPr>
      <w:r>
        <w:t xml:space="preserve">External failure costs comprise warranty claims, customer concessions and</w:t>
      </w:r>
      <w:r>
        <w:t xml:space="preserve"> </w:t>
      </w:r>
      <w:r>
        <w:t xml:space="preserve">expedited-shipping charges. With a single warranty claim from a defective</w:t>
      </w:r>
      <w:r>
        <w:t xml:space="preserve"> </w:t>
      </w:r>
      <w:r>
        <w:t xml:space="preserve">overhaul reported at USD 189</w:t>
      </w:r>
      <w:r>
        <w:t xml:space="preserve">,</w:t>
      </w:r>
      <w:r>
        <w:t xml:space="preserve">500</w:t>
      </w:r>
      <w:r>
        <w:t xml:space="preserve"> </w:t>
      </w:r>
      <w:r>
        <w:t xml:space="preserve">(Pereira 2017)</w:t>
      </w:r>
      <w:r>
        <w:t xml:space="preserve"> </w:t>
      </w:r>
      <w:r>
        <w:t xml:space="preserve">and the observed</w:t>
      </w:r>
      <w:r>
        <w:t xml:space="preserve"> </w:t>
      </w:r>
      <w:r>
        <w:t xml:space="preserve">reduction in warranty-relevant findings, the annual external-failure</w:t>
      </w:r>
      <w:r>
        <w:t xml:space="preserve"> </w:t>
      </w:r>
      <w:r>
        <w:t xml:space="preserve">savings are estimated as</w:t>
      </w:r>
    </w:p>
    <w:p>
      <w:pPr>
        <w:pStyle w:val="BodyText"/>
      </w:pPr>
      <w:r>
        <w:t xml:space="preserve">$$\begin{equation}
      \Delta C_{\text{EF}} = W + S_h + R_p
      \label{eq:external}
    \end{equation}$$</w:t>
      </w:r>
    </w:p>
    <w:p>
      <w:pPr>
        <w:pStyle w:val="FirstParagraph"/>
      </w:pPr>
      <w:r>
        <w:t xml:space="preserve">where</w:t>
      </w:r>
      <w:r>
        <w:t xml:space="preserve"> </w:t>
      </w:r>
      <m:oMath>
        <m:r>
          <m:t>W</m:t>
        </m:r>
      </m:oMath>
      <w:r>
        <w:t xml:space="preserve"> </w:t>
      </w:r>
      <w:r>
        <w:t xml:space="preserve">is the reduction in warranty claim value,</w:t>
      </w:r>
      <w:r>
        <w:t xml:space="preserve"> </w:t>
      </w:r>
      <m:oMath>
        <m:sSub>
          <m:e>
            <m:r>
              <m:t>S</m:t>
            </m:r>
          </m:e>
          <m:sub>
            <m:r>
              <m:t>h</m:t>
            </m:r>
          </m:sub>
        </m:sSub>
      </m:oMath>
      <w:r>
        <w:t xml:space="preserve"> </w:t>
      </w:r>
      <w:r>
        <w:t xml:space="preserve">in expedited</w:t>
      </w:r>
      <w:r>
        <w:t xml:space="preserve"> </w:t>
      </w:r>
      <w:r>
        <w:t xml:space="preserve">shipping charges and</w:t>
      </w:r>
      <w:r>
        <w:t xml:space="preserve"> </w:t>
      </w:r>
      <m:oMath>
        <m:sSub>
          <m:e>
            <m:r>
              <m:t>R</m:t>
            </m:r>
          </m:e>
          <m:sub>
            <m:r>
              <m:t>p</m:t>
            </m:r>
          </m:sub>
        </m:sSub>
      </m:oMath>
      <w:r>
        <w:t xml:space="preserve"> </w:t>
      </w:r>
      <w:r>
        <w:t xml:space="preserve">in customer concessions. Plugging in the</w:t>
      </w:r>
      <w:r>
        <w:t xml:space="preserve"> </w:t>
      </w:r>
      <w:r>
        <w:t xml:space="preserve">base-scenario values (</w:t>
      </w:r>
      <m:oMath>
        <m:r>
          <m:t>W</m:t>
        </m:r>
        <m:r>
          <m:rPr>
            <m:sty m:val="p"/>
          </m:rPr>
          <m:t>≈</m:t>
        </m:r>
        <m:r>
          <m:rPr>
            <m:nor/>
            <m:sty m:val="p"/>
          </m:rPr>
          <m:t>USD</m:t>
        </m:r>
        <m:r>
          <m:t> </m:t>
        </m:r>
        <m:r>
          <m:t>380</m:t>
        </m:r>
        <m:r>
          <m:rPr>
            <m:sty m:val="p"/>
          </m:rPr>
          <m:t>,</m:t>
        </m:r>
        <m:r>
          <m:t>000</m:t>
        </m:r>
      </m:oMath>
      <w:r>
        <w:t xml:space="preserve">,</w:t>
      </w:r>
      <w:r>
        <w:t xml:space="preserve"> </w:t>
      </w:r>
      <m:oMath>
        <m:sSub>
          <m:e>
            <m:r>
              <m:t>S</m:t>
            </m:r>
          </m:e>
          <m:sub>
            <m:r>
              <m:t>h</m:t>
            </m:r>
          </m:sub>
        </m:sSub>
        <m:r>
          <m:rPr>
            <m:sty m:val="p"/>
          </m:rPr>
          <m:t>≈</m:t>
        </m:r>
        <m:r>
          <m:rPr>
            <m:nor/>
            <m:sty m:val="p"/>
          </m:rPr>
          <m:t>USD</m:t>
        </m:r>
        <m:r>
          <m:t> </m:t>
        </m:r>
        <m:r>
          <m:t>50</m:t>
        </m:r>
        <m:r>
          <m:rPr>
            <m:sty m:val="p"/>
          </m:rPr>
          <m:t>,</m:t>
        </m:r>
        <m:r>
          <m:t>000</m:t>
        </m:r>
      </m:oMath>
      <w:r>
        <w:t xml:space="preserve">,</w:t>
      </w:r>
      <w:r>
        <w:t xml:space="preserve"> </w:t>
      </w:r>
      <m:oMath>
        <m:sSub>
          <m:e>
            <m:r>
              <m:t>R</m:t>
            </m:r>
          </m:e>
          <m:sub>
            <m:r>
              <m:t>p</m:t>
            </m:r>
          </m:sub>
        </m:sSub>
        <m:r>
          <m:rPr>
            <m:sty m:val="p"/>
          </m:rPr>
          <m:t>≈</m:t>
        </m:r>
        <m:r>
          <m:rPr>
            <m:nor/>
            <m:sty m:val="p"/>
          </m:rPr>
          <m:t>USD</m:t>
        </m:r>
        <m:r>
          <m:t> </m:t>
        </m:r>
        <m:r>
          <m:t>40</m:t>
        </m:r>
        <m:r>
          <m:rPr>
            <m:sty m:val="p"/>
          </m:rPr>
          <m:t>,</m:t>
        </m:r>
        <m:r>
          <m:t>000</m:t>
        </m:r>
      </m:oMath>
      <w:r>
        <w:t xml:space="preserve">) yields</w:t>
      </w:r>
      <w:r>
        <w:t xml:space="preserve"> </w:t>
      </w:r>
      <m:oMath>
        <m:r>
          <m:rPr>
            <m:sty m:val="p"/>
          </m:rPr>
          <m:t>Δ</m:t>
        </m:r>
        <m:sSub>
          <m:e>
            <m:r>
              <m:t>C</m:t>
            </m:r>
          </m:e>
          <m:sub>
            <m:r>
              <m:rPr>
                <m:nor/>
                <m:sty m:val="p"/>
              </m:rPr>
              <m:t>EF</m:t>
            </m:r>
          </m:sub>
        </m:sSub>
        <m:r>
          <m:rPr>
            <m:sty m:val="p"/>
          </m:rPr>
          <m:t>≈</m:t>
        </m:r>
        <m:r>
          <m:rPr>
            <m:nor/>
            <m:sty m:val="p"/>
          </m:rPr>
          <m:t>USD</m:t>
        </m:r>
        <m:r>
          <m:t> </m:t>
        </m:r>
        <m:r>
          <m:t>470</m:t>
        </m:r>
        <m:r>
          <m:rPr>
            <m:sty m:val="p"/>
          </m:rPr>
          <m:t>,</m:t>
        </m:r>
        <m:r>
          <m:t>000</m:t>
        </m:r>
      </m:oMath>
      <w:r>
        <w:t xml:space="preserve"> </w:t>
      </w:r>
      <w:r>
        <w:t xml:space="preserve">per year.</w:t>
      </w:r>
    </w:p>
    <w:bookmarkEnd w:id="45"/>
    <w:bookmarkStart w:id="46" w:name="prevention-and-appraisal-costs."/>
    <w:p>
      <w:pPr>
        <w:pStyle w:val="Heading4"/>
      </w:pPr>
      <w:r>
        <w:t xml:space="preserve">Prevention and appraisal costs.</w:t>
      </w:r>
    </w:p>
    <w:p>
      <w:pPr>
        <w:pStyle w:val="FirstParagraph"/>
      </w:pPr>
      <w:r>
        <w:t xml:space="preserve">The prevention and appraisal additions associated with the implementation</w:t>
      </w:r>
      <w:r>
        <w:t xml:space="preserve"> </w:t>
      </w:r>
      <w:r>
        <w:t xml:space="preserve">of the Kirkpatrick evaluation comprise:</w:t>
      </w:r>
      <w:r>
        <w:t xml:space="preserve"> </w:t>
      </w:r>
      <w:r>
        <w:rPr>
          <w:i/>
          <w:iCs/>
        </w:rPr>
        <w:t xml:space="preserve">(i)</w:t>
      </w:r>
      <w:r>
        <w:t xml:space="preserve"> </w:t>
      </w:r>
      <w:r>
        <w:t xml:space="preserve">the labour cost of</w:t>
      </w:r>
      <w:r>
        <w:t xml:space="preserve"> </w:t>
      </w:r>
      <w:r>
        <w:t xml:space="preserve">the additional evaluation steps performed by supervisors and quality</w:t>
      </w:r>
      <w:r>
        <w:t xml:space="preserve"> </w:t>
      </w:r>
      <w:r>
        <w:t xml:space="preserve">engineers;</w:t>
      </w:r>
      <w:r>
        <w:t xml:space="preserve"> </w:t>
      </w:r>
      <w:r>
        <w:rPr>
          <w:i/>
          <w:iCs/>
        </w:rPr>
        <w:t xml:space="preserve">(ii)</w:t>
      </w:r>
      <w:r>
        <w:t xml:space="preserve"> </w:t>
      </w:r>
      <w:r>
        <w:t xml:space="preserve">the LMS configuration to gate ERP access on</w:t>
      </w:r>
      <w:r>
        <w:t xml:space="preserve"> </w:t>
      </w:r>
      <w:r>
        <w:t xml:space="preserve">Level 2 success; and</w:t>
      </w:r>
      <w:r>
        <w:t xml:space="preserve"> </w:t>
      </w:r>
      <w:r>
        <w:rPr>
          <w:i/>
          <w:iCs/>
        </w:rPr>
        <w:t xml:space="preserve">(iii)</w:t>
      </w:r>
      <w:r>
        <w:t xml:space="preserve"> </w:t>
      </w:r>
      <w:r>
        <w:t xml:space="preserve">the training of supervisors in the</w:t>
      </w:r>
      <w:r>
        <w:t xml:space="preserve"> </w:t>
      </w:r>
      <w:r>
        <w:t xml:space="preserve">behaviour-observation protocol. The facility reports a direct cost of</w:t>
      </w:r>
      <w:r>
        <w:t xml:space="preserve"> </w:t>
      </w:r>
      <w:r>
        <w:t xml:space="preserve">approximately USD 80</w:t>
      </w:r>
      <w:r>
        <w:t xml:space="preserve">,</w:t>
      </w:r>
      <w:r>
        <w:t xml:space="preserve">000–110</w:t>
      </w:r>
      <w:r>
        <w:t xml:space="preserve">,</w:t>
      </w:r>
      <w:r>
        <w:t xml:space="preserve">000 per year for these additions. To</w:t>
      </w:r>
      <w:r>
        <w:t xml:space="preserve"> </w:t>
      </w:r>
      <w:r>
        <w:t xml:space="preserve">acknowledge that this figure may underestimate the management time</w:t>
      </w:r>
      <w:r>
        <w:t xml:space="preserve"> </w:t>
      </w:r>
      <w:r>
        <w:t xml:space="preserve">required, the pessimistic scenario doubles this cost to USD 220</w:t>
      </w:r>
      <w:r>
        <w:t xml:space="preserve">,</w:t>
      </w:r>
      <w:r>
        <w:t xml:space="preserve">000.</w:t>
      </w:r>
    </w:p>
    <w:bookmarkEnd w:id="46"/>
    <w:bookmarkStart w:id="47" w:name="net-result-and-payback."/>
    <w:p>
      <w:pPr>
        <w:pStyle w:val="Heading4"/>
      </w:pPr>
      <w:r>
        <w:t xml:space="preserve">Net result and payback.</w:t>
      </w:r>
    </w:p>
    <w:p>
      <w:pPr>
        <w:pStyle w:val="FirstParagraph"/>
      </w:pPr>
      <w:r>
        <w:t xml:space="preserve">Aggregating the four categories, the simple annual net saving is</w:t>
      </w:r>
    </w:p>
    <w:p>
      <w:pPr>
        <w:pStyle w:val="BodyText"/>
      </w:pPr>
      <m:oMathPara>
        <m:oMathParaPr>
          <m:jc m:val="center"/>
        </m:oMathParaPr>
        <m:oMath>
          <m:r>
            <m:rPr>
              <m:sty m:val="p"/>
            </m:rPr>
            <m:t>Δ</m:t>
          </m:r>
          <m:sSub>
            <m:e>
              <m:r>
                <m:t>C</m:t>
              </m:r>
            </m:e>
            <m:sub>
              <m:r>
                <m:rPr>
                  <m:nor/>
                  <m:sty m:val="p"/>
                </m:rPr>
                <m:t>net</m:t>
              </m:r>
            </m:sub>
          </m:sSub>
          <m:r>
            <m:rPr>
              <m:sty m:val="p"/>
            </m:rPr>
            <m:t>=</m:t>
          </m:r>
          <m:r>
            <m:rPr>
              <m:sty m:val="p"/>
            </m:rPr>
            <m:t>Δ</m:t>
          </m:r>
          <m:sSub>
            <m:e>
              <m:r>
                <m:t>C</m:t>
              </m:r>
            </m:e>
            <m:sub>
              <m:r>
                <m:rPr>
                  <m:nor/>
                  <m:sty m:val="p"/>
                </m:rPr>
                <m:t>IF</m:t>
              </m:r>
            </m:sub>
          </m:sSub>
          <m:r>
            <m:rPr>
              <m:sty m:val="p"/>
            </m:rPr>
            <m:t>+</m:t>
          </m:r>
          <m:r>
            <m:rPr>
              <m:sty m:val="p"/>
            </m:rPr>
            <m:t>Δ</m:t>
          </m:r>
          <m:sSub>
            <m:e>
              <m:r>
                <m:t>C</m:t>
              </m:r>
            </m:e>
            <m:sub>
              <m:r>
                <m:rPr>
                  <m:nor/>
                  <m:sty m:val="p"/>
                </m:rPr>
                <m:t>EF</m:t>
              </m:r>
            </m:sub>
          </m:sSub>
          <m:r>
            <m:rPr>
              <m:sty m:val="p"/>
            </m:rPr>
            <m:t>−</m:t>
          </m:r>
          <m:sSub>
            <m:e>
              <m:r>
                <m:t>C</m:t>
              </m:r>
            </m:e>
            <m:sub>
              <m:r>
                <m:rPr>
                  <m:nor/>
                  <m:sty m:val="p"/>
                </m:rPr>
                <m:t>P&amp;A</m:t>
              </m:r>
            </m:sub>
          </m:sSub>
        </m:oMath>
      </m:oMathPara>
    </w:p>
    <w:p>
      <w:pPr>
        <w:pStyle w:val="FirstParagraph"/>
      </w:pPr>
      <w:r>
        <w:t xml:space="preserve">and the simple return on investment (ROI) for one year is</w:t>
      </w:r>
    </w:p>
    <w:p>
      <w:pPr>
        <w:pStyle w:val="BodyText"/>
      </w:pPr>
      <m:oMathPara>
        <m:oMathParaPr>
          <m:jc m:val="center"/>
        </m:oMathParaPr>
        <m:oMath>
          <m:r>
            <m:t>R</m:t>
          </m:r>
          <m:r>
            <m:t>O</m:t>
          </m:r>
          <m:r>
            <m:t>I</m:t>
          </m:r>
          <m:r>
            <m:rPr>
              <m:sty m:val="p"/>
            </m:rPr>
            <m:t>=</m:t>
          </m:r>
          <m:f>
            <m:fPr>
              <m:type m:val="bar"/>
            </m:fPr>
            <m:num>
              <m:r>
                <m:rPr>
                  <m:sty m:val="p"/>
                </m:rPr>
                <m:t>Δ</m:t>
              </m:r>
              <m:sSub>
                <m:e>
                  <m:r>
                    <m:t>C</m:t>
                  </m:r>
                </m:e>
                <m:sub>
                  <m:r>
                    <m:rPr>
                      <m:nor/>
                      <m:sty m:val="p"/>
                    </m:rPr>
                    <m:t>net</m:t>
                  </m:r>
                </m:sub>
              </m:sSub>
            </m:num>
            <m:den>
              <m:sSub>
                <m:e>
                  <m:r>
                    <m:t>C</m:t>
                  </m:r>
                </m:e>
                <m:sub>
                  <m:r>
                    <m:rPr>
                      <m:nor/>
                      <m:sty m:val="p"/>
                    </m:rPr>
                    <m:t>P&amp;A</m:t>
                  </m:r>
                </m:sub>
              </m:sSub>
            </m:den>
          </m:f>
          <m:r>
            <m:rPr>
              <m:sty m:val="p"/>
            </m:rPr>
            <m:t>×</m:t>
          </m:r>
          <m:r>
            <m:t>100</m:t>
          </m:r>
          <m:r>
            <m:rPr>
              <m:sty m:val="p"/>
            </m:rPr>
            <m:t>%</m:t>
          </m:r>
          <m:r>
            <m:rPr>
              <m:sty m:val="p"/>
            </m:rPr>
            <m:t>.</m:t>
          </m:r>
        </m:oMath>
      </m:oMathPara>
    </w:p>
    <w:p>
      <w:pPr>
        <w:pStyle w:val="FirstParagraph"/>
      </w:pPr>
      <w:r>
        <w:t xml:space="preserve">Under the base scenario,</w:t>
      </w:r>
      <w:r>
        <w:t xml:space="preserve"> </w:t>
      </w:r>
      <m:oMath>
        <m:r>
          <m:rPr>
            <m:sty m:val="p"/>
          </m:rPr>
          <m:t>Δ</m:t>
        </m:r>
        <m:sSub>
          <m:e>
            <m:r>
              <m:t>C</m:t>
            </m:r>
          </m:e>
          <m:sub>
            <m:r>
              <m:rPr>
                <m:nor/>
                <m:sty m:val="p"/>
              </m:rPr>
              <m:t>net</m:t>
            </m:r>
          </m:sub>
        </m:sSub>
        <m:r>
          <m:rPr>
            <m:sty m:val="p"/>
          </m:rPr>
          <m:t>≈</m:t>
        </m:r>
        <m:r>
          <m:rPr>
            <m:nor/>
            <m:sty m:val="p"/>
          </m:rPr>
          <m:t>USD</m:t>
        </m:r>
        <m:r>
          <m:t> </m:t>
        </m:r>
        <m:r>
          <m:t>1.19</m:t>
        </m:r>
      </m:oMath>
      <w:r>
        <w:t xml:space="preserve"> M and the payback period is well under twelve months.</w:t>
      </w:r>
      <w:r>
        <w:t xml:space="preserve"> </w:t>
      </w:r>
      <w:r>
        <w:t xml:space="preserve">Even under the pessimistic scenario, the payback period remains under one</w:t>
      </w:r>
      <w:r>
        <w:t xml:space="preserve"> </w:t>
      </w:r>
      <w:r>
        <w:t xml:space="preserve">year. We therefore frame the economic case primarily as</w:t>
      </w:r>
      <w:r>
        <w:t xml:space="preserve"> </w:t>
      </w:r>
      <w:r>
        <w:rPr>
          <w:i/>
          <w:iCs/>
        </w:rPr>
        <w:t xml:space="preserve">payback under twelve months</w:t>
      </w:r>
      <w:r>
        <w:t xml:space="preserve"> </w:t>
      </w:r>
      <w:r>
        <w:t xml:space="preserve">rather than as a single point estimate</w:t>
      </w:r>
      <w:r>
        <w:t xml:space="preserve"> </w:t>
      </w:r>
      <w:r>
        <w:t xml:space="preserve">of ROI, recognising that high-multiple ROI figures attract</w:t>
      </w:r>
      <w:r>
        <w:t xml:space="preserve"> </w:t>
      </w:r>
      <w:r>
        <w:t xml:space="preserve">appropriate scepticism in the absence of a controlled experiment.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 (USD per year)</w:t>
            </w:r>
          </w:p>
        </w:tc>
        <w:tc>
          <w:tcPr/>
          <w:p>
            <w:pPr>
              <w:pStyle w:val="Compact"/>
              <w:jc w:val="right"/>
            </w:pPr>
            <w:r>
              <w:rPr>
                <w:b/>
                <w:bCs/>
              </w:rPr>
              <w:t xml:space="preserve">Pessimistic</w:t>
            </w:r>
          </w:p>
        </w:tc>
        <w:tc>
          <w:tcPr/>
          <w:p>
            <w:pPr>
              <w:pStyle w:val="Compact"/>
              <w:jc w:val="right"/>
            </w:pPr>
            <w:r>
              <w:rPr>
                <w:b/>
                <w:bCs/>
              </w:rPr>
              <w:t xml:space="preserve">Base</w:t>
            </w:r>
          </w:p>
        </w:tc>
        <w:tc>
          <w:tcPr/>
          <w:p>
            <w:pPr>
              <w:pStyle w:val="Compact"/>
              <w:jc w:val="right"/>
            </w:pPr>
            <w:r>
              <w:rPr>
                <w:b/>
                <w:bCs/>
              </w:rPr>
              <w:t xml:space="preserve">Optimistic</w:t>
            </w:r>
          </w:p>
        </w:tc>
      </w:tr>
      <w:tr>
        <w:tc>
          <w:tcPr/>
          <w:p>
            <w:pPr>
              <w:pStyle w:val="Compact"/>
              <w:jc w:val="left"/>
            </w:pPr>
            <w:r>
              <w:t xml:space="preserve">Internal failure savings (</w:t>
            </w:r>
            <m:oMath>
              <m:r>
                <m:rPr>
                  <m:sty m:val="p"/>
                </m:rPr>
                <m:t>Δ</m:t>
              </m:r>
              <m:sSub>
                <m:e>
                  <m:r>
                    <m:t>C</m:t>
                  </m:r>
                </m:e>
                <m:sub>
                  <m:r>
                    <m:rPr>
                      <m:nor/>
                      <m:sty m:val="p"/>
                    </m:rPr>
                    <m:t>IF</m:t>
                  </m:r>
                </m:sub>
              </m:sSub>
            </m:oMath>
            <w:r>
              <w:t xml:space="preserve">)</w:t>
            </w:r>
          </w:p>
        </w:tc>
        <w:tc>
          <w:tcPr/>
          <w:p>
            <w:pPr>
              <w:pStyle w:val="Compact"/>
              <w:jc w:val="right"/>
            </w:pPr>
            <w:r>
              <w:t xml:space="preserve">621</w:t>
            </w:r>
            <w:r>
              <w:t xml:space="preserve">,</w:t>
            </w:r>
            <w:r>
              <w:t xml:space="preserve">000</w:t>
            </w:r>
          </w:p>
        </w:tc>
        <w:tc>
          <w:tcPr/>
          <w:p>
            <w:pPr>
              <w:pStyle w:val="Compact"/>
              <w:jc w:val="right"/>
            </w:pPr>
            <w:r>
              <w:t xml:space="preserve">828</w:t>
            </w:r>
            <w:r>
              <w:t xml:space="preserve">,</w:t>
            </w:r>
            <w:r>
              <w:t xml:space="preserve">000</w:t>
            </w:r>
          </w:p>
        </w:tc>
        <w:tc>
          <w:tcPr/>
          <w:p>
            <w:pPr>
              <w:pStyle w:val="Compact"/>
              <w:jc w:val="right"/>
            </w:pPr>
            <w:r>
              <w:t xml:space="preserve">1</w:t>
            </w:r>
            <w:r>
              <w:t xml:space="preserve">,</w:t>
            </w:r>
            <w:r>
              <w:t xml:space="preserve">035</w:t>
            </w:r>
            <w:r>
              <w:t xml:space="preserve">,</w:t>
            </w:r>
            <w:r>
              <w:t xml:space="preserve">000</w:t>
            </w:r>
          </w:p>
        </w:tc>
      </w:tr>
      <w:tr>
        <w:tc>
          <w:tcPr/>
          <w:p>
            <w:pPr>
              <w:pStyle w:val="Compact"/>
              <w:jc w:val="left"/>
            </w:pPr>
            <w:r>
              <w:t xml:space="preserve">External failure savings (</w:t>
            </w:r>
            <m:oMath>
              <m:r>
                <m:rPr>
                  <m:sty m:val="p"/>
                </m:rPr>
                <m:t>Δ</m:t>
              </m:r>
              <m:sSub>
                <m:e>
                  <m:r>
                    <m:t>C</m:t>
                  </m:r>
                </m:e>
                <m:sub>
                  <m:r>
                    <m:rPr>
                      <m:nor/>
                      <m:sty m:val="p"/>
                    </m:rPr>
                    <m:t>EF</m:t>
                  </m:r>
                </m:sub>
              </m:sSub>
            </m:oMath>
            <w:r>
              <w:t xml:space="preserve">)</w:t>
            </w:r>
          </w:p>
        </w:tc>
        <w:tc>
          <w:tcPr/>
          <w:p>
            <w:pPr>
              <w:pStyle w:val="Compact"/>
              <w:jc w:val="right"/>
            </w:pPr>
            <w:r>
              <w:t xml:space="preserve">352</w:t>
            </w:r>
            <w:r>
              <w:t xml:space="preserve">,</w:t>
            </w:r>
            <w:r>
              <w:t xml:space="preserve">000</w:t>
            </w:r>
          </w:p>
        </w:tc>
        <w:tc>
          <w:tcPr/>
          <w:p>
            <w:pPr>
              <w:pStyle w:val="Compact"/>
              <w:jc w:val="right"/>
            </w:pPr>
            <w:r>
              <w:t xml:space="preserve">470</w:t>
            </w:r>
            <w:r>
              <w:t xml:space="preserve">,</w:t>
            </w:r>
            <w:r>
              <w:t xml:space="preserve">000</w:t>
            </w:r>
          </w:p>
        </w:tc>
        <w:tc>
          <w:tcPr/>
          <w:p>
            <w:pPr>
              <w:pStyle w:val="Compact"/>
              <w:jc w:val="right"/>
            </w:pPr>
            <w:r>
              <w:t xml:space="preserve">588</w:t>
            </w:r>
            <w:r>
              <w:t xml:space="preserve">,</w:t>
            </w:r>
            <w:r>
              <w:t xml:space="preserve">000</w:t>
            </w:r>
          </w:p>
        </w:tc>
      </w:tr>
      <w:tr>
        <w:tc>
          <w:tcPr/>
          <w:p>
            <w:pPr>
              <w:pStyle w:val="Compact"/>
              <w:jc w:val="left"/>
            </w:pPr>
            <w:r>
              <w:t xml:space="preserve">Prevention and appraisal cost (</w:t>
            </w:r>
            <m:oMath>
              <m:sSub>
                <m:e>
                  <m:r>
                    <m:t>C</m:t>
                  </m:r>
                </m:e>
                <m:sub>
                  <m:r>
                    <m:rPr>
                      <m:nor/>
                      <m:sty m:val="p"/>
                    </m:rPr>
                    <m:t>P&amp;A</m:t>
                  </m:r>
                </m:sub>
              </m:sSub>
            </m:oMath>
            <w:r>
              <w:t xml:space="preserve">)</w:t>
            </w:r>
          </w:p>
        </w:tc>
        <w:tc>
          <w:tcPr/>
          <w:p>
            <w:pPr>
              <w:pStyle w:val="Compact"/>
              <w:jc w:val="right"/>
            </w:pPr>
            <m:oMath>
              <m:r>
                <m:rPr>
                  <m:sty m:val="p"/>
                </m:rPr>
                <m:t>−</m:t>
              </m:r>
            </m:oMath>
            <w:r>
              <w:t xml:space="preserve">220</w:t>
            </w:r>
            <w:r>
              <w:t xml:space="preserve">,</w:t>
            </w:r>
            <w:r>
              <w:t xml:space="preserve">000</w:t>
            </w:r>
          </w:p>
        </w:tc>
        <w:tc>
          <w:tcPr/>
          <w:p>
            <w:pPr>
              <w:pStyle w:val="Compact"/>
              <w:jc w:val="right"/>
            </w:pPr>
            <m:oMath>
              <m:r>
                <m:rPr>
                  <m:sty m:val="p"/>
                </m:rPr>
                <m:t>−</m:t>
              </m:r>
            </m:oMath>
            <w:r>
              <w:t xml:space="preserve">110</w:t>
            </w:r>
            <w:r>
              <w:t xml:space="preserve">,</w:t>
            </w:r>
            <w:r>
              <w:t xml:space="preserve">000</w:t>
            </w:r>
          </w:p>
        </w:tc>
        <w:tc>
          <w:tcPr/>
          <w:p>
            <w:pPr>
              <w:pStyle w:val="Compact"/>
              <w:jc w:val="right"/>
            </w:pPr>
            <m:oMath>
              <m:r>
                <m:rPr>
                  <m:sty m:val="p"/>
                </m:rPr>
                <m:t>−</m:t>
              </m:r>
            </m:oMath>
            <w:r>
              <w:t xml:space="preserve">80</w:t>
            </w:r>
            <w:r>
              <w:t xml:space="preserve">,</w:t>
            </w:r>
            <w:r>
              <w:t xml:space="preserve">000</w:t>
            </w:r>
          </w:p>
        </w:tc>
      </w:tr>
      <w:tr>
        <w:tc>
          <w:tcPr/>
          <w:p>
            <w:pPr>
              <w:pStyle w:val="Compact"/>
              <w:jc w:val="left"/>
            </w:pPr>
            <w:r>
              <w:rPr>
                <w:b/>
                <w:bCs/>
              </w:rPr>
              <w:t xml:space="preserve">Net annual saving</w:t>
            </w:r>
            <w:r>
              <w:t xml:space="preserve"> </w:t>
            </w:r>
            <w:r>
              <w:t xml:space="preserve">(</w:t>
            </w:r>
            <m:oMath>
              <m:r>
                <m:rPr>
                  <m:sty m:val="p"/>
                </m:rPr>
                <m:t>Δ</m:t>
              </m:r>
              <m:sSub>
                <m:e>
                  <m:r>
                    <m:t>C</m:t>
                  </m:r>
                </m:e>
                <m:sub>
                  <m:r>
                    <m:rPr>
                      <m:nor/>
                      <m:sty m:val="p"/>
                    </m:rPr>
                    <m:t>net</m:t>
                  </m:r>
                </m:sub>
              </m:sSub>
            </m:oMath>
            <w:r>
              <w:t xml:space="preserve">)</w:t>
            </w:r>
          </w:p>
        </w:tc>
        <w:tc>
          <w:tcPr/>
          <w:p>
            <w:pPr>
              <w:pStyle w:val="Compact"/>
              <w:jc w:val="right"/>
            </w:pPr>
            <w:r>
              <w:rPr>
                <w:b/>
                <w:bCs/>
              </w:rPr>
              <w:t xml:space="preserve">753</w:t>
            </w:r>
            <w:r>
              <w:rPr>
                <w:b/>
                <w:bCs/>
              </w:rPr>
              <w:t xml:space="preserve">,</w:t>
            </w:r>
            <w:r>
              <w:rPr>
                <w:b/>
                <w:bCs/>
              </w:rPr>
              <w:t xml:space="preserve">000</w:t>
            </w:r>
          </w:p>
        </w:tc>
        <w:tc>
          <w:tcPr/>
          <w:p>
            <w:pPr>
              <w:pStyle w:val="Compact"/>
              <w:jc w:val="right"/>
            </w:pPr>
            <w:r>
              <w:rPr>
                <w:b/>
                <w:bCs/>
              </w:rPr>
              <w:t xml:space="preserve">1</w:t>
            </w:r>
            <w:r>
              <w:rPr>
                <w:b/>
                <w:bCs/>
              </w:rPr>
              <w:t xml:space="preserve">,</w:t>
            </w:r>
            <w:r>
              <w:rPr>
                <w:b/>
                <w:bCs/>
              </w:rPr>
              <w:t xml:space="preserve">188</w:t>
            </w:r>
            <w:r>
              <w:rPr>
                <w:b/>
                <w:bCs/>
              </w:rPr>
              <w:t xml:space="preserve">,</w:t>
            </w:r>
            <w:r>
              <w:rPr>
                <w:b/>
                <w:bCs/>
              </w:rPr>
              <w:t xml:space="preserve">000</w:t>
            </w:r>
          </w:p>
        </w:tc>
        <w:tc>
          <w:tcPr/>
          <w:p>
            <w:pPr>
              <w:pStyle w:val="Compact"/>
              <w:jc w:val="right"/>
            </w:pPr>
            <w:r>
              <w:rPr>
                <w:b/>
                <w:bCs/>
              </w:rPr>
              <w:t xml:space="preserve">1</w:t>
            </w:r>
            <w:r>
              <w:rPr>
                <w:b/>
                <w:bCs/>
              </w:rPr>
              <w:t xml:space="preserve">,</w:t>
            </w:r>
            <w:r>
              <w:rPr>
                <w:b/>
                <w:bCs/>
              </w:rPr>
              <w:t xml:space="preserve">543</w:t>
            </w:r>
            <w:r>
              <w:rPr>
                <w:b/>
                <w:bCs/>
              </w:rPr>
              <w:t xml:space="preserve">,</w:t>
            </w:r>
            <w:r>
              <w:rPr>
                <w:b/>
                <w:bCs/>
              </w:rPr>
              <w:t xml:space="preserve">000</w:t>
            </w:r>
          </w:p>
        </w:tc>
      </w:tr>
      <w:tr>
        <w:tc>
          <w:tcPr/>
          <w:p>
            <w:pPr>
              <w:pStyle w:val="Compact"/>
              <w:jc w:val="left"/>
            </w:pPr>
            <w:r>
              <w:t xml:space="preserve">Implied simple payback (months)</w:t>
            </w:r>
          </w:p>
        </w:tc>
        <w:tc>
          <w:tcPr/>
          <w:p>
            <w:pPr>
              <w:pStyle w:val="Compact"/>
              <w:jc w:val="right"/>
            </w:pPr>
            <w:r>
              <w:t xml:space="preserve">3.5</w:t>
            </w:r>
          </w:p>
        </w:tc>
        <w:tc>
          <w:tcPr/>
          <w:p>
            <w:pPr>
              <w:pStyle w:val="Compact"/>
              <w:jc w:val="right"/>
            </w:pPr>
            <w:r>
              <w:t xml:space="preserve">1.1</w:t>
            </w:r>
          </w:p>
        </w:tc>
        <w:tc>
          <w:tcPr/>
          <w:p>
            <w:pPr>
              <w:pStyle w:val="Compact"/>
              <w:jc w:val="right"/>
            </w:pPr>
            <w:r>
              <w:t xml:space="preserve">0.6</w:t>
            </w:r>
          </w:p>
        </w:tc>
      </w:tr>
    </w:tbl>
    <w:p>
      <w:pPr>
        <w:pStyle w:val="BodyText"/>
      </w:pPr>
      <w:r>
        <w:br/>
      </w:r>
      <w:r>
        <w:rPr>
          <w:i/>
          <w:iCs/>
        </w:rPr>
        <w:t xml:space="preserve">Notes.</w:t>
      </w:r>
      <w:r>
        <w:t xml:space="preserve"> </w:t>
      </w:r>
      <w:r>
        <w:t xml:space="preserve">Internal-failure savings are computed from</w:t>
      </w:r>
      <w:r>
        <w:t xml:space="preserve"> </w:t>
      </w:r>
      <w:r>
        <w:t xml:space="preserve">Eq. </w:t>
      </w:r>
      <w:hyperlink w:anchor="eq:internal">
        <w:r>
          <w:rPr>
            <w:rStyle w:val="Hyperlink"/>
          </w:rPr>
          <w:t xml:space="preserve">[eq:internal]</w:t>
        </w:r>
      </w:hyperlink>
      <w:r>
        <w:t xml:space="preserve"> </w:t>
      </w:r>
      <w:r>
        <w:t xml:space="preserve">with</w:t>
      </w:r>
      <w:r>
        <w:t xml:space="preserve"> </w:t>
      </w:r>
      <m:oMath>
        <m:sSub>
          <m:e>
            <m:r>
              <m:t>L</m:t>
            </m:r>
          </m:e>
          <m:sub>
            <m:r>
              <m:t>h</m:t>
            </m:r>
          </m:sub>
        </m:sSub>
        <m:r>
          <m:rPr>
            <m:sty m:val="p"/>
          </m:rPr>
          <m:t>≈</m:t>
        </m:r>
        <m:r>
          <m:t>4</m:t>
        </m:r>
        <m:r>
          <m:rPr>
            <m:sty m:val="p"/>
          </m:rPr>
          <m:t>,</m:t>
        </m:r>
        <m:r>
          <m:t>800</m:t>
        </m:r>
      </m:oMath>
      <w:r>
        <w:t xml:space="preserve"> h,</w:t>
      </w:r>
      <w:r>
        <w:t xml:space="preserve"> </w:t>
      </w:r>
      <m:oMath>
        <m:r>
          <m:t>R</m:t>
        </m:r>
        <m:r>
          <m:rPr>
            <m:sty m:val="p"/>
          </m:rPr>
          <m:t>≈</m:t>
        </m:r>
        <m:r>
          <m:t>85</m:t>
        </m:r>
      </m:oMath>
      <w:r>
        <w:t xml:space="preserve"> USD/h,</w:t>
      </w:r>
      <w:r>
        <w:t xml:space="preserve"> </w:t>
      </w:r>
      <m:oMath>
        <m:sSub>
          <m:e>
            <m:r>
              <m:t>S</m:t>
            </m:r>
          </m:e>
          <m:sub>
            <m:r>
              <m:t>c</m:t>
            </m:r>
          </m:sub>
        </m:sSub>
        <m:r>
          <m:rPr>
            <m:sty m:val="p"/>
          </m:rPr>
          <m:t>≈</m:t>
        </m:r>
        <m:r>
          <m:t>12</m:t>
        </m:r>
      </m:oMath>
      <w:r>
        <w:t xml:space="preserve"> </w:t>
      </w:r>
      <w:r>
        <w:t xml:space="preserve">components and</w:t>
      </w:r>
      <w:r>
        <w:t xml:space="preserve"> </w:t>
      </w:r>
      <m:oMath>
        <m:sSub>
          <m:e>
            <m:acc>
              <m:accPr>
                <m:chr m:val="‾"/>
              </m:accPr>
              <m:e>
                <m:r>
                  <m:t>P</m:t>
                </m:r>
              </m:e>
            </m:acc>
          </m:e>
          <m:sub>
            <m:r>
              <m:t>c</m:t>
            </m:r>
          </m:sub>
        </m:sSub>
        <m:r>
          <m:rPr>
            <m:sty m:val="p"/>
          </m:rPr>
          <m:t>≈</m:t>
        </m:r>
        <m:r>
          <m:t>35</m:t>
        </m:r>
        <m:r>
          <m:rPr>
            <m:sty m:val="p"/>
          </m:rPr>
          <m:t>,</m:t>
        </m:r>
        <m:r>
          <m:t>000</m:t>
        </m:r>
      </m:oMath>
      <w:r>
        <w:t xml:space="preserve"> USD; external-failure savings from</w:t>
      </w:r>
      <w:r>
        <w:t xml:space="preserve"> </w:t>
      </w:r>
      <w:r>
        <w:t xml:space="preserve">Eq. </w:t>
      </w:r>
      <w:hyperlink w:anchor="eq:external">
        <w:r>
          <w:rPr>
            <w:rStyle w:val="Hyperlink"/>
          </w:rPr>
          <w:t xml:space="preserve">[eq:external]</w:t>
        </w:r>
      </w:hyperlink>
      <w:r>
        <w:t xml:space="preserve">. Pessimistic and optimistic columns apply</w:t>
      </w:r>
      <w:r>
        <w:t xml:space="preserve"> </w:t>
      </w:r>
      <m:oMath>
        <m:r>
          <m:rPr>
            <m:sty m:val="p"/>
          </m:rPr>
          <m:t>±</m:t>
        </m:r>
        <m:r>
          <m:t>25</m:t>
        </m:r>
        <m:r>
          <m:rPr>
            <m:sty m:val="p"/>
          </m:rPr>
          <m:t>%</m:t>
        </m:r>
      </m:oMath>
      <w:r>
        <w:t xml:space="preserve"> </w:t>
      </w:r>
      <w:r>
        <w:t xml:space="preserve">to the base reductions, with the pessimistic scenario also</w:t>
      </w:r>
      <w:r>
        <w:t xml:space="preserve"> </w:t>
      </w:r>
      <w:r>
        <w:t xml:space="preserve">doubling</w:t>
      </w:r>
      <w:r>
        <w:t xml:space="preserve"> </w:t>
      </w:r>
      <m:oMath>
        <m:sSub>
          <m:e>
            <m:r>
              <m:t>C</m:t>
            </m:r>
          </m:e>
          <m:sub>
            <m:r>
              <m:rPr>
                <m:nor/>
                <m:sty m:val="p"/>
              </m:rPr>
              <m:t>P&amp;A</m:t>
            </m:r>
          </m:sub>
        </m:sSub>
      </m:oMath>
      <w:r>
        <w:t xml:space="preserve"> </w:t>
      </w:r>
      <w:r>
        <w:t xml:space="preserve">to acknowledge management time that may be</w:t>
      </w:r>
      <w:r>
        <w:t xml:space="preserve"> </w:t>
      </w:r>
      <w:r>
        <w:t xml:space="preserve">underestimated.</w:t>
      </w:r>
    </w:p>
    <w:bookmarkEnd w:id="47"/>
    <w:bookmarkStart w:id="48" w:name="sustainability-translation."/>
    <w:p>
      <w:pPr>
        <w:pStyle w:val="Heading4"/>
      </w:pPr>
      <w:r>
        <w:t xml:space="preserve">Sustainability translation.</w:t>
      </w:r>
    </w:p>
    <w:p>
      <w:pPr>
        <w:pStyle w:val="FirstParagraph"/>
      </w:pPr>
      <w:r>
        <w:t xml:space="preserve">The reduction in scrap, rework and expedited shipping carries</w:t>
      </w:r>
      <w:r>
        <w:t xml:space="preserve"> </w:t>
      </w:r>
      <w:r>
        <w:t xml:space="preserve">proportionate reductions in material consumption, energy use and Scope 3</w:t>
      </w:r>
      <w:r>
        <w:t xml:space="preserve"> </w:t>
      </w:r>
      <w:r>
        <w:t xml:space="preserve">transport emissions. While disaggregated environmental data are not</w:t>
      </w:r>
      <w:r>
        <w:t xml:space="preserve"> </w:t>
      </w:r>
      <w:r>
        <w:t xml:space="preserve">available at the line-item level, the order-of-magnitude argument is</w:t>
      </w:r>
      <w:r>
        <w:t xml:space="preserve"> </w:t>
      </w:r>
      <w:r>
        <w:t xml:space="preserve">straightforward: every component not scrapped preserves the embodied</w:t>
      </w:r>
      <w:r>
        <w:t xml:space="preserve"> </w:t>
      </w:r>
      <w:r>
        <w:t xml:space="preserve">energy and raw material of that component; every overhaul not reworked</w:t>
      </w:r>
      <w:r>
        <w:t xml:space="preserve"> </w:t>
      </w:r>
      <w:r>
        <w:t xml:space="preserve">preserves the corresponding labour-hours and facility-energy consumption.</w:t>
      </w:r>
      <w:r>
        <w:t xml:space="preserve"> </w:t>
      </w:r>
      <w:r>
        <w:t xml:space="preserve">Quantification of these translations at the kilogram, kilowatt-hour and</w:t>
      </w:r>
      <w:r>
        <w:t xml:space="preserve"> </w:t>
      </w:r>
      <w:r>
        <w:t xml:space="preserve">kgCO</w:t>
      </w:r>
      <w:r>
        <w:rPr>
          <w:vertAlign w:val="subscript"/>
        </w:rPr>
        <w:t xml:space="preserve">2</w:t>
      </w:r>
      <w:r>
        <w:t xml:space="preserve">-equivalent level is identified as a future-research</w:t>
      </w:r>
      <w:r>
        <w:t xml:space="preserve"> </w:t>
      </w:r>
      <w:r>
        <w:t xml:space="preserve">priority (Section </w:t>
      </w:r>
      <w:hyperlink w:anchor="subsec:limitations">
        <w:r>
          <w:rPr>
            <w:rStyle w:val="Hyperlink"/>
          </w:rPr>
          <w:t xml:space="preserve">8.4</w:t>
        </w:r>
      </w:hyperlink>
      <w:r>
        <w:t xml:space="preserve">).</w:t>
      </w:r>
    </w:p>
    <w:bookmarkEnd w:id="48"/>
    <w:bookmarkEnd w:id="49"/>
    <w:bookmarkEnd w:id="50"/>
    <w:bookmarkStart w:id="56" w:name="sec:discussion"/>
    <w:p>
      <w:pPr>
        <w:pStyle w:val="Heading1"/>
      </w:pPr>
      <w:r>
        <w:t xml:space="preserve">Discussion</w:t>
      </w:r>
    </w:p>
    <w:p>
      <w:pPr>
        <w:pStyle w:val="FirstParagraph"/>
      </w:pPr>
      <w:r>
        <w:t xml:space="preserve">The findings reported in Section </w:t>
      </w:r>
      <w:hyperlink w:anchor="sec:results">
        <w:r>
          <w:rPr>
            <w:rStyle w:val="Hyperlink"/>
          </w:rPr>
          <w:t xml:space="preserve">4</w:t>
        </w:r>
      </w:hyperlink>
      <w:r>
        <w:t xml:space="preserve"> </w:t>
      </w:r>
      <w:r>
        <w:t xml:space="preserve">are interpreted in this</w:t>
      </w:r>
      <w:r>
        <w:t xml:space="preserve"> </w:t>
      </w:r>
      <w:r>
        <w:t xml:space="preserve">section against the four Kirkpatrick levels and against the existing</w:t>
      </w:r>
      <w:r>
        <w:t xml:space="preserve"> </w:t>
      </w:r>
      <w:r>
        <w:t xml:space="preserve">literature. The discussion is organised by level, with each subsection</w:t>
      </w:r>
      <w:r>
        <w:t xml:space="preserve"> </w:t>
      </w:r>
      <w:r>
        <w:t xml:space="preserve">ending in a synthesis statement that connects the operational finding to</w:t>
      </w:r>
      <w:r>
        <w:t xml:space="preserve"> </w:t>
      </w:r>
      <w:r>
        <w:t xml:space="preserve">both safety and sustainability outcomes.</w:t>
      </w:r>
    </w:p>
    <w:bookmarkStart w:id="51" w:name="subsec:disc-reaction"/>
    <w:p>
      <w:pPr>
        <w:pStyle w:val="Heading2"/>
      </w:pPr>
      <w:r>
        <w:t xml:space="preserve">Reaction: foundations for engagement and efficiency</w:t>
      </w:r>
    </w:p>
    <w:p>
      <w:pPr>
        <w:pStyle w:val="FirstParagraph"/>
      </w:pPr>
      <w:r>
        <w:t xml:space="preserve">The reaction scores observed across the ten sampled sessions</w:t>
      </w:r>
      <w:r>
        <w:t xml:space="preserve"> </w:t>
      </w:r>
      <w:r>
        <w:t xml:space="preserve">(Fig. </w:t>
      </w:r>
      <w:hyperlink w:anchor="fig:scores-reaction">
        <w:r>
          <w:rPr>
            <w:rStyle w:val="Hyperlink"/>
          </w:rPr>
          <w:t xml:space="preserve">6</w:t>
        </w:r>
      </w:hyperlink>
      <w:r>
        <w:t xml:space="preserve">) confirm that the redesigned process</w:t>
      </w:r>
      <w:r>
        <w:t xml:space="preserve"> </w:t>
      </w:r>
      <w:r>
        <w:t xml:space="preserve">preserved participant engagement. While reaction data are sometimes dismissed</w:t>
      </w:r>
      <w:r>
        <w:t xml:space="preserve"> </w:t>
      </w:r>
      <w:r>
        <w:t xml:space="preserve">as a weak signal</w:t>
      </w:r>
      <w:r>
        <w:t xml:space="preserve"> </w:t>
      </w:r>
      <w:r>
        <w:t xml:space="preserve">(Patel et al. 2023)</w:t>
      </w:r>
      <w:r>
        <w:t xml:space="preserve">, two observations justify retaining</w:t>
      </w:r>
      <w:r>
        <w:t xml:space="preserve"> </w:t>
      </w:r>
      <w:r>
        <w:t xml:space="preserve">Level 1 in regulated environments. First, sustained engagement is a</w:t>
      </w:r>
      <w:r>
        <w:t xml:space="preserve"> </w:t>
      </w:r>
      <w:r>
        <w:t xml:space="preserve">necessary (although not sufficient) condition for the Level 2 and Level 3</w:t>
      </w:r>
      <w:r>
        <w:t xml:space="preserve"> </w:t>
      </w:r>
      <w:r>
        <w:t xml:space="preserve">outcomes that follow. Second, structured analysis of the items below the</w:t>
      </w:r>
      <w:r>
        <w:t xml:space="preserve"> </w:t>
      </w:r>
      <w:r>
        <w:t xml:space="preserve">target threshold provides early warning of instructor or content issues,</w:t>
      </w:r>
      <w:r>
        <w:t xml:space="preserve"> </w:t>
      </w:r>
      <w:r>
        <w:t xml:space="preserve">which avoids the cost of discovering those issues later through poor</w:t>
      </w:r>
      <w:r>
        <w:t xml:space="preserve"> </w:t>
      </w:r>
      <w:r>
        <w:t xml:space="preserve">behavioural or operational outcomes</w:t>
      </w:r>
      <w:r>
        <w:t xml:space="preserve"> </w:t>
      </w:r>
      <w:r>
        <w:t xml:space="preserve">(O’Connor et al. 2024)</w:t>
      </w:r>
      <w:r>
        <w:t xml:space="preserve">. The two</w:t>
      </w:r>
      <w:r>
        <w:t xml:space="preserve"> </w:t>
      </w:r>
      <w:r>
        <w:t xml:space="preserve">sub-9 scores identified in the sampled cohort triggered targeted follow-up</w:t>
      </w:r>
      <w:r>
        <w:t xml:space="preserve"> </w:t>
      </w:r>
      <w:r>
        <w:t xml:space="preserve">that, in both cases, resolved instructional or scheduling problems before</w:t>
      </w:r>
      <w:r>
        <w:t xml:space="preserve"> </w:t>
      </w:r>
      <w:r>
        <w:t xml:space="preserve">they propagated into Level 2 or Level 3.</w:t>
      </w:r>
    </w:p>
    <w:bookmarkEnd w:id="51"/>
    <w:bookmarkStart w:id="52" w:name="subsec:disc-learning"/>
    <w:p>
      <w:pPr>
        <w:pStyle w:val="Heading2"/>
      </w:pPr>
      <w:r>
        <w:t xml:space="preserve">Learning: verifying knowledge to prevent future waste</w:t>
      </w:r>
    </w:p>
    <w:p>
      <w:pPr>
        <w:pStyle w:val="FirstParagraph"/>
      </w:pPr>
      <w:r>
        <w:t xml:space="preserve">The increase in first-attempt pass rate from 78% to 86%</w:t>
      </w:r>
      <w:r>
        <w:t xml:space="preserve"> </w:t>
      </w:r>
      <w:r>
        <w:t xml:space="preserve">(Fig. </w:t>
      </w:r>
      <w:hyperlink w:anchor="fig:scores-grades">
        <w:r>
          <w:rPr>
            <w:rStyle w:val="Hyperlink"/>
          </w:rPr>
          <w:t xml:space="preserve">7</w:t>
        </w:r>
      </w:hyperlink>
      <w:r>
        <w:t xml:space="preserve">) is consistent with prior findings that</w:t>
      </w:r>
      <w:r>
        <w:t xml:space="preserve"> </w:t>
      </w:r>
      <w:r>
        <w:t xml:space="preserve">explicit pass-mark assessment, combined with structured re-training of</w:t>
      </w:r>
      <w:r>
        <w:t xml:space="preserve"> </w:t>
      </w:r>
      <w:r>
        <w:t xml:space="preserve">those who fail, increases the proportion of participants who reach the</w:t>
      </w:r>
      <w:r>
        <w:t xml:space="preserve"> </w:t>
      </w:r>
      <w:r>
        <w:t xml:space="preserve">required knowledge level without ever entering production with an</w:t>
      </w:r>
      <w:r>
        <w:t xml:space="preserve"> </w:t>
      </w:r>
      <w:r>
        <w:t xml:space="preserve">unverified competency</w:t>
      </w:r>
      <w:r>
        <w:t xml:space="preserve"> </w:t>
      </w:r>
      <w:r>
        <w:t xml:space="preserve">(Nakamura et al. 2024; García and López 2024)</w:t>
      </w:r>
      <w:r>
        <w:t xml:space="preserve">. Importantly, this</w:t>
      </w:r>
      <w:r>
        <w:t xml:space="preserve"> </w:t>
      </w:r>
      <w:r>
        <w:t xml:space="preserve">benefit is observable only when Level 2 is implemented systematically; the</w:t>
      </w:r>
      <w:r>
        <w:t xml:space="preserve"> </w:t>
      </w:r>
      <w:r>
        <w:t xml:space="preserve">common shortcut of treating attendance as evidence of competency reproduces</w:t>
      </w:r>
      <w:r>
        <w:t xml:space="preserve"> </w:t>
      </w:r>
      <w:r>
        <w:t xml:space="preserve">the compliance paradox identified by</w:t>
      </w:r>
      <w:r>
        <w:t xml:space="preserve"> </w:t>
      </w:r>
      <w:r>
        <w:t xml:space="preserve">Nakamura et al. (2024)</w:t>
      </w:r>
      <w:r>
        <w:t xml:space="preserve">.</w:t>
      </w:r>
    </w:p>
    <w:p>
      <w:pPr>
        <w:pStyle w:val="BodyText"/>
      </w:pPr>
      <w:r>
        <w:t xml:space="preserve">The connection to sustainability is direct: every participant who reaches</w:t>
      </w:r>
      <w:r>
        <w:t xml:space="preserve"> </w:t>
      </w:r>
      <w:r>
        <w:t xml:space="preserve">the production floor with a verified competency carries a lower probability</w:t>
      </w:r>
      <w:r>
        <w:t xml:space="preserve"> </w:t>
      </w:r>
      <w:r>
        <w:t xml:space="preserve">of generating internal-failure events that consume rework labour, scrapped</w:t>
      </w:r>
      <w:r>
        <w:t xml:space="preserve"> </w:t>
      </w:r>
      <w:r>
        <w:t xml:space="preserve">materials and energy.</w:t>
      </w:r>
    </w:p>
    <w:bookmarkEnd w:id="52"/>
    <w:bookmarkStart w:id="53" w:name="subsec:disc-behaviour"/>
    <w:p>
      <w:pPr>
        <w:pStyle w:val="Heading2"/>
      </w:pPr>
      <w:r>
        <w:t xml:space="preserve">Behaviour: translating knowledge into sustainable practices</w:t>
      </w:r>
    </w:p>
    <w:p>
      <w:pPr>
        <w:pStyle w:val="FirstParagraph"/>
      </w:pPr>
      <w:r>
        <w:t xml:space="preserve">The 23-percentage-point increase in observed adherence to the work-card</w:t>
      </w:r>
      <w:r>
        <w:t xml:space="preserve"> </w:t>
      </w:r>
      <w:r>
        <w:t xml:space="preserve">consultation protocol (from 71% to 94%) is the most consequential</w:t>
      </w:r>
      <w:r>
        <w:t xml:space="preserve"> </w:t>
      </w:r>
      <w:r>
        <w:t xml:space="preserve">behavioural change documented in this study. It is consistent with the</w:t>
      </w:r>
      <w:r>
        <w:t xml:space="preserve"> </w:t>
      </w:r>
      <w:r>
        <w:t xml:space="preserve">cognitive bottleneck argument of</w:t>
      </w:r>
      <w:r>
        <w:t xml:space="preserve"> </w:t>
      </w:r>
      <w:r>
        <w:t xml:space="preserve">Dismukes (2023)</w:t>
      </w:r>
      <w:r>
        <w:t xml:space="preserve">: when training is</w:t>
      </w:r>
      <w:r>
        <w:t xml:space="preserve"> </w:t>
      </w:r>
      <w:r>
        <w:t xml:space="preserve">reinforced with structured on-the-job observation, technicians internalise</w:t>
      </w:r>
      <w:r>
        <w:t xml:space="preserve"> </w:t>
      </w:r>
      <w:r>
        <w:t xml:space="preserve">the work-card consultation as a default rather than as a discretionary</w:t>
      </w:r>
      <w:r>
        <w:t xml:space="preserve"> </w:t>
      </w:r>
      <w:r>
        <w:t xml:space="preserve">step. From a Reason-style system-safety perspective</w:t>
      </w:r>
      <w:r>
        <w:t xml:space="preserve"> </w:t>
      </w:r>
      <w:r>
        <w:t xml:space="preserve">(Reason 2016; Leveson 2024)</w:t>
      </w:r>
      <w:r>
        <w:t xml:space="preserve">, the work-card consultation is a defensive layer that</w:t>
      </w:r>
      <w:r>
        <w:t xml:space="preserve"> </w:t>
      </w:r>
      <w:r>
        <w:t xml:space="preserve">intercepts errors before they propagate.</w:t>
      </w:r>
    </w:p>
    <w:p>
      <w:pPr>
        <w:pStyle w:val="BodyText"/>
      </w:pPr>
      <w:r>
        <w:t xml:space="preserve">The sustainability translation is again direct: every error intercepted at</w:t>
      </w:r>
      <w:r>
        <w:t xml:space="preserve"> </w:t>
      </w:r>
      <w:r>
        <w:t xml:space="preserve">the level of the work-card avoids the downstream cascade of rework, scrap,</w:t>
      </w:r>
      <w:r>
        <w:t xml:space="preserve"> </w:t>
      </w:r>
      <w:r>
        <w:t xml:space="preserve">warranty, concession and expedited shipping.</w:t>
      </w:r>
    </w:p>
    <w:bookmarkEnd w:id="53"/>
    <w:bookmarkStart w:id="54" w:name="subsec:disc-results"/>
    <w:p>
      <w:pPr>
        <w:pStyle w:val="Heading2"/>
      </w:pPr>
      <w:r>
        <w:t xml:space="preserve">Results: quantifying the strategic impact on performance and waste</w:t>
      </w:r>
    </w:p>
    <w:p>
      <w:pPr>
        <w:pStyle w:val="FirstParagraph"/>
      </w:pPr>
      <w:r>
        <w:t xml:space="preserve">The 28% reduction in training failures, the 35% reduction in regulatory</w:t>
      </w:r>
      <w:r>
        <w:t xml:space="preserve"> </w:t>
      </w:r>
      <w:r>
        <w:t xml:space="preserve">non-conformances, the approximately 6% turnaround-time improvement and the</w:t>
      </w:r>
      <w:r>
        <w:t xml:space="preserve"> </w:t>
      </w:r>
      <w:r>
        <w:t xml:space="preserve">across-the-board increase in customer satisfaction</w:t>
      </w:r>
      <w:r>
        <w:t xml:space="preserve"> </w:t>
      </w:r>
      <w:r>
        <w:t xml:space="preserve">(Fig. </w:t>
      </w:r>
      <w:hyperlink w:anchor="fig:customer-satisfaction">
        <w:r>
          <w:rPr>
            <w:rStyle w:val="Hyperlink"/>
          </w:rPr>
          <w:t xml:space="preserve">8</w:t>
        </w:r>
      </w:hyperlink>
      <w:r>
        <w:t xml:space="preserve">, Table </w:t>
      </w:r>
      <w:hyperlink w:anchor="tab:before-after">
        <w:r>
          <w:rPr>
            <w:rStyle w:val="Hyperlink"/>
          </w:rPr>
          <w:t xml:space="preserve">[tab:before-after]</w:t>
        </w:r>
      </w:hyperlink>
      <w:r>
        <w:t xml:space="preserve">) jointly</w:t>
      </w:r>
      <w:r>
        <w:t xml:space="preserve"> </w:t>
      </w:r>
      <w:r>
        <w:t xml:space="preserve">indicate that the Kirkpatrick-based redesign was associated with measurable</w:t>
      </w:r>
      <w:r>
        <w:t xml:space="preserve"> </w:t>
      </w:r>
      <w:r>
        <w:t xml:space="preserve">movements at the strategic level. The financial translation in</w:t>
      </w:r>
      <w:r>
        <w:t xml:space="preserve"> </w:t>
      </w:r>
      <w:r>
        <w:t xml:space="preserve">Section </w:t>
      </w:r>
      <w:hyperlink w:anchor="subsec:results-economic">
        <w:r>
          <w:rPr>
            <w:rStyle w:val="Hyperlink"/>
          </w:rPr>
          <w:t xml:space="preserve">4.5</w:t>
        </w:r>
      </w:hyperlink>
      <w:r>
        <w:t xml:space="preserve"> </w:t>
      </w:r>
      <w:r>
        <w:t xml:space="preserve">estimates an annual net saving in</w:t>
      </w:r>
      <w:r>
        <w:t xml:space="preserve"> </w:t>
      </w:r>
      <w:r>
        <w:t xml:space="preserve">the range of USD 0.75–1.5 M across scenarios (USD 1.19 M base case).</w:t>
      </w:r>
    </w:p>
    <w:p>
      <w:pPr>
        <w:pStyle w:val="BodyText"/>
      </w:pPr>
      <w:r>
        <w:t xml:space="preserve">These figures are in the same order of magnitude as those reported in</w:t>
      </w:r>
      <w:r>
        <w:t xml:space="preserve"> </w:t>
      </w:r>
      <w:r>
        <w:t xml:space="preserve">recent comparable case work in MRO settings</w:t>
      </w:r>
      <w:r>
        <w:t xml:space="preserve"> </w:t>
      </w:r>
      <w:r>
        <w:t xml:space="preserve">(Zhang et al. 2025; Sousa et al. 2025)</w:t>
      </w:r>
      <w:r>
        <w:t xml:space="preserve">,</w:t>
      </w:r>
      <w:r>
        <w:t xml:space="preserve"> </w:t>
      </w:r>
      <w:r>
        <w:t xml:space="preserve">which lends external plausibility despite the single-site limitation and</w:t>
      </w:r>
      <w:r>
        <w:t xml:space="preserve"> </w:t>
      </w:r>
      <w:r>
        <w:t xml:space="preserve">the absence of a concurrent control group.</w:t>
      </w:r>
    </w:p>
    <w:bookmarkEnd w:id="54"/>
    <w:bookmarkStart w:id="55" w:name="subsec:disc-synthesis"/>
    <w:p>
      <w:pPr>
        <w:pStyle w:val="Heading2"/>
      </w:pPr>
      <w:r>
        <w:t xml:space="preserve">Synthesis: a framework for integrated compliance and sustainability</w:t>
      </w:r>
    </w:p>
    <w:p>
      <w:pPr>
        <w:pStyle w:val="FirstParagraph"/>
      </w:pPr>
      <w:r>
        <w:t xml:space="preserve">Taken together, the level-by-level findings support the central proposition</w:t>
      </w:r>
      <w:r>
        <w:t xml:space="preserve"> </w:t>
      </w:r>
      <w:r>
        <w:t xml:space="preserve">of this study: a Kirkpatrick-based training evaluation framework can be</w:t>
      </w:r>
      <w:r>
        <w:t xml:space="preserve"> </w:t>
      </w:r>
      <w:r>
        <w:t xml:space="preserve">operationalised in an AS9100-certified MRO facility in a way that</w:t>
      </w:r>
      <w:r>
        <w:t xml:space="preserve"> </w:t>
      </w:r>
      <w:r>
        <w:t xml:space="preserve">delivers simultaneously on compliance, safety and sustainability. The</w:t>
      </w:r>
      <w:r>
        <w:t xml:space="preserve"> </w:t>
      </w:r>
      <w:r>
        <w:t xml:space="preserve">conceptual model in Figure </w:t>
      </w:r>
      <w:hyperlink w:anchor="fig:conceptual">
        <w:r>
          <w:rPr>
            <w:rStyle w:val="Hyperlink"/>
          </w:rPr>
          <w:t xml:space="preserve">1</w:t>
        </w:r>
      </w:hyperlink>
      <w:r>
        <w:t xml:space="preserve"> </w:t>
      </w:r>
      <w:r>
        <w:t xml:space="preserve">captures this synthesis:</w:t>
      </w:r>
      <w:r>
        <w:t xml:space="preserve"> </w:t>
      </w:r>
      <w:r>
        <w:t xml:space="preserve">each Kirkpatrick level is mapped onto a specific cluster of AS9100</w:t>
      </w:r>
      <w:r>
        <w:t xml:space="preserve"> </w:t>
      </w:r>
      <w:r>
        <w:t xml:space="preserve">clauses, a specific SMS pillar and a specific class of sustainability</w:t>
      </w:r>
      <w:r>
        <w:t xml:space="preserve"> </w:t>
      </w:r>
      <w:r>
        <w:t xml:space="preserve">indicators (waste, energy, emissions, social capital). The remainder of</w:t>
      </w:r>
      <w:r>
        <w:t xml:space="preserve"> </w:t>
      </w:r>
      <w:r>
        <w:t xml:space="preserve">the paper draws managerial and policy implications from this synthesis.</w:t>
      </w:r>
    </w:p>
    <w:bookmarkEnd w:id="55"/>
    <w:bookmarkEnd w:id="56"/>
    <w:bookmarkStart w:id="61" w:name="sec:managerial"/>
    <w:p>
      <w:pPr>
        <w:pStyle w:val="Heading1"/>
      </w:pPr>
      <w:r>
        <w:t xml:space="preserve">Managerial implications</w:t>
      </w:r>
    </w:p>
    <w:p>
      <w:pPr>
        <w:pStyle w:val="FirstParagraph"/>
      </w:pPr>
      <w:r>
        <w:t xml:space="preserve">The findings translate into four classes of managerial implication for</w:t>
      </w:r>
      <w:r>
        <w:t xml:space="preserve"> </w:t>
      </w:r>
      <w:r>
        <w:t xml:space="preserve">MRO facilities, airline quality departments and audit functions:</w:t>
      </w:r>
      <w:r>
        <w:t xml:space="preserve"> </w:t>
      </w:r>
      <w:r>
        <w:t xml:space="preserve">(</w:t>
      </w:r>
      <w:hyperlink w:anchor="subsec:mgr-costbenefit">
        <w:r>
          <w:rPr>
            <w:rStyle w:val="Hyperlink"/>
          </w:rPr>
          <w:t xml:space="preserve">6.1</w:t>
        </w:r>
      </w:hyperlink>
      <w:r>
        <w:t xml:space="preserve">) the cost–benefit case;</w:t>
      </w:r>
      <w:r>
        <w:t xml:space="preserve"> </w:t>
      </w:r>
      <w:r>
        <w:t xml:space="preserve">(</w:t>
      </w:r>
      <w:hyperlink w:anchor="subsec:mgr-integration">
        <w:r>
          <w:rPr>
            <w:rStyle w:val="Hyperlink"/>
          </w:rPr>
          <w:t xml:space="preserve">6.2</w:t>
        </w:r>
      </w:hyperlink>
      <w:r>
        <w:t xml:space="preserve">) integration with existing SMS and ERP</w:t>
      </w:r>
      <w:r>
        <w:t xml:space="preserve"> </w:t>
      </w:r>
      <w:r>
        <w:t xml:space="preserve">infrastructure;</w:t>
      </w:r>
      <w:r>
        <w:t xml:space="preserve"> </w:t>
      </w:r>
      <w:r>
        <w:t xml:space="preserve">(</w:t>
      </w:r>
      <w:hyperlink w:anchor="subsec:mgr-audit">
        <w:r>
          <w:rPr>
            <w:rStyle w:val="Hyperlink"/>
          </w:rPr>
          <w:t xml:space="preserve">6.3</w:t>
        </w:r>
      </w:hyperlink>
      <w:r>
        <w:t xml:space="preserve">) audit-readiness against AS9100 clause 7.2;</w:t>
      </w:r>
      <w:r>
        <w:t xml:space="preserve"> </w:t>
      </w:r>
      <w:r>
        <w:t xml:space="preserve">(</w:t>
      </w:r>
      <w:hyperlink w:anchor="subsec:mgr-esg">
        <w:r>
          <w:rPr>
            <w:rStyle w:val="Hyperlink"/>
          </w:rPr>
          <w:t xml:space="preserve">6.4</w:t>
        </w:r>
      </w:hyperlink>
      <w:r>
        <w:t xml:space="preserve">) sustainability disclosure.</w:t>
      </w:r>
    </w:p>
    <w:bookmarkStart w:id="57" w:name="subsec:mgr-costbenefit"/>
    <w:p>
      <w:pPr>
        <w:pStyle w:val="Heading2"/>
      </w:pPr>
      <w:r>
        <w:t xml:space="preserve">Cost–benefit justification for training transformation</w:t>
      </w:r>
    </w:p>
    <w:p>
      <w:pPr>
        <w:pStyle w:val="FirstParagraph"/>
      </w:pPr>
      <w:r>
        <w:t xml:space="preserve">Table </w:t>
      </w:r>
      <w:hyperlink w:anchor="tab:coq-scenarios">
        <w:r>
          <w:rPr>
            <w:rStyle w:val="Hyperlink"/>
          </w:rPr>
          <w:t xml:space="preserve">[tab:coq-scenarios]</w:t>
        </w:r>
      </w:hyperlink>
      <w:r>
        <w:t xml:space="preserve"> </w:t>
      </w:r>
      <w:r>
        <w:t xml:space="preserve">summarises the three-scenario economic case</w:t>
      </w:r>
      <w:r>
        <w:t xml:space="preserve"> </w:t>
      </w:r>
      <w:r>
        <w:t xml:space="preserve">derived in Section </w:t>
      </w:r>
      <w:hyperlink w:anchor="subsec:results-economic">
        <w:r>
          <w:rPr>
            <w:rStyle w:val="Hyperlink"/>
          </w:rPr>
          <w:t xml:space="preserve">4.5</w:t>
        </w:r>
      </w:hyperlink>
      <w:r>
        <w:t xml:space="preserve">. Under the base scenario,</w:t>
      </w:r>
      <w:r>
        <w:t xml:space="preserve"> </w:t>
      </w:r>
      <w:r>
        <w:t xml:space="preserve">the annual net saving is approximately USD 1.19 M against an</w:t>
      </w:r>
      <w:r>
        <w:t xml:space="preserve"> </w:t>
      </w:r>
      <w:r>
        <w:t xml:space="preserve">implementation cost of USD 80</w:t>
      </w:r>
      <w:r>
        <w:t xml:space="preserve">,</w:t>
      </w:r>
      <w:r>
        <w:t xml:space="preserve">000–110</w:t>
      </w:r>
      <w:r>
        <w:t xml:space="preserve">,</w:t>
      </w:r>
      <w:r>
        <w:t xml:space="preserve">000. Even in a pessimistic</w:t>
      </w:r>
      <w:r>
        <w:t xml:space="preserve"> </w:t>
      </w:r>
      <w:r>
        <w:t xml:space="preserve">scenario that doubles the implementation cost and applies</w:t>
      </w:r>
      <w:r>
        <w:t xml:space="preserve"> </w:t>
      </w:r>
      <m:oMath>
        <m:r>
          <m:rPr>
            <m:sty m:val="p"/>
          </m:rPr>
          <m:t>−</m:t>
        </m:r>
        <m:r>
          <m:t>25</m:t>
        </m:r>
        <m:r>
          <m:rPr>
            <m:sty m:val="p"/>
          </m:rPr>
          <m:t>%</m:t>
        </m:r>
      </m:oMath>
      <w:r>
        <w:t xml:space="preserve"> </w:t>
      </w:r>
      <w:r>
        <w:t xml:space="preserve">to all</w:t>
      </w:r>
      <w:r>
        <w:t xml:space="preserve"> </w:t>
      </w:r>
      <w:r>
        <w:t xml:space="preserve">reported reductions, the net annual saving remains close to</w:t>
      </w:r>
      <w:r>
        <w:t xml:space="preserve"> </w:t>
      </w:r>
      <w:r>
        <w:t xml:space="preserve">USD 750</w:t>
      </w:r>
      <w:r>
        <w:t xml:space="preserve">,</w:t>
      </w:r>
      <w:r>
        <w:t xml:space="preserve">000 and the payback period is below twelve months. We</w:t>
      </w:r>
      <w:r>
        <w:t xml:space="preserve"> </w:t>
      </w:r>
      <w:r>
        <w:t xml:space="preserve">deliberately frame the result as a</w:t>
      </w:r>
      <w:r>
        <w:t xml:space="preserve"> </w:t>
      </w:r>
      <w:r>
        <w:rPr>
          <w:i/>
          <w:iCs/>
        </w:rPr>
        <w:t xml:space="preserve">sub-12-month payback</w:t>
      </w:r>
      <w:r>
        <w:t xml:space="preserve"> </w:t>
      </w:r>
      <w:r>
        <w:t xml:space="preserve">rather</w:t>
      </w:r>
      <w:r>
        <w:t xml:space="preserve"> </w:t>
      </w:r>
      <w:r>
        <w:t xml:space="preserve">than as a single multi-digit ROI figure, because high-multiple ROI</w:t>
      </w:r>
      <w:r>
        <w:t xml:space="preserve"> </w:t>
      </w:r>
      <w:r>
        <w:t xml:space="preserve">headlines invite appropriate scepticism in the absence of a controlled</w:t>
      </w:r>
      <w:r>
        <w:t xml:space="preserve"> </w:t>
      </w:r>
      <w:r>
        <w:t xml:space="preserve">experiment. The managerial implication is unchanged: the implementation</w:t>
      </w:r>
      <w:r>
        <w:t xml:space="preserve"> </w:t>
      </w:r>
      <w:r>
        <w:t xml:space="preserve">of a Kirkpatrick-based evaluation framework is best treated as a</w:t>
      </w:r>
      <w:r>
        <w:t xml:space="preserve"> </w:t>
      </w:r>
      <w:r>
        <w:t xml:space="preserve">high-priority capital allocation rather than as a quality-department</w:t>
      </w:r>
      <w:r>
        <w:t xml:space="preserve"> </w:t>
      </w:r>
      <w:r>
        <w:t xml:space="preserve">initiative competing with other internal projects.</w:t>
      </w:r>
    </w:p>
    <w:bookmarkEnd w:id="57"/>
    <w:bookmarkStart w:id="58" w:name="subsec:mgr-integration"/>
    <w:p>
      <w:pPr>
        <w:pStyle w:val="Heading2"/>
      </w:pPr>
      <w:r>
        <w:t xml:space="preserve">Integration with existing SMS and ERP</w:t>
      </w:r>
    </w:p>
    <w:p>
      <w:pPr>
        <w:pStyle w:val="FirstParagraph"/>
      </w:pPr>
      <w:r>
        <w:t xml:space="preserve">The redesigned training process (Fig. </w:t>
      </w:r>
      <w:hyperlink w:anchor="fig:process-changed">
        <w:r>
          <w:rPr>
            <w:rStyle w:val="Hyperlink"/>
          </w:rPr>
          <w:t xml:space="preserve">5</w:t>
        </w:r>
      </w:hyperlink>
      <w:r>
        <w:t xml:space="preserve">) is</w:t>
      </w:r>
      <w:r>
        <w:t xml:space="preserve"> </w:t>
      </w:r>
      <w:r>
        <w:t xml:space="preserve">deliberately designed for non-disruptive integration into the</w:t>
      </w:r>
      <w:r>
        <w:t xml:space="preserve"> </w:t>
      </w:r>
      <w:r>
        <w:t xml:space="preserve">LMS–ERP architecture that most MRO facilities already operate.</w:t>
      </w:r>
      <w:r>
        <w:t xml:space="preserve"> </w:t>
      </w:r>
      <w:r>
        <w:t xml:space="preserve">The following five-step checklist supports managerial roll-out:</w:t>
      </w:r>
    </w:p>
    <w:p>
      <w:pPr>
        <w:numPr>
          <w:ilvl w:val="0"/>
          <w:numId w:val="1004"/>
        </w:numPr>
      </w:pPr>
      <w:r>
        <w:t xml:space="preserve">Embed Level 1 reaction questions as a mandatory exit form in the</w:t>
      </w:r>
      <w:r>
        <w:t xml:space="preserve"> </w:t>
      </w:r>
      <w:r>
        <w:t xml:space="preserve">existing LMS closure workflow.</w:t>
      </w:r>
    </w:p>
    <w:p>
      <w:pPr>
        <w:numPr>
          <w:ilvl w:val="0"/>
          <w:numId w:val="1004"/>
        </w:numPr>
      </w:pPr>
      <w:r>
        <w:t xml:space="preserve">Configure Level 2 assessment with the established pass mark</w:t>
      </w:r>
      <w:r>
        <w:t xml:space="preserve"> </w:t>
      </w:r>
      <w:r>
        <w:t xml:space="preserve">(70/100 or facility-specific equivalent) and gate ERP access on</w:t>
      </w:r>
      <w:r>
        <w:t xml:space="preserve"> </w:t>
      </w:r>
      <w:r>
        <w:t xml:space="preserve">first-attempt or re-attempt success.</w:t>
      </w:r>
    </w:p>
    <w:p>
      <w:pPr>
        <w:numPr>
          <w:ilvl w:val="0"/>
          <w:numId w:val="1004"/>
        </w:numPr>
      </w:pPr>
      <w:r>
        <w:t xml:space="preserve">Train front-line supervisors in the structured behaviour</w:t>
      </w:r>
      <w:r>
        <w:t xml:space="preserve"> </w:t>
      </w:r>
      <w:r>
        <w:t xml:space="preserve">observation protocol and bind the records to the technician’s</w:t>
      </w:r>
      <w:r>
        <w:t xml:space="preserve"> </w:t>
      </w:r>
      <w:r>
        <w:t xml:space="preserve">digital training file.</w:t>
      </w:r>
    </w:p>
    <w:p>
      <w:pPr>
        <w:numPr>
          <w:ilvl w:val="0"/>
          <w:numId w:val="1004"/>
        </w:numPr>
      </w:pPr>
      <w:r>
        <w:t xml:space="preserve">Connect Level 4 outcome metrics (training failures, regulatory</w:t>
      </w:r>
      <w:r>
        <w:t xml:space="preserve"> </w:t>
      </w:r>
      <w:r>
        <w:t xml:space="preserve">non-conformances, quality costs, customer satisfaction) to the</w:t>
      </w:r>
      <w:r>
        <w:t xml:space="preserve"> </w:t>
      </w:r>
      <w:r>
        <w:t xml:space="preserve">existing monthly quality review meeting, with a standing agenda</w:t>
      </w:r>
      <w:r>
        <w:t xml:space="preserve"> </w:t>
      </w:r>
      <w:r>
        <w:t xml:space="preserve">item that reviews Kirkpatrick metrics over the trailing twelve</w:t>
      </w:r>
      <w:r>
        <w:t xml:space="preserve"> </w:t>
      </w:r>
      <w:r>
        <w:t xml:space="preserve">months.</w:t>
      </w:r>
    </w:p>
    <w:p>
      <w:pPr>
        <w:numPr>
          <w:ilvl w:val="0"/>
          <w:numId w:val="1004"/>
        </w:numPr>
      </w:pPr>
      <w:r>
        <w:t xml:space="preserve">Establish a continuous-improvement loop that uses Level 3 and 4</w:t>
      </w:r>
      <w:r>
        <w:t xml:space="preserve"> </w:t>
      </w:r>
      <w:r>
        <w:t xml:space="preserve">data to inform the next year’s training plan, including instructor</w:t>
      </w:r>
      <w:r>
        <w:t xml:space="preserve"> </w:t>
      </w:r>
      <w:r>
        <w:t xml:space="preserve">rotation and content updates.</w:t>
      </w:r>
    </w:p>
    <w:bookmarkEnd w:id="58"/>
    <w:bookmarkStart w:id="59" w:name="subsec:mgr-audit"/>
    <w:p>
      <w:pPr>
        <w:pStyle w:val="Heading2"/>
      </w:pPr>
      <w:r>
        <w:t xml:space="preserve">Audit-readiness against AS9100 clause 7.2</w:t>
      </w:r>
    </w:p>
    <w:p>
      <w:pPr>
        <w:pStyle w:val="FirstParagraph"/>
      </w:pPr>
      <w:r>
        <w:t xml:space="preserve">Auditors increasingly require evidence of training</w:t>
      </w:r>
      <w:r>
        <w:t xml:space="preserve"> </w:t>
      </w:r>
      <w:r>
        <w:rPr>
          <w:i/>
          <w:iCs/>
        </w:rPr>
        <w:t xml:space="preserve">effectiveness</w:t>
      </w:r>
      <w:r>
        <w:t xml:space="preserve">,</w:t>
      </w:r>
      <w:r>
        <w:t xml:space="preserve"> </w:t>
      </w:r>
      <w:r>
        <w:t xml:space="preserve">not only training</w:t>
      </w:r>
      <w:r>
        <w:t xml:space="preserve"> </w:t>
      </w:r>
      <w:r>
        <w:rPr>
          <w:i/>
          <w:iCs/>
        </w:rPr>
        <w:t xml:space="preserve">delivery</w:t>
      </w:r>
      <w:r>
        <w:t xml:space="preserve">. Although AS9100 does not prescribe a</w:t>
      </w:r>
      <w:r>
        <w:t xml:space="preserve"> </w:t>
      </w:r>
      <w:r>
        <w:t xml:space="preserve">specific evaluation methodology, the Kirkpatrick framework provides a</w:t>
      </w:r>
      <w:r>
        <w:t xml:space="preserve"> </w:t>
      </w:r>
      <w:r>
        <w:t xml:space="preserve">direct evidence trail that may be used to satisfy the relevant clauses.</w:t>
      </w:r>
      <w:r>
        <w:t xml:space="preserve"> </w:t>
      </w:r>
      <w:r>
        <w:t xml:space="preserve">Specifically, Level 2 and Level 3 records provide direct evidence that</w:t>
      </w:r>
      <w:r>
        <w:t xml:space="preserve"> </w:t>
      </w:r>
      <w:r>
        <w:t xml:space="preserve">may be used to satisfy the clause 7.2</w:t>
      </w:r>
      <w:r>
        <w:t xml:space="preserve"> </w:t>
      </w:r>
      <w:r>
        <w:rPr>
          <w:i/>
          <w:iCs/>
        </w:rPr>
        <w:t xml:space="preserve">Competence</w:t>
      </w:r>
      <w:r>
        <w:t xml:space="preserve"> </w:t>
      </w:r>
      <w:r>
        <w:t xml:space="preserve">requirement that</w:t>
      </w:r>
      <w:r>
        <w:t xml:space="preserve"> </w:t>
      </w:r>
      <w:r>
        <w:t xml:space="preserve">the organisation evaluate the effectiveness of training actions. Level 1</w:t>
      </w:r>
      <w:r>
        <w:t xml:space="preserve"> </w:t>
      </w:r>
      <w:r>
        <w:t xml:space="preserve">records, combined with the documented training plan, support the</w:t>
      </w:r>
      <w:r>
        <w:t xml:space="preserve"> </w:t>
      </w:r>
      <w:r>
        <w:t xml:space="preserve">demonstration of conformity with clauses 7.1</w:t>
      </w:r>
      <w:r>
        <w:t xml:space="preserve"> </w:t>
      </w:r>
      <w:r>
        <w:rPr>
          <w:i/>
          <w:iCs/>
        </w:rPr>
        <w:t xml:space="preserve">Resources</w:t>
      </w:r>
      <w:r>
        <w:t xml:space="preserve">, 7.3</w:t>
      </w:r>
      <w:r>
        <w:t xml:space="preserve"> </w:t>
      </w:r>
      <w:r>
        <w:rPr>
          <w:i/>
          <w:iCs/>
        </w:rPr>
        <w:t xml:space="preserve">Awareness</w:t>
      </w:r>
      <w:r>
        <w:t xml:space="preserve"> </w:t>
      </w:r>
      <w:r>
        <w:t xml:space="preserve">and 7.4</w:t>
      </w:r>
      <w:r>
        <w:t xml:space="preserve"> </w:t>
      </w:r>
      <w:r>
        <w:rPr>
          <w:i/>
          <w:iCs/>
        </w:rPr>
        <w:t xml:space="preserve">Communication</w:t>
      </w:r>
      <w:r>
        <w:t xml:space="preserve">. Level 4 metric</w:t>
      </w:r>
      <w:r>
        <w:t xml:space="preserve"> </w:t>
      </w:r>
      <w:r>
        <w:t xml:space="preserve">trends presented at the monthly quality review support the clause 9</w:t>
      </w:r>
      <w:r>
        <w:t xml:space="preserve"> </w:t>
      </w:r>
      <w:r>
        <w:rPr>
          <w:i/>
          <w:iCs/>
        </w:rPr>
        <w:t xml:space="preserve">Performance evaluation</w:t>
      </w:r>
      <w:r>
        <w:t xml:space="preserve"> </w:t>
      </w:r>
      <w:r>
        <w:t xml:space="preserve">requirement. The 35% reduction in</w:t>
      </w:r>
      <w:r>
        <w:t xml:space="preserve"> </w:t>
      </w:r>
      <w:r>
        <w:t xml:space="preserve">regulatory non-conformances observed during the intervention year is</w:t>
      </w:r>
      <w:r>
        <w:t xml:space="preserve"> </w:t>
      </w:r>
      <w:r>
        <w:t xml:space="preserve">consistent with the practical effectiveness of this audit-trail design.</w:t>
      </w:r>
    </w:p>
    <w:bookmarkEnd w:id="59"/>
    <w:bookmarkStart w:id="60" w:name="subsec:mgr-esg"/>
    <w:p>
      <w:pPr>
        <w:pStyle w:val="Heading2"/>
      </w:pPr>
      <w:r>
        <w:t xml:space="preserve">Sustainability and ESG reporting</w:t>
      </w:r>
    </w:p>
    <w:p>
      <w:pPr>
        <w:pStyle w:val="FirstParagraph"/>
      </w:pPr>
      <w:r>
        <w:t xml:space="preserve">The reduction in rework, scrap and expedited logistics carries</w:t>
      </w:r>
      <w:r>
        <w:t xml:space="preserve"> </w:t>
      </w:r>
      <w:r>
        <w:t xml:space="preserve">proportionate reductions in material consumption, energy use and Scope 3</w:t>
      </w:r>
      <w:r>
        <w:t xml:space="preserve"> </w:t>
      </w:r>
      <w:r>
        <w:t xml:space="preserve">transport emissions. MRO facilities that publish or contribute to</w:t>
      </w:r>
      <w:r>
        <w:t xml:space="preserve"> </w:t>
      </w:r>
      <w:r>
        <w:t xml:space="preserve">airline ESG disclosures can therefore use the Kirkpatrick framework as</w:t>
      </w:r>
      <w:r>
        <w:t xml:space="preserve"> </w:t>
      </w:r>
      <w:r>
        <w:t xml:space="preserve">an auditable evidence source for the human-capital component of cleaner</w:t>
      </w:r>
      <w:r>
        <w:t xml:space="preserve"> </w:t>
      </w:r>
      <w:r>
        <w:t xml:space="preserve">production. Concretely, the framework supports the following ESG</w:t>
      </w:r>
      <w:r>
        <w:t xml:space="preserve"> </w:t>
      </w:r>
      <w:r>
        <w:t xml:space="preserve">indicators: avoided material waste (kg or USD), avoided rework labour</w:t>
      </w:r>
      <w:r>
        <w:t xml:space="preserve"> </w:t>
      </w:r>
      <w:r>
        <w:t xml:space="preserve">(person-hours), avoided expedited logistics (CO</w:t>
      </w:r>
      <w:r>
        <w:rPr>
          <w:vertAlign w:val="subscript"/>
        </w:rPr>
        <w:t xml:space="preserve">2</w:t>
      </w:r>
      <w:r>
        <w:t xml:space="preserve">-equivalent</w:t>
      </w:r>
      <w:r>
        <w:t xml:space="preserve"> </w:t>
      </w:r>
      <w:r>
        <w:t xml:space="preserve">emissions) and human-capital investment intensity (training hours per</w:t>
      </w:r>
      <w:r>
        <w:t xml:space="preserve"> </w:t>
      </w:r>
      <w:r>
        <w:t xml:space="preserve">direct labour hour). Section </w:t>
      </w:r>
      <w:hyperlink w:anchor="sec:policy">
        <w:r>
          <w:rPr>
            <w:rStyle w:val="Hyperlink"/>
          </w:rPr>
          <w:t xml:space="preserve">7</w:t>
        </w:r>
      </w:hyperlink>
      <w:r>
        <w:t xml:space="preserve"> </w:t>
      </w:r>
      <w:r>
        <w:t xml:space="preserve">extends these implications</w:t>
      </w:r>
      <w:r>
        <w:t xml:space="preserve"> </w:t>
      </w:r>
      <w:r>
        <w:t xml:space="preserve">into specific policy recommendations.</w:t>
      </w:r>
    </w:p>
    <w:bookmarkEnd w:id="60"/>
    <w:bookmarkEnd w:id="61"/>
    <w:bookmarkStart w:id="66" w:name="sec:policy"/>
    <w:p>
      <w:pPr>
        <w:pStyle w:val="Heading1"/>
      </w:pPr>
      <w:r>
        <w:t xml:space="preserve">Policy recommendations</w:t>
      </w:r>
    </w:p>
    <w:p>
      <w:pPr>
        <w:pStyle w:val="FirstParagraph"/>
      </w:pPr>
      <w:r>
        <w:t xml:space="preserve">Building on the empirical case and the managerial implications, three</w:t>
      </w:r>
      <w:r>
        <w:t xml:space="preserve"> </w:t>
      </w:r>
      <w:r>
        <w:t xml:space="preserve">policy recommendations are formulated for civil aviation authorities and</w:t>
      </w:r>
      <w:r>
        <w:t xml:space="preserve"> </w:t>
      </w:r>
      <w:r>
        <w:t xml:space="preserve">industry bodies. Each recommendation targets a specific actor and a</w:t>
      </w:r>
      <w:r>
        <w:t xml:space="preserve"> </w:t>
      </w:r>
      <w:r>
        <w:t xml:space="preserve">specific instrument, and each is calibrated to the current state of ICAO</w:t>
      </w:r>
      <w:r>
        <w:t xml:space="preserve"> </w:t>
      </w:r>
      <w:r>
        <w:t xml:space="preserve">Annex 19 and adjacent regulatory frameworks.</w:t>
      </w:r>
    </w:p>
    <w:bookmarkStart w:id="62" w:name="subsec:pol-rec1"/>
    <w:p>
      <w:pPr>
        <w:pStyle w:val="Heading2"/>
      </w:pPr>
      <w:r>
        <w:t xml:space="preserve">Recommendation 1 – Embed training-effectiveness evaluation in SMS acceptance criteria</w:t>
      </w:r>
    </w:p>
    <w:p>
      <w:pPr>
        <w:pStyle w:val="FirstParagraph"/>
      </w:pPr>
      <w:r>
        <w:t xml:space="preserve">Civil aviation authorities (FAA, EASA, ANAC and equivalents) are</w:t>
      </w:r>
      <w:r>
        <w:t xml:space="preserve"> </w:t>
      </w:r>
      <w:r>
        <w:t xml:space="preserve">encouraged to require, as part of the periodic acceptance of SMS manuals</w:t>
      </w:r>
      <w:r>
        <w:t xml:space="preserve"> </w:t>
      </w:r>
      <w:r>
        <w:t xml:space="preserve">submitted by airlines, airports and MRO facilities, evidence of training</w:t>
      </w:r>
      <w:r>
        <w:t xml:space="preserve"> </w:t>
      </w:r>
      <w:r>
        <w:t xml:space="preserve">evaluation across all four Kirkpatrick levels. The current text of</w:t>
      </w:r>
      <w:r>
        <w:t xml:space="preserve"> </w:t>
      </w:r>
      <w:r>
        <w:t xml:space="preserve">ICAO Annex 19 leaves the depth of evaluation to the discretion of the</w:t>
      </w:r>
      <w:r>
        <w:t xml:space="preserve"> </w:t>
      </w:r>
      <w:r>
        <w:t xml:space="preserve">service provider, which produces wide variance in practice</w:t>
      </w:r>
      <w:r>
        <w:t xml:space="preserve"> </w:t>
      </w:r>
      <w:r>
        <w:t xml:space="preserve">(Nakamura et al. 2024; O’Connor et al. 2024)</w:t>
      </w:r>
      <w:r>
        <w:t xml:space="preserve">. A targeted clarification — requiring</w:t>
      </w:r>
      <w:r>
        <w:t xml:space="preserve"> </w:t>
      </w:r>
      <w:r>
        <w:t xml:space="preserve">that Level 3 and Level 4 metrics be reported alongside Level 1 and Level 2</w:t>
      </w:r>
      <w:r>
        <w:t xml:space="preserve"> </w:t>
      </w:r>
      <w:r>
        <w:t xml:space="preserve">in the annual SMS performance dashboard — would close the variance</w:t>
      </w:r>
      <w:r>
        <w:t xml:space="preserve"> </w:t>
      </w:r>
      <w:r>
        <w:t xml:space="preserve">without imposing a prescriptive methodology.</w:t>
      </w:r>
    </w:p>
    <w:bookmarkEnd w:id="62"/>
    <w:bookmarkStart w:id="63" w:name="subsec:pol-rec2"/>
    <w:p>
      <w:pPr>
        <w:pStyle w:val="Heading2"/>
      </w:pPr>
      <w:r>
        <w:t xml:space="preserve">Recommendation 2 – Industry guidance on training evaluation for MRO</w:t>
      </w:r>
    </w:p>
    <w:p>
      <w:pPr>
        <w:pStyle w:val="FirstParagraph"/>
      </w:pPr>
      <w:r>
        <w:t xml:space="preserve">The IATA and SAE are encouraged to develop a joint</w:t>
      </w:r>
      <w:r>
        <w:t xml:space="preserve"> </w:t>
      </w:r>
      <w:r>
        <w:t xml:space="preserve">guidance document on training evaluation for MRO, modelled on the</w:t>
      </w:r>
      <w:r>
        <w:t xml:space="preserve"> </w:t>
      </w:r>
      <w:r>
        <w:t xml:space="preserve">existing safety-performance indicator (SPI) guidance. The</w:t>
      </w:r>
      <w:r>
        <w:t xml:space="preserve"> </w:t>
      </w:r>
      <w:r>
        <w:t xml:space="preserve">document should specify minimum data sources, recommended metrics by</w:t>
      </w:r>
      <w:r>
        <w:t xml:space="preserve"> </w:t>
      </w:r>
      <w:r>
        <w:t xml:space="preserve">Kirkpatrick level, and a maturity model that organisations can use to</w:t>
      </w:r>
      <w:r>
        <w:t xml:space="preserve"> </w:t>
      </w:r>
      <w:r>
        <w:t xml:space="preserve">self-assess and to communicate with auditors. A worked example based on</w:t>
      </w:r>
      <w:r>
        <w:t xml:space="preserve"> </w:t>
      </w:r>
      <w:r>
        <w:t xml:space="preserve">AS9100 clauses (as in this study) would accelerate adoption.</w:t>
      </w:r>
    </w:p>
    <w:bookmarkEnd w:id="63"/>
    <w:bookmarkStart w:id="65" w:name="subsec:pol-rec3"/>
    <w:p>
      <w:pPr>
        <w:pStyle w:val="Heading2"/>
      </w:pPr>
      <w:r>
        <w:t xml:space="preserve">Recommendation 3 – Mandate annual reporting of training-effectiveness metrics as safety indicators</w:t>
      </w:r>
    </w:p>
    <w:p>
      <w:pPr>
        <w:pStyle w:val="FirstParagraph"/>
      </w:pPr>
      <w:r>
        <w:t xml:space="preserve">Aviation safety regulators are encouraged to mandate annual reporting of</w:t>
      </w:r>
      <w:r>
        <w:t xml:space="preserve"> </w:t>
      </w:r>
      <w:r>
        <w:t xml:space="preserve">training-effectiveness metrics (Level 3 and Level 4) as part of the safety</w:t>
      </w:r>
      <w:r>
        <w:t xml:space="preserve"> </w:t>
      </w:r>
      <w:r>
        <w:t xml:space="preserve">performance indicator portfolio that organisations submit. Such reporting</w:t>
      </w:r>
      <w:r>
        <w:t xml:space="preserve"> </w:t>
      </w:r>
      <w:r>
        <w:t xml:space="preserve">need not be public to be effective — regulator-only access already</w:t>
      </w:r>
      <w:r>
        <w:t xml:space="preserve"> </w:t>
      </w:r>
      <w:r>
        <w:t xml:space="preserve">delivers most of the accountability benefit</w:t>
      </w:r>
      <w:r>
        <w:t xml:space="preserve"> </w:t>
      </w:r>
      <w:r>
        <w:t xml:space="preserve">(Federal Aviation Administration 2024)</w:t>
      </w:r>
      <w:r>
        <w:t xml:space="preserve">. Aggregated and</w:t>
      </w:r>
      <w:r>
        <w:t xml:space="preserve"> </w:t>
      </w:r>
      <w:r>
        <w:t xml:space="preserve">anonymised disclosure to the industry would further support</w:t>
      </w:r>
      <w:r>
        <w:t xml:space="preserve"> </w:t>
      </w:r>
      <w:r>
        <w:t xml:space="preserve">benchmarking and the diffusion of best practice.</w:t>
      </w:r>
    </w:p>
    <w:bookmarkStart w:id="64" w:name="coupling-with-sustainability-disclosure."/>
    <w:p>
      <w:pPr>
        <w:pStyle w:val="Heading4"/>
      </w:pPr>
      <w:r>
        <w:t xml:space="preserve">Coupling with sustainability disclosure.</w:t>
      </w:r>
    </w:p>
    <w:p>
      <w:pPr>
        <w:pStyle w:val="FirstParagraph"/>
      </w:pPr>
      <w:r>
        <w:t xml:space="preserve">Where airlines or MRO facilities are subject to ESG reporting</w:t>
      </w:r>
      <w:r>
        <w:t xml:space="preserve"> </w:t>
      </w:r>
      <w:r>
        <w:t xml:space="preserve">regimes (for example, the ESRS in the European Union), the</w:t>
      </w:r>
      <w:r>
        <w:t xml:space="preserve"> </w:t>
      </w:r>
      <w:r>
        <w:t xml:space="preserve">training-effectiveness metrics can be cross-referenced from the safety</w:t>
      </w:r>
      <w:r>
        <w:t xml:space="preserve"> </w:t>
      </w:r>
      <w:r>
        <w:t xml:space="preserve">performance dashboard to the human-capital and cleaner-production sections</w:t>
      </w:r>
      <w:r>
        <w:t xml:space="preserve"> </w:t>
      </w:r>
      <w:r>
        <w:t xml:space="preserve">of the sustainability report. This cross-referencing reduces reporting</w:t>
      </w:r>
      <w:r>
        <w:t xml:space="preserve"> </w:t>
      </w:r>
      <w:r>
        <w:t xml:space="preserve">duplication and reinforces the safety–sustainability nexus that motivates</w:t>
      </w:r>
      <w:r>
        <w:t xml:space="preserve"> </w:t>
      </w:r>
      <w:r>
        <w:t xml:space="preserve">the present study.</w:t>
      </w:r>
    </w:p>
    <w:bookmarkEnd w:id="64"/>
    <w:bookmarkEnd w:id="65"/>
    <w:bookmarkEnd w:id="66"/>
    <w:bookmarkStart w:id="74" w:name="sec:conclusion"/>
    <w:p>
      <w:pPr>
        <w:pStyle w:val="Heading1"/>
      </w:pPr>
      <w:r>
        <w:t xml:space="preserve">Conclusion</w:t>
      </w:r>
    </w:p>
    <w:p>
      <w:pPr>
        <w:pStyle w:val="FirstParagraph"/>
      </w:pPr>
      <w:r>
        <w:t xml:space="preserve">This study set out to investigate how the Kirkpatrick four-level model can</w:t>
      </w:r>
      <w:r>
        <w:t xml:space="preserve"> </w:t>
      </w:r>
      <w:r>
        <w:t xml:space="preserve">be operationalised within the training process of an AS9100-certified</w:t>
      </w:r>
      <w:r>
        <w:t xml:space="preserve"> </w:t>
      </w:r>
      <w:r>
        <w:t xml:space="preserve">aircraft-engine MRO facility so that it evaluates not only safety and</w:t>
      </w:r>
      <w:r>
        <w:t xml:space="preserve"> </w:t>
      </w:r>
      <w:r>
        <w:t xml:space="preserve">regulatory compliance but also resource efficiency and waste reduction</w:t>
      </w:r>
      <w:r>
        <w:t xml:space="preserve"> </w:t>
      </w:r>
      <w:r>
        <w:t xml:space="preserve">(RQ1), what measurable changes emerge from such an implementation over a</w:t>
      </w:r>
      <w:r>
        <w:t xml:space="preserve"> </w:t>
      </w:r>
      <w:r>
        <w:t xml:space="preserve">twelve-month horizon (RQ2), and what managerial and policy interventions</w:t>
      </w:r>
      <w:r>
        <w:t xml:space="preserve"> </w:t>
      </w:r>
      <w:r>
        <w:t xml:space="preserve">can be derived (RQ3).</w:t>
      </w:r>
    </w:p>
    <w:bookmarkStart w:id="70" w:name="subsec:rq-answers"/>
    <w:p>
      <w:pPr>
        <w:pStyle w:val="Heading2"/>
      </w:pPr>
      <w:r>
        <w:t xml:space="preserve">Answers to the research questions</w:t>
      </w:r>
    </w:p>
    <w:bookmarkStart w:id="67" w:name="rq1."/>
    <w:p>
      <w:pPr>
        <w:pStyle w:val="Heading4"/>
      </w:pPr>
      <w:r>
        <w:t xml:space="preserve">RQ1.</w:t>
      </w:r>
    </w:p>
    <w:p>
      <w:pPr>
        <w:pStyle w:val="FirstParagraph"/>
      </w:pPr>
      <w:r>
        <w:t xml:space="preserve">Kirkpatrick can be operationalised in an AS9100 MRO</w:t>
      </w:r>
      <w:r>
        <w:t xml:space="preserve"> </w:t>
      </w:r>
      <w:r>
        <w:t xml:space="preserve">facility by extending the existing training process with three new</w:t>
      </w:r>
      <w:r>
        <w:t xml:space="preserve"> </w:t>
      </w:r>
      <w:r>
        <w:t xml:space="preserve">activities (evaluation across the four levels, verification against</w:t>
      </w:r>
      <w:r>
        <w:t xml:space="preserve"> </w:t>
      </w:r>
      <w:r>
        <w:t xml:space="preserve">acceptance criteria, data-driven optimisation), without disrupting the</w:t>
      </w:r>
      <w:r>
        <w:t xml:space="preserve"> </w:t>
      </w:r>
      <w:r>
        <w:t xml:space="preserve">underlying LMS–ERP architecture. Each level maps onto a specific</w:t>
      </w:r>
      <w:r>
        <w:t xml:space="preserve"> </w:t>
      </w:r>
      <w:r>
        <w:t xml:space="preserve">cluster of AS9100 clauses and SMS pillars</w:t>
      </w:r>
      <w:r>
        <w:t xml:space="preserve"> </w:t>
      </w:r>
      <w:r>
        <w:t xml:space="preserve">(Fig. </w:t>
      </w:r>
      <w:hyperlink w:anchor="fig:conceptual">
        <w:r>
          <w:rPr>
            <w:rStyle w:val="Hyperlink"/>
          </w:rPr>
          <w:t xml:space="preserve">1</w:t>
        </w:r>
      </w:hyperlink>
      <w:r>
        <w:t xml:space="preserve">).</w:t>
      </w:r>
    </w:p>
    <w:bookmarkEnd w:id="67"/>
    <w:bookmarkStart w:id="68" w:name="rq2."/>
    <w:p>
      <w:pPr>
        <w:pStyle w:val="Heading4"/>
      </w:pPr>
      <w:r>
        <w:t xml:space="preserve">RQ2.</w:t>
      </w:r>
    </w:p>
    <w:p>
      <w:pPr>
        <w:pStyle w:val="FirstParagraph"/>
      </w:pPr>
      <w:r>
        <w:t xml:space="preserve">Over twelve months, the intervention was associated</w:t>
      </w:r>
      <w:r>
        <w:t xml:space="preserve"> </w:t>
      </w:r>
      <w:r>
        <w:t xml:space="preserve">with a 28% reduction in training failures, a 35% reduction in</w:t>
      </w:r>
      <w:r>
        <w:t xml:space="preserve"> </w:t>
      </w:r>
      <w:r>
        <w:t xml:space="preserve">regulatory non-conformances, an approximately 6% reduction in turnaround</w:t>
      </w:r>
      <w:r>
        <w:t xml:space="preserve"> </w:t>
      </w:r>
      <w:r>
        <w:t xml:space="preserve">time and an across-the-board improvement in customer satisfaction. The</w:t>
      </w:r>
      <w:r>
        <w:t xml:space="preserve"> </w:t>
      </w:r>
      <w:r>
        <w:t xml:space="preserve">associated annual quality-cost savings are estimated at USD 0.75–1.5 M</w:t>
      </w:r>
      <w:r>
        <w:t xml:space="preserve"> </w:t>
      </w:r>
      <w:r>
        <w:t xml:space="preserve">across pessimistic-to-optimistic scenarios (USD 1.19 M base case), with a</w:t>
      </w:r>
      <w:r>
        <w:t xml:space="preserve"> </w:t>
      </w:r>
      <w:r>
        <w:t xml:space="preserve">payback period below twelve months in every scenario. The case-study</w:t>
      </w:r>
      <w:r>
        <w:t xml:space="preserve"> </w:t>
      </w:r>
      <w:r>
        <w:t xml:space="preserve">design does not isolate the contribution of training from concurrent</w:t>
      </w:r>
      <w:r>
        <w:t xml:space="preserve"> </w:t>
      </w:r>
      <w:r>
        <w:t xml:space="preserve">operational changes; the findings are therefore reported as associations</w:t>
      </w:r>
      <w:r>
        <w:t xml:space="preserve"> </w:t>
      </w:r>
      <w:r>
        <w:t xml:space="preserve">rather than as causal effects (Section </w:t>
      </w:r>
      <w:hyperlink w:anchor="subsubsec:validity">
        <w:r>
          <w:rPr>
            <w:rStyle w:val="Hyperlink"/>
          </w:rPr>
          <w:t xml:space="preserve">[subsubsec:validity]</w:t>
        </w:r>
      </w:hyperlink>
      <w:r>
        <w:t xml:space="preserve">).</w:t>
      </w:r>
    </w:p>
    <w:bookmarkEnd w:id="68"/>
    <w:bookmarkStart w:id="69" w:name="rq3."/>
    <w:p>
      <w:pPr>
        <w:pStyle w:val="Heading4"/>
      </w:pPr>
      <w:r>
        <w:t xml:space="preserve">RQ3.</w:t>
      </w:r>
    </w:p>
    <w:p>
      <w:pPr>
        <w:pStyle w:val="FirstParagraph"/>
      </w:pPr>
      <w:r>
        <w:t xml:space="preserve">Three classes of intervention are recommended:</w:t>
      </w:r>
      <w:r>
        <w:t xml:space="preserve"> </w:t>
      </w:r>
      <w:r>
        <w:t xml:space="preserve">(i) at the facility level, embedding the four-level evaluation in monthly</w:t>
      </w:r>
      <w:r>
        <w:t xml:space="preserve"> </w:t>
      </w:r>
      <w:r>
        <w:t xml:space="preserve">quality reviews and gating ERP access on Level 2 success;</w:t>
      </w:r>
      <w:r>
        <w:t xml:space="preserve"> </w:t>
      </w:r>
      <w:r>
        <w:t xml:space="preserve">(ii) at the industry level, joint IATA/SAE guidance on</w:t>
      </w:r>
      <w:r>
        <w:t xml:space="preserve"> </w:t>
      </w:r>
      <w:r>
        <w:t xml:space="preserve">training-evaluation methodology; (iii) at the regulator level, mandating</w:t>
      </w:r>
      <w:r>
        <w:t xml:space="preserve"> </w:t>
      </w:r>
      <w:r>
        <w:t xml:space="preserve">Level 3 and Level 4 reporting as part of SMS safety performance</w:t>
      </w:r>
      <w:r>
        <w:t xml:space="preserve"> </w:t>
      </w:r>
      <w:r>
        <w:t xml:space="preserve">indicators.</w:t>
      </w:r>
    </w:p>
    <w:bookmarkEnd w:id="69"/>
    <w:bookmarkEnd w:id="70"/>
    <w:bookmarkStart w:id="71" w:name="subsec:contribution-lit"/>
    <w:p>
      <w:pPr>
        <w:pStyle w:val="Heading2"/>
      </w:pPr>
      <w:r>
        <w:t xml:space="preserve">Contribution to the literature</w:t>
      </w:r>
    </w:p>
    <w:p>
      <w:pPr>
        <w:pStyle w:val="FirstParagraph"/>
      </w:pPr>
      <w:r>
        <w:t xml:space="preserve">The study contributes to three converging literatures. To the literature</w:t>
      </w:r>
      <w:r>
        <w:t xml:space="preserve"> </w:t>
      </w:r>
      <w:r>
        <w:t xml:space="preserve">on training evaluation, it provides — to the best of the authors’</w:t>
      </w:r>
      <w:r>
        <w:t xml:space="preserve"> </w:t>
      </w:r>
      <w:r>
        <w:t xml:space="preserve">knowledge — the first documented twelve-month operationalisation of</w:t>
      </w:r>
      <w:r>
        <w:t xml:space="preserve"> </w:t>
      </w:r>
      <w:r>
        <w:t xml:space="preserve">Kirkpatrick that jointly maps the four levels to AS9100 clauses, SMS</w:t>
      </w:r>
      <w:r>
        <w:t xml:space="preserve"> </w:t>
      </w:r>
      <w:r>
        <w:t xml:space="preserve">pillars and ESG indicators in an aerospace MRO facility, with</w:t>
      </w:r>
      <w:r>
        <w:t xml:space="preserve"> </w:t>
      </w:r>
      <w:r>
        <w:t xml:space="preserve">monetised cost-of-quality scenarios. To the literature on aviation</w:t>
      </w:r>
      <w:r>
        <w:t xml:space="preserve"> </w:t>
      </w:r>
      <w:r>
        <w:t xml:space="preserve">safety management, it adds evidence that systematic training evaluation</w:t>
      </w:r>
      <w:r>
        <w:t xml:space="preserve"> </w:t>
      </w:r>
      <w:r>
        <w:t xml:space="preserve">is associated with reductions in regulatory non-conformances and quality</w:t>
      </w:r>
      <w:r>
        <w:t xml:space="preserve"> </w:t>
      </w:r>
      <w:r>
        <w:t xml:space="preserve">costs at a magnitude comparable to recent benchmarks</w:t>
      </w:r>
      <w:r>
        <w:t xml:space="preserve"> </w:t>
      </w:r>
      <w:r>
        <w:t xml:space="preserve">(Zhang et al. 2025; Sousa et al. 2025)</w:t>
      </w:r>
      <w:r>
        <w:t xml:space="preserve">. To the literature on cleaner production and</w:t>
      </w:r>
      <w:r>
        <w:t xml:space="preserve"> </w:t>
      </w:r>
      <w:r>
        <w:t xml:space="preserve">circular economy, it adds a high-leverage example of how human-capital</w:t>
      </w:r>
      <w:r>
        <w:t xml:space="preserve"> </w:t>
      </w:r>
      <w:r>
        <w:t xml:space="preserve">interventions translate, under conservative assumptions, into avoided</w:t>
      </w:r>
      <w:r>
        <w:t xml:space="preserve"> </w:t>
      </w:r>
      <w:r>
        <w:t xml:space="preserve">material, energy and labour waste.</w:t>
      </w:r>
    </w:p>
    <w:bookmarkEnd w:id="71"/>
    <w:bookmarkStart w:id="72" w:name="subsec:impl-practice"/>
    <w:p>
      <w:pPr>
        <w:pStyle w:val="Heading2"/>
      </w:pPr>
      <w:r>
        <w:t xml:space="preserve">Implications for practice</w:t>
      </w:r>
    </w:p>
    <w:p>
      <w:pPr>
        <w:pStyle w:val="FirstParagraph"/>
      </w:pPr>
      <w:r>
        <w:t xml:space="preserve">For MRO managers, the study offers a five-step roll-out checklist</w:t>
      </w:r>
      <w:r>
        <w:t xml:space="preserve"> </w:t>
      </w:r>
      <w:r>
        <w:t xml:space="preserve">(Section </w:t>
      </w:r>
      <w:hyperlink w:anchor="subsec:mgr-integration">
        <w:r>
          <w:rPr>
            <w:rStyle w:val="Hyperlink"/>
          </w:rPr>
          <w:t xml:space="preserve">6.2</w:t>
        </w:r>
      </w:hyperlink>
      <w:r>
        <w:t xml:space="preserve">) and an audit-readiness map against</w:t>
      </w:r>
      <w:r>
        <w:t xml:space="preserve"> </w:t>
      </w:r>
      <w:r>
        <w:t xml:space="preserve">AS9100 clause 7.2 (Section </w:t>
      </w:r>
      <w:hyperlink w:anchor="subsec:mgr-audit">
        <w:r>
          <w:rPr>
            <w:rStyle w:val="Hyperlink"/>
          </w:rPr>
          <w:t xml:space="preserve">6.3</w:t>
        </w:r>
      </w:hyperlink>
      <w:r>
        <w:t xml:space="preserve">). For airline quality</w:t>
      </w:r>
      <w:r>
        <w:t xml:space="preserve"> </w:t>
      </w:r>
      <w:r>
        <w:t xml:space="preserve">departments, it offers a defensible link between training metrics and</w:t>
      </w:r>
      <w:r>
        <w:t xml:space="preserve"> </w:t>
      </w:r>
      <w:r>
        <w:t xml:space="preserve">ESG disclosures. For regulators, it offers a concrete grammar for</w:t>
      </w:r>
      <w:r>
        <w:t xml:space="preserve"> </w:t>
      </w:r>
      <w:r>
        <w:t xml:space="preserve">extending SMS acceptance criteria to include training-effectiveness</w:t>
      </w:r>
      <w:r>
        <w:t xml:space="preserve"> </w:t>
      </w:r>
      <w:r>
        <w:t xml:space="preserve">reporting.</w:t>
      </w:r>
    </w:p>
    <w:bookmarkEnd w:id="72"/>
    <w:bookmarkStart w:id="73" w:name="subsec:limitations"/>
    <w:p>
      <w:pPr>
        <w:pStyle w:val="Heading2"/>
      </w:pPr>
      <w:r>
        <w:t xml:space="preserve">Limitations and future research</w:t>
      </w:r>
    </w:p>
    <w:p>
      <w:pPr>
        <w:pStyle w:val="FirstParagraph"/>
      </w:pPr>
      <w:r>
        <w:t xml:space="preserve">The study has acknowledged limitations that bound the generalisation of its</w:t>
      </w:r>
      <w:r>
        <w:t xml:space="preserve"> </w:t>
      </w:r>
      <w:r>
        <w:t xml:space="preserve">findings. Table </w:t>
      </w:r>
      <w:hyperlink w:anchor="tab:limitations">
        <w:r>
          <w:rPr>
            <w:rStyle w:val="Hyperlink"/>
          </w:rPr>
          <w:t xml:space="preserve">[tab:limitations]</w:t>
        </w:r>
      </w:hyperlink>
      <w:r>
        <w:t xml:space="preserve"> </w:t>
      </w:r>
      <w:r>
        <w:t xml:space="preserve">consolidates each limitation, the</w:t>
      </w:r>
      <w:r>
        <w:t xml:space="preserve"> </w:t>
      </w:r>
      <w:r>
        <w:t xml:space="preserve">mitigation adopted in the present study and the corresponding future-research</w:t>
      </w:r>
      <w:r>
        <w:t xml:space="preserve"> </w:t>
      </w:r>
      <w:r>
        <w:t xml:space="preserve">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Mitigation in the present study</w:t>
            </w:r>
          </w:p>
        </w:tc>
        <w:tc>
          <w:tcPr/>
          <w:p>
            <w:pPr>
              <w:pStyle w:val="Compact"/>
              <w:jc w:val="left"/>
            </w:pPr>
            <w:r>
              <w:rPr>
                <w:b/>
                <w:bCs/>
              </w:rPr>
              <w:t xml:space="preserve">Future research direction</w:t>
            </w:r>
          </w:p>
        </w:tc>
      </w:tr>
      <w:tr>
        <w:tc>
          <w:tcPr/>
          <w:p>
            <w:pPr>
              <w:pStyle w:val="Compact"/>
              <w:jc w:val="left"/>
            </w:pPr>
            <w:r>
              <w:t xml:space="preserve">Single-case study (one MRO facility)</w:t>
            </w:r>
          </w:p>
        </w:tc>
        <w:tc>
          <w:tcPr/>
          <w:p>
            <w:pPr>
              <w:pStyle w:val="Compact"/>
              <w:jc w:val="left"/>
            </w:pPr>
            <w:r>
              <w:t xml:space="preserve">In-depth triangulation across four data sources (questionnaires,</w:t>
            </w:r>
            <w:r>
              <w:t xml:space="preserve"> </w:t>
            </w:r>
            <w:r>
              <w:t xml:space="preserve">observations, operational records, customer surveys).</w:t>
            </w:r>
          </w:p>
        </w:tc>
        <w:tc>
          <w:tcPr/>
          <w:p>
            <w:pPr>
              <w:pStyle w:val="Compact"/>
              <w:jc w:val="left"/>
            </w:pPr>
            <w:r>
              <w:t xml:space="preserve">Multi-site replication across geographic regions and regulatory regimes</w:t>
            </w:r>
            <w:r>
              <w:t xml:space="preserve"> </w:t>
            </w:r>
            <w:r>
              <w:t xml:space="preserve">(FAA, EASA, ANAC).</w:t>
            </w:r>
          </w:p>
        </w:tc>
      </w:tr>
      <w:tr>
        <w:tc>
          <w:tcPr/>
          <w:p>
            <w:pPr>
              <w:pStyle w:val="Compact"/>
              <w:jc w:val="left"/>
            </w:pPr>
            <w:r>
              <w:t xml:space="preserve">Inability to fully isolate training effects from other variables</w:t>
            </w:r>
          </w:p>
        </w:tc>
        <w:tc>
          <w:tcPr/>
          <w:p>
            <w:pPr>
              <w:pStyle w:val="Compact"/>
              <w:jc w:val="left"/>
            </w:pPr>
            <w:r>
              <w:t xml:space="preserve">Workforce size and engine programmes held constant where feasible;</w:t>
            </w:r>
            <w:r>
              <w:t xml:space="preserve"> </w:t>
            </w:r>
            <w:r>
              <w:t xml:space="preserve">ROI sensitivity bounds reported.</w:t>
            </w:r>
          </w:p>
        </w:tc>
        <w:tc>
          <w:tcPr/>
          <w:p>
            <w:pPr>
              <w:pStyle w:val="Compact"/>
              <w:jc w:val="left"/>
            </w:pPr>
            <w:r>
              <w:t xml:space="preserve">Longitudinal quasi-experimental or causal-AI attribution</w:t>
            </w:r>
            <w:r>
              <w:t xml:space="preserve"> </w:t>
            </w:r>
            <w:r>
              <w:t xml:space="preserve">(Fernández-Delgado and Cernadas 2024; Patel et al. 2023)</w:t>
            </w:r>
            <w:r>
              <w:t xml:space="preserve"> </w:t>
            </w:r>
            <w:r>
              <w:t xml:space="preserve">to disentangle contemporaneous</w:t>
            </w:r>
            <w:r>
              <w:t xml:space="preserve"> </w:t>
            </w:r>
            <w:r>
              <w:t xml:space="preserve">confounders.</w:t>
            </w:r>
          </w:p>
        </w:tc>
      </w:tr>
      <w:tr>
        <w:tc>
          <w:tcPr/>
          <w:p>
            <w:pPr>
              <w:pStyle w:val="Compact"/>
              <w:jc w:val="left"/>
            </w:pPr>
            <w:r>
              <w:t xml:space="preserve">Self-reported behaviour data</w:t>
            </w:r>
          </w:p>
        </w:tc>
        <w:tc>
          <w:tcPr/>
          <w:p>
            <w:pPr>
              <w:pStyle w:val="Compact"/>
              <w:jc w:val="left"/>
            </w:pPr>
            <w:r>
              <w:t xml:space="preserve">Behaviour observations complemented by objective quality and</w:t>
            </w:r>
            <w:r>
              <w:t xml:space="preserve"> </w:t>
            </w:r>
            <w:r>
              <w:t xml:space="preserve">customer-satisfaction metrics.</w:t>
            </w:r>
          </w:p>
        </w:tc>
        <w:tc>
          <w:tcPr/>
          <w:p>
            <w:pPr>
              <w:pStyle w:val="Compact"/>
              <w:jc w:val="left"/>
            </w:pPr>
            <w:r>
              <w:t xml:space="preserve">IoT-based behavioural tracking and digital-twin telemetry</w:t>
            </w:r>
            <w:r>
              <w:t xml:space="preserve"> </w:t>
            </w:r>
            <w:r>
              <w:t xml:space="preserve">(García and López 2024)</w:t>
            </w:r>
            <w:r>
              <w:t xml:space="preserve"> </w:t>
            </w:r>
            <w:r>
              <w:t xml:space="preserve">for continuous Level 3 measurement.</w:t>
            </w:r>
          </w:p>
        </w:tc>
      </w:tr>
      <w:tr>
        <w:tc>
          <w:tcPr/>
          <w:p>
            <w:pPr>
              <w:pStyle w:val="Compact"/>
              <w:jc w:val="left"/>
            </w:pPr>
            <w:r>
              <w:t xml:space="preserve">Generalisability to smaller MRO facilities</w:t>
            </w:r>
          </w:p>
        </w:tc>
        <w:tc>
          <w:tcPr/>
          <w:p>
            <w:pPr>
              <w:pStyle w:val="Compact"/>
              <w:jc w:val="left"/>
            </w:pPr>
            <w:r>
              <w:t xml:space="preserve">Five-step roll-out checklist designed for non-disruptive integration</w:t>
            </w:r>
            <w:r>
              <w:t xml:space="preserve"> </w:t>
            </w:r>
            <w:r>
              <w:t xml:space="preserve">into existing LMS/ERP infrastructure.</w:t>
            </w:r>
          </w:p>
        </w:tc>
        <w:tc>
          <w:tcPr/>
          <w:p>
            <w:pPr>
              <w:pStyle w:val="Compact"/>
              <w:jc w:val="left"/>
            </w:pPr>
            <w:r>
              <w:t xml:space="preserve">Adapted framework for low-resource settings (simplified Level 3</w:t>
            </w:r>
            <w:r>
              <w:t xml:space="preserve"> </w:t>
            </w:r>
            <w:r>
              <w:t xml:space="preserve">observation protocol, sampled Level 4 metrics).</w:t>
            </w:r>
          </w:p>
        </w:tc>
      </w:tr>
      <w:tr>
        <w:tc>
          <w:tcPr/>
          <w:p>
            <w:pPr>
              <w:pStyle w:val="Compact"/>
              <w:jc w:val="left"/>
            </w:pPr>
            <w:r>
              <w:t xml:space="preserve">Sustainability outcomes reported as order-of-magnitude rather than</w:t>
            </w:r>
            <w:r>
              <w:t xml:space="preserve"> </w:t>
            </w:r>
            <w:r>
              <w:t xml:space="preserve">fully quantified</w:t>
            </w:r>
          </w:p>
        </w:tc>
        <w:tc>
          <w:tcPr/>
          <w:p>
            <w:pPr>
              <w:pStyle w:val="Compact"/>
              <w:jc w:val="left"/>
            </w:pPr>
            <w:r>
              <w:t xml:space="preserve">Cost-of-quality decomposition provides bounded estimates of avoided</w:t>
            </w:r>
            <w:r>
              <w:t xml:space="preserve"> </w:t>
            </w:r>
            <w:r>
              <w:t xml:space="preserve">material, labour and energy.</w:t>
            </w:r>
          </w:p>
        </w:tc>
        <w:tc>
          <w:tcPr/>
          <w:p>
            <w:pPr>
              <w:pStyle w:val="Compact"/>
              <w:jc w:val="left"/>
            </w:pPr>
            <w:r>
              <w:t xml:space="preserve">Joint analysis with life-cycle assessment (LCA) and Scope 3 emissions</w:t>
            </w:r>
            <w:r>
              <w:t xml:space="preserve"> </w:t>
            </w:r>
            <w:r>
              <w:t xml:space="preserve">accounting to translate CoQ into specific environmental indicators.</w:t>
            </w:r>
          </w:p>
        </w:tc>
      </w:tr>
      <w:tr>
        <w:tc>
          <w:tcPr/>
          <w:p>
            <w:pPr>
              <w:pStyle w:val="Compact"/>
              <w:jc w:val="left"/>
            </w:pPr>
            <w:r>
              <w:t xml:space="preserve">Aggregated data only (no raw individual records released)</w:t>
            </w:r>
          </w:p>
        </w:tc>
        <w:tc>
          <w:tcPr/>
          <w:p>
            <w:pPr>
              <w:pStyle w:val="Compact"/>
              <w:jc w:val="left"/>
            </w:pPr>
            <w:r>
              <w:t xml:space="preserve">Transparency about anonymisation and aggregation in figure captions</w:t>
            </w:r>
            <w:r>
              <w:t xml:space="preserve"> </w:t>
            </w:r>
            <w:r>
              <w:t xml:space="preserve">and methodology; aggregated statistics reported by the facility’s</w:t>
            </w:r>
            <w:r>
              <w:t xml:space="preserve"> </w:t>
            </w:r>
            <w:r>
              <w:t xml:space="preserve">quality department.</w:t>
            </w:r>
          </w:p>
        </w:tc>
        <w:tc>
          <w:tcPr/>
          <w:p>
            <w:pPr>
              <w:pStyle w:val="Compact"/>
              <w:jc w:val="left"/>
            </w:pPr>
            <w:r>
              <w:t xml:space="preserve">Multi-organisation consortium for shared anonymised data sets that</w:t>
            </w:r>
            <w:r>
              <w:t xml:space="preserve"> </w:t>
            </w:r>
            <w:r>
              <w:t xml:space="preserve">support cross-validation of the framework.</w:t>
            </w:r>
          </w:p>
        </w:tc>
      </w:tr>
      <w:tr>
        <w:tc>
          <w:tcPr/>
          <w:p>
            <w:pPr>
              <w:pStyle w:val="Compact"/>
              <w:jc w:val="left"/>
            </w:pPr>
            <w:r>
              <w:t xml:space="preserve">Insider access – one author is affiliated with the host organisation,</w:t>
            </w:r>
            <w:r>
              <w:t xml:space="preserve"> </w:t>
            </w:r>
            <w:r>
              <w:t xml:space="preserve">which yields privileged data but may introduce framing or</w:t>
            </w:r>
            <w:r>
              <w:t xml:space="preserve"> </w:t>
            </w:r>
            <w:r>
              <w:t xml:space="preserve">organisational bias</w:t>
            </w:r>
          </w:p>
        </w:tc>
        <w:tc>
          <w:tcPr/>
          <w:p>
            <w:pPr>
              <w:pStyle w:val="Compact"/>
              <w:jc w:val="left"/>
            </w:pPr>
            <w:r>
              <w:t xml:space="preserve">Inclusion of objective external metrics (regulatory audit outcomes,</w:t>
            </w:r>
            <w:r>
              <w:t xml:space="preserve"> </w:t>
            </w:r>
            <w:r>
              <w:t xml:space="preserve">independent customer satisfaction surveys) that are verifiable</w:t>
            </w:r>
            <w:r>
              <w:t xml:space="preserve"> </w:t>
            </w:r>
            <w:r>
              <w:t xml:space="preserve">outside the host organisation; explicit declaration in the competing</w:t>
            </w:r>
            <w:r>
              <w:t xml:space="preserve"> </w:t>
            </w:r>
            <w:r>
              <w:t xml:space="preserve">interest statement.</w:t>
            </w:r>
          </w:p>
        </w:tc>
        <w:tc>
          <w:tcPr/>
          <w:p>
            <w:pPr>
              <w:pStyle w:val="Compact"/>
              <w:jc w:val="left"/>
            </w:pPr>
            <w:r>
              <w:t xml:space="preserve">External replication by independent academic groups in unaffiliated</w:t>
            </w:r>
            <w:r>
              <w:t xml:space="preserve"> </w:t>
            </w:r>
            <w:r>
              <w:t xml:space="preserve">MRO facilities to triangulate the present findings.</w:t>
            </w:r>
          </w:p>
        </w:tc>
      </w:tr>
    </w:tbl>
    <w:p>
      <w:pPr>
        <w:pStyle w:val="BodyText"/>
      </w:pPr>
      <w:r>
        <w:t xml:space="preserve">In addition to the directions listed in the table, three broader research</w:t>
      </w:r>
      <w:r>
        <w:t xml:space="preserve"> </w:t>
      </w:r>
      <w:r>
        <w:t xml:space="preserve">avenues are noteworthy. First, comparing the framework across regulatory</w:t>
      </w:r>
      <w:r>
        <w:t xml:space="preserve"> </w:t>
      </w:r>
      <w:r>
        <w:t xml:space="preserve">regimes (FAA versus EASA versus ANAC) would test whether the</w:t>
      </w:r>
      <w:r>
        <w:t xml:space="preserve"> </w:t>
      </w:r>
      <w:r>
        <w:t xml:space="preserve">mapping of Kirkpatrick levels to regulatory clauses requires</w:t>
      </w:r>
      <w:r>
        <w:t xml:space="preserve"> </w:t>
      </w:r>
      <w:r>
        <w:t xml:space="preserve">jurisdiction-specific adaptation. Second, building on the host facility’s</w:t>
      </w:r>
      <w:r>
        <w:t xml:space="preserve"> </w:t>
      </w:r>
      <w:r>
        <w:t xml:space="preserve">parallel digital-twin programme for engine-specific procedural rehearsal</w:t>
      </w:r>
      <w:r>
        <w:t xml:space="preserve"> </w:t>
      </w:r>
      <w:r>
        <w:t xml:space="preserve">(García and López 2024)</w:t>
      </w:r>
      <w:r>
        <w:t xml:space="preserve">, future work will examine whether digital-twin-enabled</w:t>
      </w:r>
      <w:r>
        <w:t xml:space="preserve"> </w:t>
      </w:r>
      <w:r>
        <w:t xml:space="preserve">Level 3 measurement provides continuous and unobtrusive behavioural data,</w:t>
      </w:r>
      <w:r>
        <w:t xml:space="preserve"> </w:t>
      </w:r>
      <w:r>
        <w:t xml:space="preserve">which would mitigate the Hawthorne-effect concern identified in</w:t>
      </w:r>
      <w:r>
        <w:t xml:space="preserve"> </w:t>
      </w:r>
      <w:r>
        <w:t xml:space="preserve">Section </w:t>
      </w:r>
      <w:hyperlink w:anchor="subsubsec:validity">
        <w:r>
          <w:rPr>
            <w:rStyle w:val="Hyperlink"/>
          </w:rPr>
          <w:t xml:space="preserve">[subsubsec:validity]</w:t>
        </w:r>
      </w:hyperlink>
      <w:r>
        <w:t xml:space="preserve">. Third, formal causal-attribution methods</w:t>
      </w:r>
      <w:r>
        <w:t xml:space="preserve"> </w:t>
      </w:r>
      <w:r>
        <w:t xml:space="preserve">(Fernández-Delgado and Cernadas 2024)</w:t>
      </w:r>
      <w:r>
        <w:t xml:space="preserve"> </w:t>
      </w:r>
      <w:r>
        <w:t xml:space="preserve">could be applied to longitudinal data sets to</w:t>
      </w:r>
      <w:r>
        <w:t xml:space="preserve"> </w:t>
      </w:r>
      <w:r>
        <w:t xml:space="preserve">disentangle the contribution of training from contemporaneous changes in</w:t>
      </w:r>
      <w:r>
        <w:t xml:space="preserve"> </w:t>
      </w:r>
      <w:r>
        <w:t xml:space="preserve">workforce composition, tooling and maintenance volume.</w:t>
      </w:r>
    </w:p>
    <w:bookmarkEnd w:id="73"/>
    <w:bookmarkEnd w:id="74"/>
    <w:bookmarkStart w:id="75" w:name="funding"/>
    <w:p>
      <w:pPr>
        <w:pStyle w:val="Heading1"/>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75"/>
    <w:bookmarkStart w:id="76"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did not use any generative</w:t>
      </w:r>
      <w:r>
        <w:t xml:space="preserve"> </w:t>
      </w:r>
      <w:r>
        <w:t xml:space="preserve">artificial intelligence or AI-assisted technologies to generate scientific</w:t>
      </w:r>
      <w:r>
        <w:t xml:space="preserve"> </w:t>
      </w:r>
      <w:r>
        <w:t xml:space="preserve">content, analyse data, draw conclusions, or replace authorial judgement.</w:t>
      </w:r>
      <w:r>
        <w:t xml:space="preserve"> </w:t>
      </w:r>
      <w:r>
        <w:t xml:space="preserve">The authors take full responsibility for the content of this publication.</w:t>
      </w:r>
    </w:p>
    <w:bookmarkEnd w:id="76"/>
    <w:bookmarkStart w:id="77" w:name="ethics-statement"/>
    <w:p>
      <w:pPr>
        <w:pStyle w:val="Heading1"/>
      </w:pPr>
      <w:r>
        <w:t xml:space="preserve">Ethics statement</w:t>
      </w:r>
    </w:p>
    <w:p>
      <w:pPr>
        <w:pStyle w:val="FirstParagraph"/>
      </w:pPr>
      <w:r>
        <w:t xml:space="preserve">The study protocol was approved by the [Institution Ethics Committee] under</w:t>
      </w:r>
      <w:r>
        <w:t xml:space="preserve"> </w:t>
      </w:r>
      <w:r>
        <w:t xml:space="preserve">protocol No. [X]. All participants provided informed consent to the use of</w:t>
      </w:r>
      <w:r>
        <w:t xml:space="preserve"> </w:t>
      </w:r>
      <w:r>
        <w:t xml:space="preserve">their training records and behavioural observations for research purposes.</w:t>
      </w:r>
      <w:r>
        <w:t xml:space="preserve"> </w:t>
      </w:r>
      <w:r>
        <w:t xml:space="preserve">The host MRO facility approved the use of aggregated operational data</w:t>
      </w:r>
      <w:r>
        <w:t xml:space="preserve"> </w:t>
      </w:r>
      <w:r>
        <w:t xml:space="preserve">through a formal data-sharing agreement that restricts the disclosure of</w:t>
      </w:r>
      <w:r>
        <w:t xml:space="preserve"> </w:t>
      </w:r>
      <w:r>
        <w:t xml:space="preserve">individual-level records.</w:t>
      </w:r>
    </w:p>
    <w:bookmarkEnd w:id="77"/>
    <w:bookmarkStart w:id="78" w:name="declaration-of-competing-interest"/>
    <w:p>
      <w:pPr>
        <w:pStyle w:val="Heading1"/>
      </w:pPr>
      <w:r>
        <w:t xml:space="preserve">Declaration of competing interest</w:t>
      </w:r>
    </w:p>
    <w:p>
      <w:pPr>
        <w:pStyle w:val="FirstParagraph"/>
      </w:pPr>
      <w:r>
        <w:t xml:space="preserve">The corresponding author, Dr. José Cristiano Pereira, is affiliated</w:t>
      </w:r>
      <w:r>
        <w:t xml:space="preserve"> </w:t>
      </w:r>
      <w:r>
        <w:t xml:space="preserve">with GE Aviation in addition to his academic position at Universidade</w:t>
      </w:r>
      <w:r>
        <w:t xml:space="preserve"> </w:t>
      </w:r>
      <w:r>
        <w:t xml:space="preserve">Católica de Petrópolis.</w:t>
      </w:r>
      <w:r>
        <w:t xml:space="preserve"> </w:t>
      </w:r>
      <w:r>
        <w:t xml:space="preserve">The host MRO facility analysed in this case study is part of the GE</w:t>
      </w:r>
      <w:r>
        <w:t xml:space="preserve"> </w:t>
      </w:r>
      <w:r>
        <w:t xml:space="preserve">Aviation maintenance network. The data presented in this study were collected</w:t>
      </w:r>
      <w:r>
        <w:t xml:space="preserve"> </w:t>
      </w:r>
      <w:r>
        <w:t xml:space="preserve">under a formal data-sharing agreement with the facility’s quality</w:t>
      </w:r>
      <w:r>
        <w:t xml:space="preserve"> </w:t>
      </w:r>
      <w:r>
        <w:t xml:space="preserve">department, and the analysis and conclusions reflect the authors’</w:t>
      </w:r>
      <w:r>
        <w:t xml:space="preserve"> </w:t>
      </w:r>
      <w:r>
        <w:t xml:space="preserve">independent academic assessment. GE Aviation reviewed the manuscript</w:t>
      </w:r>
      <w:r>
        <w:t xml:space="preserve"> </w:t>
      </w:r>
      <w:r>
        <w:t xml:space="preserve">for confidentiality compliance only and did not influence the analytical</w:t>
      </w:r>
      <w:r>
        <w:t xml:space="preserve"> </w:t>
      </w:r>
      <w:r>
        <w:t xml:space="preserve">conclusions or the policy recommendations. The authors otherwise declare</w:t>
      </w:r>
      <w:r>
        <w:t xml:space="preserve"> </w:t>
      </w:r>
      <w:r>
        <w:t xml:space="preserve">no competing financial interests or personal relationships that could</w:t>
      </w:r>
      <w:r>
        <w:t xml:space="preserve"> </w:t>
      </w:r>
      <w:r>
        <w:t xml:space="preserve">have appeared to influence the work reported in this paper.</w:t>
      </w:r>
    </w:p>
    <w:bookmarkEnd w:id="78"/>
    <w:bookmarkStart w:id="118" w:name="data-availability"/>
    <w:p>
      <w:pPr>
        <w:pStyle w:val="Heading1"/>
      </w:pPr>
      <w:r>
        <w:t xml:space="preserve">Data availability</w:t>
      </w:r>
    </w:p>
    <w:p>
      <w:pPr>
        <w:pStyle w:val="FirstParagraph"/>
      </w:pPr>
      <w:r>
        <w:t xml:space="preserve">The aggregated operational metrics that support the findings of this study</w:t>
      </w:r>
      <w:r>
        <w:t xml:space="preserve"> </w:t>
      </w:r>
      <w:r>
        <w:t xml:space="preserve">are reported within the article. Individual-level data are not publicly</w:t>
      </w:r>
      <w:r>
        <w:t xml:space="preserve"> </w:t>
      </w:r>
      <w:r>
        <w:t xml:space="preserve">available due to commercial confidentiality of the MRO facility.</w:t>
      </w:r>
    </w:p>
    <w:bookmarkStart w:id="117" w:name="refs"/>
    <w:bookmarkStart w:id="80" w:name="ref-Boyd2015"/>
    <w:p>
      <w:pPr>
        <w:pStyle w:val="Bibliography"/>
      </w:pPr>
      <w:r>
        <w:t xml:space="preserve">Boyd, Douglas D., and Alan Stolzer. 2015.</w:t>
      </w:r>
      <w:r>
        <w:t xml:space="preserve"> </w:t>
      </w:r>
      <w:r>
        <w:t xml:space="preserve">“Causes and Trends in Maintenance-Related Accidents in</w:t>
      </w:r>
      <w:r>
        <w:t xml:space="preserve"> </w:t>
      </w:r>
      <w:r>
        <w:t xml:space="preserve">FAA</w:t>
      </w:r>
      <w:r>
        <w:t xml:space="preserve">-Certified Single Engine Piston Aircraft.”</w:t>
      </w:r>
      <w:r>
        <w:t xml:space="preserve"> </w:t>
      </w:r>
      <w:r>
        <w:rPr>
          <w:i/>
          <w:iCs/>
        </w:rPr>
        <w:t xml:space="preserve">Journal of Air Transport Management</w:t>
      </w:r>
      <w:r>
        <w:t xml:space="preserve"> </w:t>
      </w:r>
      <w:r>
        <w:t xml:space="preserve">49: 21–26.</w:t>
      </w:r>
      <w:r>
        <w:t xml:space="preserve"> </w:t>
      </w:r>
      <w:hyperlink r:id="rId79">
        <w:r>
          <w:rPr>
            <w:rStyle w:val="Hyperlink"/>
          </w:rPr>
          <w:t xml:space="preserve">https://doi.org/10.1016/j.jairtraman.2015.07.007</w:t>
        </w:r>
      </w:hyperlink>
      <w:r>
        <w:t xml:space="preserve">.</w:t>
      </w:r>
    </w:p>
    <w:bookmarkEnd w:id="80"/>
    <w:bookmarkStart w:id="82" w:name="ref-Chen2023"/>
    <w:p>
      <w:pPr>
        <w:pStyle w:val="Bibliography"/>
      </w:pPr>
      <w:r>
        <w:t xml:space="preserve">Chen, X., Y. Wang, H. Liu, and M. Zhou. 2023.</w:t>
      </w:r>
      <w:r>
        <w:t xml:space="preserve"> </w:t>
      </w:r>
      <w:r>
        <w:t xml:space="preserve">“Circular Economy Strategies in Aircraft</w:t>
      </w:r>
      <w:r>
        <w:t xml:space="preserve"> </w:t>
      </w:r>
      <w:r>
        <w:t xml:space="preserve">MRO</w:t>
      </w:r>
      <w:r>
        <w:t xml:space="preserve">: A Systematic Review and Research Agenda.”</w:t>
      </w:r>
      <w:r>
        <w:t xml:space="preserve"> </w:t>
      </w:r>
      <w:r>
        <w:rPr>
          <w:i/>
          <w:iCs/>
        </w:rPr>
        <w:t xml:space="preserve">Journal of Cleaner Production</w:t>
      </w:r>
      <w:r>
        <w:t xml:space="preserve"> </w:t>
      </w:r>
      <w:r>
        <w:t xml:space="preserve">410: 137216.</w:t>
      </w:r>
      <w:r>
        <w:t xml:space="preserve"> </w:t>
      </w:r>
      <w:hyperlink r:id="rId81">
        <w:r>
          <w:rPr>
            <w:rStyle w:val="Hyperlink"/>
          </w:rPr>
          <w:t xml:space="preserve">https://doi.org/10.1016/j.jclepro.2023.137216</w:t>
        </w:r>
      </w:hyperlink>
      <w:r>
        <w:t xml:space="preserve">.</w:t>
      </w:r>
    </w:p>
    <w:bookmarkEnd w:id="82"/>
    <w:bookmarkStart w:id="84" w:name="ref-Dismukes2023"/>
    <w:p>
      <w:pPr>
        <w:pStyle w:val="Bibliography"/>
      </w:pPr>
      <w:r>
        <w:t xml:space="preserve">Dismukes, R. Key. 2023.</w:t>
      </w:r>
      <w:r>
        <w:t xml:space="preserve"> </w:t>
      </w:r>
      <w:r>
        <w:t xml:space="preserve">“Cognitive Dimensions of Procedural Deviations in Aircraft Maintenance.”</w:t>
      </w:r>
      <w:r>
        <w:t xml:space="preserve"> </w:t>
      </w:r>
      <w:r>
        <w:rPr>
          <w:i/>
          <w:iCs/>
        </w:rPr>
        <w:t xml:space="preserve">Safety Science</w:t>
      </w:r>
      <w:r>
        <w:t xml:space="preserve"> </w:t>
      </w:r>
      <w:r>
        <w:t xml:space="preserve">163: 106135.</w:t>
      </w:r>
      <w:r>
        <w:t xml:space="preserve"> </w:t>
      </w:r>
      <w:hyperlink r:id="rId83">
        <w:r>
          <w:rPr>
            <w:rStyle w:val="Hyperlink"/>
          </w:rPr>
          <w:t xml:space="preserve">https://doi.org/10.1016/j.ssci.2023.106135</w:t>
        </w:r>
      </w:hyperlink>
      <w:r>
        <w:t xml:space="preserve">.</w:t>
      </w:r>
    </w:p>
    <w:bookmarkEnd w:id="84"/>
    <w:bookmarkStart w:id="86" w:name="ref-EASA2025"/>
    <w:p>
      <w:pPr>
        <w:pStyle w:val="Bibliography"/>
      </w:pPr>
      <w:r>
        <w:t xml:space="preserve">European Union Aviation Safety Agency. 2025.</w:t>
      </w:r>
      <w:r>
        <w:t xml:space="preserve"> </w:t>
      </w:r>
      <w:r>
        <w:rPr>
          <w:i/>
          <w:iCs/>
        </w:rPr>
        <w:t xml:space="preserve">Annual Safety Review 2025</w:t>
      </w:r>
      <w:r>
        <w:t xml:space="preserve">. EASA.</w:t>
      </w:r>
      <w:r>
        <w:t xml:space="preserve"> </w:t>
      </w:r>
      <w:hyperlink r:id="rId85">
        <w:r>
          <w:rPr>
            <w:rStyle w:val="Hyperlink"/>
          </w:rPr>
          <w:t xml:space="preserve">https://www.easa.europa.eu/document-library/general-publications</w:t>
        </w:r>
      </w:hyperlink>
      <w:r>
        <w:t xml:space="preserve">.</w:t>
      </w:r>
    </w:p>
    <w:bookmarkEnd w:id="86"/>
    <w:bookmarkStart w:id="88" w:name="ref-FAA2024"/>
    <w:p>
      <w:pPr>
        <w:pStyle w:val="Bibliography"/>
      </w:pPr>
      <w:r>
        <w:t xml:space="preserve">Federal Aviation Administration. 2024.</w:t>
      </w:r>
      <w:r>
        <w:t xml:space="preserve"> </w:t>
      </w:r>
      <w:r>
        <w:rPr>
          <w:i/>
          <w:iCs/>
        </w:rPr>
        <w:t xml:space="preserve">Advisory Circular 120-92</w:t>
      </w:r>
      <w:r>
        <w:rPr>
          <w:i/>
          <w:iCs/>
        </w:rPr>
        <w:t xml:space="preserve">C</w:t>
      </w:r>
      <w:r>
        <w:rPr>
          <w:i/>
          <w:iCs/>
        </w:rPr>
        <w:t xml:space="preserve">: Safety Management Systems for Aviation Service Providers</w:t>
      </w:r>
      <w:r>
        <w:t xml:space="preserve">. Federal Aviation Administration, U.S. Department of Transportation.</w:t>
      </w:r>
      <w:r>
        <w:t xml:space="preserve"> </w:t>
      </w:r>
      <w:hyperlink r:id="rId87">
        <w:r>
          <w:rPr>
            <w:rStyle w:val="Hyperlink"/>
          </w:rPr>
          <w:t xml:space="preserve">https://www.faa.gov/regulations_policies/advisory_circulars/</w:t>
        </w:r>
      </w:hyperlink>
      <w:r>
        <w:t xml:space="preserve">.</w:t>
      </w:r>
    </w:p>
    <w:bookmarkEnd w:id="88"/>
    <w:bookmarkStart w:id="90" w:name="ref-Fernandez2024"/>
    <w:p>
      <w:pPr>
        <w:pStyle w:val="Bibliography"/>
      </w:pPr>
      <w:r>
        <w:t xml:space="preserve">Fernández-Delgado, Manuel, and Eva Cernadas. 2024.</w:t>
      </w:r>
      <w:r>
        <w:t xml:space="preserve"> </w:t>
      </w:r>
      <w:r>
        <w:t xml:space="preserve">“Causal</w:t>
      </w:r>
      <w:r>
        <w:t xml:space="preserve"> </w:t>
      </w:r>
      <w:r>
        <w:t xml:space="preserve">AI</w:t>
      </w:r>
      <w:r>
        <w:t xml:space="preserve"> </w:t>
      </w:r>
      <w:r>
        <w:t xml:space="preserve">for Training Attribution in High-Reliability Operations.”</w:t>
      </w:r>
      <w:r>
        <w:t xml:space="preserve"> </w:t>
      </w:r>
      <w:r>
        <w:rPr>
          <w:i/>
          <w:iCs/>
        </w:rPr>
        <w:t xml:space="preserve">Reliability Engineering &amp; System Safety</w:t>
      </w:r>
      <w:r>
        <w:t xml:space="preserve"> </w:t>
      </w:r>
      <w:r>
        <w:t xml:space="preserve">248: 110179.</w:t>
      </w:r>
      <w:r>
        <w:t xml:space="preserve"> </w:t>
      </w:r>
      <w:hyperlink r:id="rId89">
        <w:r>
          <w:rPr>
            <w:rStyle w:val="Hyperlink"/>
          </w:rPr>
          <w:t xml:space="preserve">https://doi.org/10.1016/j.ress.2024.110179</w:t>
        </w:r>
      </w:hyperlink>
      <w:r>
        <w:t xml:space="preserve">.</w:t>
      </w:r>
    </w:p>
    <w:bookmarkEnd w:id="90"/>
    <w:bookmarkStart w:id="92" w:name="ref-Garcia2024"/>
    <w:p>
      <w:pPr>
        <w:pStyle w:val="Bibliography"/>
      </w:pPr>
      <w:r>
        <w:t xml:space="preserve">García, Manuel, and Antonio López. 2024.</w:t>
      </w:r>
      <w:r>
        <w:t xml:space="preserve"> </w:t>
      </w:r>
      <w:r>
        <w:t xml:space="preserve">“Digital Twins in Aircraft-Engine Maintenance Training: A Pilot Deployment.”</w:t>
      </w:r>
      <w:r>
        <w:t xml:space="preserve"> </w:t>
      </w:r>
      <w:r>
        <w:rPr>
          <w:i/>
          <w:iCs/>
        </w:rPr>
        <w:t xml:space="preserve">Journal of Air Transport Management</w:t>
      </w:r>
      <w:r>
        <w:t xml:space="preserve"> </w:t>
      </w:r>
      <w:r>
        <w:t xml:space="preserve">116: 102561.</w:t>
      </w:r>
      <w:r>
        <w:t xml:space="preserve"> </w:t>
      </w:r>
      <w:hyperlink r:id="rId91">
        <w:r>
          <w:rPr>
            <w:rStyle w:val="Hyperlink"/>
          </w:rPr>
          <w:t xml:space="preserve">https://doi.org/10.1016/j.jairtraman.2024.102561</w:t>
        </w:r>
      </w:hyperlink>
      <w:r>
        <w:t xml:space="preserve">.</w:t>
      </w:r>
    </w:p>
    <w:bookmarkEnd w:id="92"/>
    <w:bookmarkStart w:id="93" w:name="ref-Kirkpatrick2010"/>
    <w:p>
      <w:pPr>
        <w:pStyle w:val="Bibliography"/>
      </w:pPr>
      <w:r>
        <w:t xml:space="preserve">Kirkpatrick, Donald L., and James D. Kirkpatrick. 2010.</w:t>
      </w:r>
      <w:r>
        <w:t xml:space="preserve"> </w:t>
      </w:r>
      <w:r>
        <w:rPr>
          <w:i/>
          <w:iCs/>
        </w:rPr>
        <w:t xml:space="preserve">Evaluating Training Programs: The Four Levels</w:t>
      </w:r>
      <w:r>
        <w:t xml:space="preserve">. 3rd ed. Berrett-Koehler.</w:t>
      </w:r>
    </w:p>
    <w:bookmarkEnd w:id="93"/>
    <w:bookmarkStart w:id="95" w:name="ref-Leveson2024"/>
    <w:p>
      <w:pPr>
        <w:pStyle w:val="Bibliography"/>
      </w:pPr>
      <w:r>
        <w:t xml:space="preserve">Leveson, Nancy G. 2024.</w:t>
      </w:r>
      <w:r>
        <w:t xml:space="preserve"> </w:t>
      </w:r>
      <w:r>
        <w:t xml:space="preserve">“Systems-Theoretic Thinking Applied to Aviation Safety: A Decade of</w:t>
      </w:r>
      <w:r>
        <w:t xml:space="preserve"> </w:t>
      </w:r>
      <w:r>
        <w:t xml:space="preserve">STAMP</w:t>
      </w:r>
      <w:r>
        <w:t xml:space="preserve"> </w:t>
      </w:r>
      <w:r>
        <w:t xml:space="preserve">in Practice.”</w:t>
      </w:r>
      <w:r>
        <w:t xml:space="preserve"> </w:t>
      </w:r>
      <w:r>
        <w:rPr>
          <w:i/>
          <w:iCs/>
        </w:rPr>
        <w:t xml:space="preserve">Safety Science</w:t>
      </w:r>
      <w:r>
        <w:t xml:space="preserve"> </w:t>
      </w:r>
      <w:r>
        <w:t xml:space="preserve">174: 106471.</w:t>
      </w:r>
      <w:r>
        <w:t xml:space="preserve"> </w:t>
      </w:r>
      <w:hyperlink r:id="rId94">
        <w:r>
          <w:rPr>
            <w:rStyle w:val="Hyperlink"/>
          </w:rPr>
          <w:t xml:space="preserve">https://doi.org/10.1016/j.ssci.2024.106471</w:t>
        </w:r>
      </w:hyperlink>
      <w:r>
        <w:t xml:space="preserve">.</w:t>
      </w:r>
    </w:p>
    <w:bookmarkEnd w:id="95"/>
    <w:bookmarkStart w:id="97" w:name="ref-Nakamura2024"/>
    <w:p>
      <w:pPr>
        <w:pStyle w:val="Bibliography"/>
      </w:pPr>
      <w:r>
        <w:t xml:space="preserve">Nakamura, Kenji, Hiroshi Sato, and Yumi Tanaka. 2024.</w:t>
      </w:r>
      <w:r>
        <w:t xml:space="preserve"> </w:t>
      </w:r>
      <w:r>
        <w:t xml:space="preserve">“The Compliance Paradox in Aviation Training: Documented Competence Versus Operational Behaviour.”</w:t>
      </w:r>
      <w:r>
        <w:t xml:space="preserve"> </w:t>
      </w:r>
      <w:r>
        <w:rPr>
          <w:i/>
          <w:iCs/>
        </w:rPr>
        <w:t xml:space="preserve">Journal of Air Transport Management</w:t>
      </w:r>
      <w:r>
        <w:t xml:space="preserve"> </w:t>
      </w:r>
      <w:r>
        <w:t xml:space="preserve">117: 102609.</w:t>
      </w:r>
      <w:r>
        <w:t xml:space="preserve"> </w:t>
      </w:r>
      <w:hyperlink r:id="rId96">
        <w:r>
          <w:rPr>
            <w:rStyle w:val="Hyperlink"/>
          </w:rPr>
          <w:t xml:space="preserve">https://doi.org/10.1016/j.jairtraman.2024.102609</w:t>
        </w:r>
      </w:hyperlink>
      <w:r>
        <w:t xml:space="preserve">.</w:t>
      </w:r>
    </w:p>
    <w:bookmarkEnd w:id="97"/>
    <w:bookmarkStart w:id="99" w:name="ref-ORconnor2024"/>
    <w:p>
      <w:pPr>
        <w:pStyle w:val="Bibliography"/>
      </w:pPr>
      <w:r>
        <w:t xml:space="preserve">O’Connor, Paul, Rhona Flin, and Cara Sennett. 2024.</w:t>
      </w:r>
      <w:r>
        <w:t xml:space="preserve"> </w:t>
      </w:r>
      <w:r>
        <w:t xml:space="preserve">“Safety Culture as a Moderator of Training Transfer in Aviation Maintenance.”</w:t>
      </w:r>
      <w:r>
        <w:t xml:space="preserve"> </w:t>
      </w:r>
      <w:r>
        <w:rPr>
          <w:i/>
          <w:iCs/>
        </w:rPr>
        <w:t xml:space="preserve">Reliability Engineering &amp; System Safety</w:t>
      </w:r>
      <w:r>
        <w:t xml:space="preserve"> </w:t>
      </w:r>
      <w:r>
        <w:t xml:space="preserve">243: 109842.</w:t>
      </w:r>
      <w:r>
        <w:t xml:space="preserve"> </w:t>
      </w:r>
      <w:hyperlink r:id="rId98">
        <w:r>
          <w:rPr>
            <w:rStyle w:val="Hyperlink"/>
          </w:rPr>
          <w:t xml:space="preserve">https://doi.org/10.1016/j.ress.2024.109842</w:t>
        </w:r>
      </w:hyperlink>
      <w:r>
        <w:t xml:space="preserve">.</w:t>
      </w:r>
    </w:p>
    <w:bookmarkEnd w:id="99"/>
    <w:bookmarkStart w:id="101" w:name="ref-ORreilly2024"/>
    <w:p>
      <w:pPr>
        <w:pStyle w:val="Bibliography"/>
      </w:pPr>
      <w:r>
        <w:t xml:space="preserve">O’Reilly, K., J. Murphy, and S. Doyle. 2024.</w:t>
      </w:r>
      <w:r>
        <w:t xml:space="preserve"> </w:t>
      </w:r>
      <w:r>
        <w:t xml:space="preserve">“Regulatory Gaps in Kirkpatrick Implementation for</w:t>
      </w:r>
      <w:r>
        <w:t xml:space="preserve"> </w:t>
      </w:r>
      <w:r>
        <w:t xml:space="preserve">AS9100</w:t>
      </w:r>
      <w:r>
        <w:t xml:space="preserve">-Certified Maintenance Organisations.”</w:t>
      </w:r>
      <w:r>
        <w:t xml:space="preserve"> </w:t>
      </w:r>
      <w:r>
        <w:rPr>
          <w:i/>
          <w:iCs/>
        </w:rPr>
        <w:t xml:space="preserve">Journal of Air Transport Management</w:t>
      </w:r>
      <w:r>
        <w:t xml:space="preserve"> </w:t>
      </w:r>
      <w:r>
        <w:t xml:space="preserve">118: 102641.</w:t>
      </w:r>
      <w:r>
        <w:t xml:space="preserve"> </w:t>
      </w:r>
      <w:hyperlink r:id="rId100">
        <w:r>
          <w:rPr>
            <w:rStyle w:val="Hyperlink"/>
          </w:rPr>
          <w:t xml:space="preserve">https://doi.org/10.1016/j.jairtraman.2024.102641</w:t>
        </w:r>
      </w:hyperlink>
      <w:r>
        <w:t xml:space="preserve">.</w:t>
      </w:r>
    </w:p>
    <w:bookmarkEnd w:id="101"/>
    <w:bookmarkStart w:id="103" w:name="ref-Oschman2017"/>
    <w:p>
      <w:pPr>
        <w:pStyle w:val="Bibliography"/>
      </w:pPr>
      <w:r>
        <w:t xml:space="preserve">Oschman, James J. 2017.</w:t>
      </w:r>
      <w:r>
        <w:t xml:space="preserve"> </w:t>
      </w:r>
      <w:r>
        <w:t xml:space="preserve">“Strategic Quality Management and</w:t>
      </w:r>
      <w:r>
        <w:t xml:space="preserve"> </w:t>
      </w:r>
      <w:r>
        <w:t xml:space="preserve">AS9100</w:t>
      </w:r>
      <w:r>
        <w:t xml:space="preserve">: A Practitioner’s Perspective.”</w:t>
      </w:r>
      <w:r>
        <w:t xml:space="preserve"> </w:t>
      </w:r>
      <w:r>
        <w:rPr>
          <w:i/>
          <w:iCs/>
        </w:rPr>
        <w:t xml:space="preserve">Quality Engineering</w:t>
      </w:r>
      <w:r>
        <w:t xml:space="preserve"> </w:t>
      </w:r>
      <w:r>
        <w:t xml:space="preserve">29 (3): 410–22.</w:t>
      </w:r>
      <w:r>
        <w:t xml:space="preserve"> </w:t>
      </w:r>
      <w:hyperlink r:id="rId102">
        <w:r>
          <w:rPr>
            <w:rStyle w:val="Hyperlink"/>
          </w:rPr>
          <w:t xml:space="preserve">https://doi.org/10.1080/08982112.2016.1219384</w:t>
        </w:r>
      </w:hyperlink>
      <w:r>
        <w:t xml:space="preserve">.</w:t>
      </w:r>
    </w:p>
    <w:bookmarkEnd w:id="103"/>
    <w:bookmarkStart w:id="105" w:name="ref-Patel2023"/>
    <w:p>
      <w:pPr>
        <w:pStyle w:val="Bibliography"/>
      </w:pPr>
      <w:r>
        <w:t xml:space="preserve">Patel, Rajeev, Ashok Kumar, and Vikram Singh. 2023.</w:t>
      </w:r>
      <w:r>
        <w:t xml:space="preserve"> </w:t>
      </w:r>
      <w:r>
        <w:t xml:space="preserve">“Isolating Training Effects in Complex Socio-Technical Systems: A Quasi-Experimental Approach.”</w:t>
      </w:r>
      <w:r>
        <w:t xml:space="preserve"> </w:t>
      </w:r>
      <w:r>
        <w:rPr>
          <w:i/>
          <w:iCs/>
        </w:rPr>
        <w:t xml:space="preserve">Reliability Engineering &amp; System Safety</w:t>
      </w:r>
      <w:r>
        <w:t xml:space="preserve"> </w:t>
      </w:r>
      <w:r>
        <w:t xml:space="preserve">237: 109368.</w:t>
      </w:r>
      <w:r>
        <w:t xml:space="preserve"> </w:t>
      </w:r>
      <w:hyperlink r:id="rId104">
        <w:r>
          <w:rPr>
            <w:rStyle w:val="Hyperlink"/>
          </w:rPr>
          <w:t xml:space="preserve">https://doi.org/10.1016/j.ress.2023.109368</w:t>
        </w:r>
      </w:hyperlink>
      <w:r>
        <w:t xml:space="preserve">.</w:t>
      </w:r>
    </w:p>
    <w:bookmarkEnd w:id="105"/>
    <w:bookmarkStart w:id="107" w:name="ref-Pereira2017"/>
    <w:p>
      <w:pPr>
        <w:pStyle w:val="Bibliography"/>
      </w:pPr>
      <w:r>
        <w:t xml:space="preserve">Pereira, José. 2017.</w:t>
      </w:r>
      <w:r>
        <w:t xml:space="preserve"> </w:t>
      </w:r>
      <w:r>
        <w:t xml:space="preserve">“Risk-Based Maintenance Cost Modelling in Aircraft Engine Overhaul.”</w:t>
      </w:r>
      <w:r>
        <w:t xml:space="preserve"> </w:t>
      </w:r>
      <w:r>
        <w:rPr>
          <w:i/>
          <w:iCs/>
        </w:rPr>
        <w:t xml:space="preserve">Reliability Engineering &amp; System Safety</w:t>
      </w:r>
      <w:r>
        <w:t xml:space="preserve"> </w:t>
      </w:r>
      <w:r>
        <w:t xml:space="preserve">166: 15–24.</w:t>
      </w:r>
      <w:r>
        <w:t xml:space="preserve"> </w:t>
      </w:r>
      <w:hyperlink r:id="rId106">
        <w:r>
          <w:rPr>
            <w:rStyle w:val="Hyperlink"/>
          </w:rPr>
          <w:t xml:space="preserve">https://doi.org/10.1016/j.ress.2017.05.007</w:t>
        </w:r>
      </w:hyperlink>
      <w:r>
        <w:t xml:space="preserve">.</w:t>
      </w:r>
    </w:p>
    <w:bookmarkEnd w:id="107"/>
    <w:bookmarkStart w:id="109" w:name="ref-Peterson2025"/>
    <w:p>
      <w:pPr>
        <w:pStyle w:val="Bibliography"/>
      </w:pPr>
      <w:r>
        <w:t xml:space="preserve">Peterson, Thomas. 2025.</w:t>
      </w:r>
      <w:r>
        <w:t xml:space="preserve"> </w:t>
      </w:r>
      <w:r>
        <w:t xml:space="preserve">“Predictive Modelling of Training</w:t>
      </w:r>
      <w:r>
        <w:t xml:space="preserve"> </w:t>
      </w:r>
      <w:r>
        <w:t xml:space="preserve">ROI</w:t>
      </w:r>
      <w:r>
        <w:t xml:space="preserve"> </w:t>
      </w:r>
      <w:r>
        <w:t xml:space="preserve">in High-Reliability Operations.”</w:t>
      </w:r>
      <w:r>
        <w:t xml:space="preserve"> </w:t>
      </w:r>
      <w:r>
        <w:rPr>
          <w:i/>
          <w:iCs/>
        </w:rPr>
        <w:t xml:space="preserve">Journal of Air Transport Management</w:t>
      </w:r>
      <w:r>
        <w:t xml:space="preserve"> </w:t>
      </w:r>
      <w:r>
        <w:t xml:space="preserve">120: 102703.</w:t>
      </w:r>
      <w:r>
        <w:t xml:space="preserve"> </w:t>
      </w:r>
      <w:hyperlink r:id="rId108">
        <w:r>
          <w:rPr>
            <w:rStyle w:val="Hyperlink"/>
          </w:rPr>
          <w:t xml:space="preserve">https://doi.org/10.1016/j.jairtraman.2025.102703</w:t>
        </w:r>
      </w:hyperlink>
      <w:r>
        <w:t xml:space="preserve">.</w:t>
      </w:r>
    </w:p>
    <w:bookmarkEnd w:id="109"/>
    <w:bookmarkStart w:id="110" w:name="ref-Reason2016"/>
    <w:p>
      <w:pPr>
        <w:pStyle w:val="Bibliography"/>
      </w:pPr>
      <w:r>
        <w:t xml:space="preserve">Reason, James. 2016.</w:t>
      </w:r>
      <w:r>
        <w:t xml:space="preserve"> </w:t>
      </w:r>
      <w:r>
        <w:rPr>
          <w:i/>
          <w:iCs/>
        </w:rPr>
        <w:t xml:space="preserve">Organizational Accidents Revisited</w:t>
      </w:r>
      <w:r>
        <w:t xml:space="preserve">. Ashgate.</w:t>
      </w:r>
    </w:p>
    <w:bookmarkEnd w:id="110"/>
    <w:bookmarkStart w:id="112" w:name="ref-Sousa2025"/>
    <w:p>
      <w:pPr>
        <w:pStyle w:val="Bibliography"/>
      </w:pPr>
      <w:r>
        <w:t xml:space="preserve">Sousa, Susana, Mariana Lima, and Ricardo Costa. 2025.</w:t>
      </w:r>
      <w:r>
        <w:t xml:space="preserve"> </w:t>
      </w:r>
      <w:r>
        <w:t xml:space="preserve">“Human Capital Development in High-Reliability Organisations: A Case for Cleaner Production.”</w:t>
      </w:r>
      <w:r>
        <w:t xml:space="preserve"> </w:t>
      </w:r>
      <w:r>
        <w:rPr>
          <w:i/>
          <w:iCs/>
        </w:rPr>
        <w:t xml:space="preserve">Journal of Cleaner Production</w:t>
      </w:r>
      <w:r>
        <w:t xml:space="preserve"> </w:t>
      </w:r>
      <w:r>
        <w:t xml:space="preserve">432: 139800.</w:t>
      </w:r>
      <w:r>
        <w:t xml:space="preserve"> </w:t>
      </w:r>
      <w:hyperlink r:id="rId111">
        <w:r>
          <w:rPr>
            <w:rStyle w:val="Hyperlink"/>
          </w:rPr>
          <w:t xml:space="preserve">https://doi.org/10.1016/j.jclepro.2025.139800</w:t>
        </w:r>
      </w:hyperlink>
      <w:r>
        <w:t xml:space="preserve">.</w:t>
      </w:r>
    </w:p>
    <w:bookmarkEnd w:id="112"/>
    <w:bookmarkStart w:id="114" w:name="ref-Yang2024"/>
    <w:p>
      <w:pPr>
        <w:pStyle w:val="Bibliography"/>
      </w:pPr>
      <w:r>
        <w:t xml:space="preserve">Yang, Liu, and Sungmin Park. 2024.</w:t>
      </w:r>
      <w:r>
        <w:t xml:space="preserve"> </w:t>
      </w:r>
      <w:r>
        <w:t xml:space="preserve">“Integrating Human Factors into Lean Management for Resource Efficiency in Aviation</w:t>
      </w:r>
      <w:r>
        <w:t xml:space="preserve"> </w:t>
      </w:r>
      <w:r>
        <w:t xml:space="preserve">MRO</w:t>
      </w:r>
      <w:r>
        <w:t xml:space="preserve">.”</w:t>
      </w:r>
      <w:r>
        <w:t xml:space="preserve"> </w:t>
      </w:r>
      <w:r>
        <w:rPr>
          <w:i/>
          <w:iCs/>
        </w:rPr>
        <w:t xml:space="preserve">Journal of Cleaner Production</w:t>
      </w:r>
      <w:r>
        <w:t xml:space="preserve"> </w:t>
      </w:r>
      <w:r>
        <w:t xml:space="preserve">448: 141462.</w:t>
      </w:r>
      <w:r>
        <w:t xml:space="preserve"> </w:t>
      </w:r>
      <w:hyperlink r:id="rId113">
        <w:r>
          <w:rPr>
            <w:rStyle w:val="Hyperlink"/>
          </w:rPr>
          <w:t xml:space="preserve">https://doi.org/10.1016/j.jclepro.2024.141462</w:t>
        </w:r>
      </w:hyperlink>
      <w:r>
        <w:t xml:space="preserve">.</w:t>
      </w:r>
    </w:p>
    <w:bookmarkEnd w:id="114"/>
    <w:bookmarkStart w:id="116" w:name="ref-Zhang2025"/>
    <w:p>
      <w:pPr>
        <w:pStyle w:val="Bibliography"/>
      </w:pPr>
      <w:r>
        <w:t xml:space="preserve">Zhang, Lin, Tao Wang, and Jiawei Chen. 2025.</w:t>
      </w:r>
      <w:r>
        <w:t xml:space="preserve"> </w:t>
      </w:r>
      <w:r>
        <w:t xml:space="preserve">“Training Failure Costs in</w:t>
      </w:r>
      <w:r>
        <w:t xml:space="preserve"> </w:t>
      </w:r>
      <w:r>
        <w:t xml:space="preserve">MRO</w:t>
      </w:r>
      <w:r>
        <w:t xml:space="preserve"> </w:t>
      </w:r>
      <w:r>
        <w:t xml:space="preserve">Operations: A Multi-Site Benchmarking Study.”</w:t>
      </w:r>
      <w:r>
        <w:t xml:space="preserve"> </w:t>
      </w:r>
      <w:r>
        <w:rPr>
          <w:i/>
          <w:iCs/>
        </w:rPr>
        <w:t xml:space="preserve">Journal of Air Transport Management</w:t>
      </w:r>
      <w:r>
        <w:t xml:space="preserve"> </w:t>
      </w:r>
      <w:r>
        <w:t xml:space="preserve">123: 102785.</w:t>
      </w:r>
      <w:r>
        <w:t xml:space="preserve"> </w:t>
      </w:r>
      <w:hyperlink r:id="rId115">
        <w:r>
          <w:rPr>
            <w:rStyle w:val="Hyperlink"/>
          </w:rPr>
          <w:t xml:space="preserve">https://doi.org/10.1016/j.jairtraman.2025.102785</w:t>
        </w:r>
      </w:hyperlink>
      <w:r>
        <w:t xml:space="preserve">.</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https://doi.org/10.1016/j.jairtraman.2015.07.007" TargetMode="External" /><Relationship Type="http://schemas.openxmlformats.org/officeDocument/2006/relationships/hyperlink" Id="rId91" Target="https://doi.org/10.1016/j.jairtraman.2024.102561" TargetMode="External" /><Relationship Type="http://schemas.openxmlformats.org/officeDocument/2006/relationships/hyperlink" Id="rId96" Target="https://doi.org/10.1016/j.jairtraman.2024.102609" TargetMode="External" /><Relationship Type="http://schemas.openxmlformats.org/officeDocument/2006/relationships/hyperlink" Id="rId100" Target="https://doi.org/10.1016/j.jairtraman.2024.102641" TargetMode="External" /><Relationship Type="http://schemas.openxmlformats.org/officeDocument/2006/relationships/hyperlink" Id="rId108" Target="https://doi.org/10.1016/j.jairtraman.2025.102703" TargetMode="External" /><Relationship Type="http://schemas.openxmlformats.org/officeDocument/2006/relationships/hyperlink" Id="rId115" Target="https://doi.org/10.1016/j.jairtraman.2025.102785" TargetMode="External" /><Relationship Type="http://schemas.openxmlformats.org/officeDocument/2006/relationships/hyperlink" Id="rId81" Target="https://doi.org/10.1016/j.jclepro.2023.137216" TargetMode="External" /><Relationship Type="http://schemas.openxmlformats.org/officeDocument/2006/relationships/hyperlink" Id="rId113" Target="https://doi.org/10.1016/j.jclepro.2024.141462" TargetMode="External" /><Relationship Type="http://schemas.openxmlformats.org/officeDocument/2006/relationships/hyperlink" Id="rId111" Target="https://doi.org/10.1016/j.jclepro.2025.139800" TargetMode="External" /><Relationship Type="http://schemas.openxmlformats.org/officeDocument/2006/relationships/hyperlink" Id="rId106" Target="https://doi.org/10.1016/j.ress.2017.05.007" TargetMode="External" /><Relationship Type="http://schemas.openxmlformats.org/officeDocument/2006/relationships/hyperlink" Id="rId104" Target="https://doi.org/10.1016/j.ress.2023.109368" TargetMode="External" /><Relationship Type="http://schemas.openxmlformats.org/officeDocument/2006/relationships/hyperlink" Id="rId98" Target="https://doi.org/10.1016/j.ress.2024.109842" TargetMode="External" /><Relationship Type="http://schemas.openxmlformats.org/officeDocument/2006/relationships/hyperlink" Id="rId89" Target="https://doi.org/10.1016/j.ress.2024.110179" TargetMode="External" /><Relationship Type="http://schemas.openxmlformats.org/officeDocument/2006/relationships/hyperlink" Id="rId83" Target="https://doi.org/10.1016/j.ssci.2023.106135" TargetMode="External" /><Relationship Type="http://schemas.openxmlformats.org/officeDocument/2006/relationships/hyperlink" Id="rId94" Target="https://doi.org/10.1016/j.ssci.2024.106471" TargetMode="External" /><Relationship Type="http://schemas.openxmlformats.org/officeDocument/2006/relationships/hyperlink" Id="rId102" Target="https://doi.org/10.1080/08982112.2016.1219384" TargetMode="External" /><Relationship Type="http://schemas.openxmlformats.org/officeDocument/2006/relationships/hyperlink" Id="rId85" Target="https://www.easa.europa.eu/document-library/general-publications" TargetMode="External" /><Relationship Type="http://schemas.openxmlformats.org/officeDocument/2006/relationships/hyperlink" Id="rId87" Target="https://www.faa.gov/regulations_policies/advisory_circulars/"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16/j.jairtraman.2015.07.007" TargetMode="External" /><Relationship Type="http://schemas.openxmlformats.org/officeDocument/2006/relationships/hyperlink" Id="rId91" Target="https://doi.org/10.1016/j.jairtraman.2024.102561" TargetMode="External" /><Relationship Type="http://schemas.openxmlformats.org/officeDocument/2006/relationships/hyperlink" Id="rId96" Target="https://doi.org/10.1016/j.jairtraman.2024.102609" TargetMode="External" /><Relationship Type="http://schemas.openxmlformats.org/officeDocument/2006/relationships/hyperlink" Id="rId100" Target="https://doi.org/10.1016/j.jairtraman.2024.102641" TargetMode="External" /><Relationship Type="http://schemas.openxmlformats.org/officeDocument/2006/relationships/hyperlink" Id="rId108" Target="https://doi.org/10.1016/j.jairtraman.2025.102703" TargetMode="External" /><Relationship Type="http://schemas.openxmlformats.org/officeDocument/2006/relationships/hyperlink" Id="rId115" Target="https://doi.org/10.1016/j.jairtraman.2025.102785" TargetMode="External" /><Relationship Type="http://schemas.openxmlformats.org/officeDocument/2006/relationships/hyperlink" Id="rId81" Target="https://doi.org/10.1016/j.jclepro.2023.137216" TargetMode="External" /><Relationship Type="http://schemas.openxmlformats.org/officeDocument/2006/relationships/hyperlink" Id="rId113" Target="https://doi.org/10.1016/j.jclepro.2024.141462" TargetMode="External" /><Relationship Type="http://schemas.openxmlformats.org/officeDocument/2006/relationships/hyperlink" Id="rId111" Target="https://doi.org/10.1016/j.jclepro.2025.139800" TargetMode="External" /><Relationship Type="http://schemas.openxmlformats.org/officeDocument/2006/relationships/hyperlink" Id="rId106" Target="https://doi.org/10.1016/j.ress.2017.05.007" TargetMode="External" /><Relationship Type="http://schemas.openxmlformats.org/officeDocument/2006/relationships/hyperlink" Id="rId104" Target="https://doi.org/10.1016/j.ress.2023.109368" TargetMode="External" /><Relationship Type="http://schemas.openxmlformats.org/officeDocument/2006/relationships/hyperlink" Id="rId98" Target="https://doi.org/10.1016/j.ress.2024.109842" TargetMode="External" /><Relationship Type="http://schemas.openxmlformats.org/officeDocument/2006/relationships/hyperlink" Id="rId89" Target="https://doi.org/10.1016/j.ress.2024.110179" TargetMode="External" /><Relationship Type="http://schemas.openxmlformats.org/officeDocument/2006/relationships/hyperlink" Id="rId83" Target="https://doi.org/10.1016/j.ssci.2023.106135" TargetMode="External" /><Relationship Type="http://schemas.openxmlformats.org/officeDocument/2006/relationships/hyperlink" Id="rId94" Target="https://doi.org/10.1016/j.ssci.2024.106471" TargetMode="External" /><Relationship Type="http://schemas.openxmlformats.org/officeDocument/2006/relationships/hyperlink" Id="rId102" Target="https://doi.org/10.1080/08982112.2016.1219384" TargetMode="External" /><Relationship Type="http://schemas.openxmlformats.org/officeDocument/2006/relationships/hyperlink" Id="rId85" Target="https://www.easa.europa.eu/document-library/general-publications" TargetMode="External" /><Relationship Type="http://schemas.openxmlformats.org/officeDocument/2006/relationships/hyperlink" Id="rId87" Target="https://www.faa.gov/regulations_policies/advisory_circul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Kirkpatrick-based Framework for Integrating Safety and Sustainability in Aviation Maintenance: A Case Study on Waste Reduction and Resource Efficiency</dc:title>
  <dc:creator>José Cristiano Pereira; Heitor Oliveira Gonçalves</dc:creator>
  <cp:keywords/>
  <dcterms:created xsi:type="dcterms:W3CDTF">2026-05-16T12:58:14Z</dcterms:created>
  <dcterms:modified xsi:type="dcterms:W3CDTF">2026-05-16T12:58:14Z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Within high-risk industries such as aviation maintenance, safety and sustainability are intrinsically linked: maintenance errors not only drive accidents but also generate substantial resource waste through rework, scrap and the loss of human capital. This case study operationalises the Kirkpatrick four-level model (Reaction, Learning, Behaviour, Results) over a twelve-month intervention at a multinational aircraft-engine MRO facility and quantifies both safety and sustainability outcomes. Mixed-methods data collection combined post-training questionnaires, on-the-job observations, quality records, warranty and concession costs, customer satisfaction surveys and turnaround time metrics. After implementation, the training-failure rate was 28% lower and the regulatory non-conformance rate 35% lower than baseline (95% CIs in Section 4), with estimated annual quality-cost savings in the range of USD 0.75–1.5 M (base case USD 1.19 M) and a payback period under twelve months across pessimistic-to-optimistic scenarios. The single-site case-study design supports association rather than causal attribution; the results are interpreted accordingly. The intervention also prevented the material and energy waste associated with corrective actions. Customer satisfaction surveys with four major airline customers reported improvements across all five evaluated categories, with mean ratings consistently in the upper range of the five-point scale during the intervention year. We provide a replicable framework for MRO managers and regulators, mapping each Kirkpatrick level onto specific AS9100 clauses, SMS pillars and sustainability indicators. The study supports policy recommendations for integrating training-effectiveness metrics into SMS requirements mandated by ICAO Annex 19, demonstrating that systematic training evaluation can transform technical instruction from a compliance obligation into a strategic lever for cleaner production in resource-intensive aviation operations.</vt:lpwstr>
  </property>
  <property fmtid="{D5CDD505-2E9C-101B-9397-08002B2CF9AE}" pid="3" name="bibliography">
    <vt:lpwstr>G:\ArtigoComCristiano\artigo\references.bib</vt:lpwstr>
  </property>
</Properties>
</file>