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2E6DA" w14:textId="4BC6564C" w:rsidR="00CE3227" w:rsidRDefault="00FA7496" w:rsidP="00FA7496">
      <w:pPr>
        <w:spacing w:after="293"/>
        <w:ind w:left="0" w:right="0" w:firstLine="0"/>
        <w:jc w:val="left"/>
      </w:pPr>
      <w:r>
        <w:t xml:space="preserve">                 </w:t>
      </w:r>
      <w:r>
        <w:rPr>
          <w:b/>
          <w:sz w:val="28"/>
        </w:rPr>
        <w:t xml:space="preserve">                </w:t>
      </w:r>
      <w:r w:rsidR="00000000">
        <w:rPr>
          <w:b/>
          <w:sz w:val="28"/>
        </w:rPr>
        <w:t xml:space="preserve">THE SCOPE OF FUELS LIKE OIL, GAS AND </w:t>
      </w:r>
    </w:p>
    <w:p w14:paraId="65FF179A" w14:textId="77777777" w:rsidR="00CE3227" w:rsidRDefault="00000000">
      <w:pPr>
        <w:tabs>
          <w:tab w:val="center" w:pos="4491"/>
          <w:tab w:val="center" w:pos="8870"/>
        </w:tabs>
        <w:spacing w:after="0" w:line="259" w:lineRule="auto"/>
        <w:ind w:left="0" w:right="0" w:firstLine="0"/>
        <w:jc w:val="left"/>
      </w:pPr>
      <w:r>
        <w:rPr>
          <w:rFonts w:ascii="Calibri" w:eastAsia="Calibri" w:hAnsi="Calibri" w:cs="Calibri"/>
          <w:sz w:val="22"/>
        </w:rPr>
        <w:tab/>
      </w:r>
      <w:r>
        <w:rPr>
          <w:b/>
          <w:sz w:val="28"/>
        </w:rPr>
        <w:t>OTHER IN THE FUTURE</w:t>
      </w:r>
      <w:r>
        <w:rPr>
          <w:rFonts w:ascii="Arial" w:eastAsia="Arial" w:hAnsi="Arial" w:cs="Arial"/>
          <w:sz w:val="22"/>
        </w:rPr>
        <w:t xml:space="preserve"> </w:t>
      </w:r>
      <w:r>
        <w:rPr>
          <w:rFonts w:ascii="Arial" w:eastAsia="Arial" w:hAnsi="Arial" w:cs="Arial"/>
          <w:sz w:val="22"/>
        </w:rPr>
        <w:tab/>
      </w:r>
      <w:r>
        <w:rPr>
          <w:b/>
        </w:rPr>
        <w:t xml:space="preserve"> </w:t>
      </w:r>
    </w:p>
    <w:p w14:paraId="06396A0E" w14:textId="77777777" w:rsidR="00CE3227" w:rsidRDefault="00000000">
      <w:pPr>
        <w:spacing w:after="761" w:line="259" w:lineRule="auto"/>
        <w:ind w:left="0" w:right="0" w:firstLine="0"/>
        <w:jc w:val="right"/>
      </w:pPr>
      <w:r>
        <w:rPr>
          <w:rFonts w:ascii="Arial" w:eastAsia="Arial" w:hAnsi="Arial" w:cs="Arial"/>
          <w:sz w:val="22"/>
        </w:rPr>
        <w:t xml:space="preserve"> </w:t>
      </w:r>
    </w:p>
    <w:p w14:paraId="63A65F45" w14:textId="77777777" w:rsidR="00CE3227" w:rsidRDefault="00000000">
      <w:pPr>
        <w:spacing w:after="226" w:line="259" w:lineRule="auto"/>
        <w:ind w:left="-5" w:right="0"/>
        <w:jc w:val="left"/>
      </w:pPr>
      <w:r>
        <w:rPr>
          <w:b/>
          <w:sz w:val="36"/>
        </w:rPr>
        <w:t>Table of Content</w:t>
      </w:r>
      <w:r>
        <w:rPr>
          <w:sz w:val="60"/>
        </w:rPr>
        <w:t xml:space="preserve"> </w:t>
      </w:r>
    </w:p>
    <w:sdt>
      <w:sdtPr>
        <w:rPr>
          <w:b w:val="0"/>
          <w:sz w:val="24"/>
        </w:rPr>
        <w:id w:val="105550360"/>
        <w:docPartObj>
          <w:docPartGallery w:val="Table of Contents"/>
        </w:docPartObj>
      </w:sdtPr>
      <w:sdtContent>
        <w:p w14:paraId="00A1BF26" w14:textId="77777777" w:rsidR="00CE3227" w:rsidRDefault="00000000">
          <w:pPr>
            <w:pStyle w:val="TOC1"/>
            <w:tabs>
              <w:tab w:val="right" w:leader="dot" w:pos="9423"/>
            </w:tabs>
          </w:pPr>
          <w:r>
            <w:fldChar w:fldCharType="begin"/>
          </w:r>
          <w:r>
            <w:instrText xml:space="preserve"> TOC \o "1-4" \h \z \u </w:instrText>
          </w:r>
          <w:r>
            <w:fldChar w:fldCharType="separate"/>
          </w:r>
          <w:hyperlink w:anchor="_Toc24463">
            <w:r>
              <w:t>BUSINESS REPORT</w:t>
            </w:r>
            <w:r>
              <w:tab/>
            </w:r>
            <w:r>
              <w:fldChar w:fldCharType="begin"/>
            </w:r>
            <w:r>
              <w:instrText>PAGEREF _Toc24463 \h</w:instrText>
            </w:r>
            <w:r>
              <w:fldChar w:fldCharType="separate"/>
            </w:r>
            <w:r>
              <w:t xml:space="preserve">1 </w:t>
            </w:r>
            <w:r>
              <w:fldChar w:fldCharType="end"/>
            </w:r>
          </w:hyperlink>
        </w:p>
        <w:p w14:paraId="582EC98E" w14:textId="77777777" w:rsidR="00CE3227" w:rsidRDefault="00000000">
          <w:pPr>
            <w:pStyle w:val="TOC1"/>
            <w:tabs>
              <w:tab w:val="right" w:leader="dot" w:pos="9423"/>
            </w:tabs>
          </w:pPr>
          <w:hyperlink w:anchor="_Toc24464">
            <w:r>
              <w:t>1. Executive Summary</w:t>
            </w:r>
            <w:r>
              <w:tab/>
            </w:r>
            <w:r>
              <w:fldChar w:fldCharType="begin"/>
            </w:r>
            <w:r>
              <w:instrText>PAGEREF _Toc24464 \h</w:instrText>
            </w:r>
            <w:r>
              <w:fldChar w:fldCharType="separate"/>
            </w:r>
            <w:r>
              <w:t xml:space="preserve">1 </w:t>
            </w:r>
            <w:r>
              <w:fldChar w:fldCharType="end"/>
            </w:r>
          </w:hyperlink>
        </w:p>
        <w:p w14:paraId="15F721A2" w14:textId="77777777" w:rsidR="00CE3227" w:rsidRDefault="00000000">
          <w:pPr>
            <w:pStyle w:val="TOC3"/>
            <w:tabs>
              <w:tab w:val="right" w:leader="dot" w:pos="9423"/>
            </w:tabs>
          </w:pPr>
          <w:hyperlink w:anchor="_Toc24465">
            <w:r>
              <w:t>1.1. Questions to be addressed</w:t>
            </w:r>
            <w:r>
              <w:tab/>
            </w:r>
            <w:r>
              <w:fldChar w:fldCharType="begin"/>
            </w:r>
            <w:r>
              <w:instrText>PAGEREF _Toc24465 \h</w:instrText>
            </w:r>
            <w:r>
              <w:fldChar w:fldCharType="separate"/>
            </w:r>
            <w:r>
              <w:t xml:space="preserve">1 </w:t>
            </w:r>
            <w:r>
              <w:fldChar w:fldCharType="end"/>
            </w:r>
          </w:hyperlink>
        </w:p>
        <w:p w14:paraId="44D20903" w14:textId="77777777" w:rsidR="00CE3227" w:rsidRDefault="00000000">
          <w:pPr>
            <w:pStyle w:val="TOC3"/>
            <w:tabs>
              <w:tab w:val="right" w:leader="dot" w:pos="9423"/>
            </w:tabs>
          </w:pPr>
          <w:hyperlink w:anchor="_Toc24466">
            <w:r>
              <w:t>1.2. Key Findings</w:t>
            </w:r>
            <w:r>
              <w:tab/>
            </w:r>
            <w:r>
              <w:fldChar w:fldCharType="begin"/>
            </w:r>
            <w:r>
              <w:instrText>PAGEREF _Toc24466 \h</w:instrText>
            </w:r>
            <w:r>
              <w:fldChar w:fldCharType="separate"/>
            </w:r>
            <w:r>
              <w:t xml:space="preserve">2 </w:t>
            </w:r>
            <w:r>
              <w:fldChar w:fldCharType="end"/>
            </w:r>
          </w:hyperlink>
        </w:p>
        <w:p w14:paraId="48B084AB" w14:textId="77777777" w:rsidR="00CE3227" w:rsidRDefault="00000000">
          <w:pPr>
            <w:pStyle w:val="TOC3"/>
            <w:tabs>
              <w:tab w:val="right" w:leader="dot" w:pos="9423"/>
            </w:tabs>
          </w:pPr>
          <w:hyperlink w:anchor="_Toc24467">
            <w:r>
              <w:t>1.3. Recommendations</w:t>
            </w:r>
            <w:r>
              <w:tab/>
            </w:r>
            <w:r>
              <w:fldChar w:fldCharType="begin"/>
            </w:r>
            <w:r>
              <w:instrText>PAGEREF _Toc24467 \h</w:instrText>
            </w:r>
            <w:r>
              <w:fldChar w:fldCharType="separate"/>
            </w:r>
            <w:r>
              <w:t xml:space="preserve">3 </w:t>
            </w:r>
            <w:r>
              <w:fldChar w:fldCharType="end"/>
            </w:r>
          </w:hyperlink>
        </w:p>
        <w:p w14:paraId="36DE6006" w14:textId="77777777" w:rsidR="00CE3227" w:rsidRDefault="00000000">
          <w:pPr>
            <w:pStyle w:val="TOC1"/>
            <w:tabs>
              <w:tab w:val="right" w:leader="dot" w:pos="9423"/>
            </w:tabs>
          </w:pPr>
          <w:hyperlink w:anchor="_Toc24468">
            <w:r>
              <w:t>2. Report Body</w:t>
            </w:r>
            <w:r>
              <w:tab/>
            </w:r>
            <w:r>
              <w:fldChar w:fldCharType="begin"/>
            </w:r>
            <w:r>
              <w:instrText>PAGEREF _Toc24468 \h</w:instrText>
            </w:r>
            <w:r>
              <w:fldChar w:fldCharType="separate"/>
            </w:r>
            <w:r>
              <w:t xml:space="preserve">4 </w:t>
            </w:r>
            <w:r>
              <w:fldChar w:fldCharType="end"/>
            </w:r>
          </w:hyperlink>
        </w:p>
        <w:p w14:paraId="0C16A019" w14:textId="77777777" w:rsidR="00CE3227" w:rsidRDefault="00000000">
          <w:pPr>
            <w:pStyle w:val="TOC3"/>
            <w:tabs>
              <w:tab w:val="right" w:leader="dot" w:pos="9423"/>
            </w:tabs>
          </w:pPr>
          <w:hyperlink w:anchor="_Toc24469">
            <w:r>
              <w:t>2.1. Introduction</w:t>
            </w:r>
            <w:r>
              <w:tab/>
            </w:r>
            <w:r>
              <w:fldChar w:fldCharType="begin"/>
            </w:r>
            <w:r>
              <w:instrText>PAGEREF _Toc24469 \h</w:instrText>
            </w:r>
            <w:r>
              <w:fldChar w:fldCharType="separate"/>
            </w:r>
            <w:r>
              <w:t xml:space="preserve">4 </w:t>
            </w:r>
            <w:r>
              <w:fldChar w:fldCharType="end"/>
            </w:r>
          </w:hyperlink>
        </w:p>
        <w:p w14:paraId="5B08915C" w14:textId="77777777" w:rsidR="00CE3227" w:rsidRDefault="00000000">
          <w:pPr>
            <w:pStyle w:val="TOC3"/>
            <w:tabs>
              <w:tab w:val="right" w:leader="dot" w:pos="9423"/>
            </w:tabs>
          </w:pPr>
          <w:hyperlink w:anchor="_Toc24470">
            <w:r>
              <w:t>2.2. Data Source</w:t>
            </w:r>
            <w:r>
              <w:tab/>
            </w:r>
            <w:r>
              <w:fldChar w:fldCharType="begin"/>
            </w:r>
            <w:r>
              <w:instrText>PAGEREF _Toc24470 \h</w:instrText>
            </w:r>
            <w:r>
              <w:fldChar w:fldCharType="separate"/>
            </w:r>
            <w:r>
              <w:t xml:space="preserve">4 </w:t>
            </w:r>
            <w:r>
              <w:fldChar w:fldCharType="end"/>
            </w:r>
          </w:hyperlink>
        </w:p>
        <w:p w14:paraId="72BD4BB0" w14:textId="77777777" w:rsidR="00CE3227" w:rsidRDefault="00000000">
          <w:pPr>
            <w:pStyle w:val="TOC1"/>
            <w:tabs>
              <w:tab w:val="right" w:leader="dot" w:pos="9423"/>
            </w:tabs>
          </w:pPr>
          <w:hyperlink w:anchor="_Toc24471">
            <w:r>
              <w:t>3. Power BI Requirements</w:t>
            </w:r>
            <w:r>
              <w:tab/>
            </w:r>
            <w:r>
              <w:fldChar w:fldCharType="begin"/>
            </w:r>
            <w:r>
              <w:instrText>PAGEREF _Toc24471 \h</w:instrText>
            </w:r>
            <w:r>
              <w:fldChar w:fldCharType="separate"/>
            </w:r>
            <w:r>
              <w:t xml:space="preserve">5 </w:t>
            </w:r>
            <w:r>
              <w:fldChar w:fldCharType="end"/>
            </w:r>
          </w:hyperlink>
        </w:p>
        <w:p w14:paraId="630D93E6" w14:textId="77777777" w:rsidR="00CE3227" w:rsidRDefault="00000000">
          <w:pPr>
            <w:pStyle w:val="TOC3"/>
            <w:tabs>
              <w:tab w:val="right" w:leader="dot" w:pos="9423"/>
            </w:tabs>
          </w:pPr>
          <w:hyperlink w:anchor="_Toc24472">
            <w:r>
              <w:t>3.1. Major Findings</w:t>
            </w:r>
            <w:r>
              <w:tab/>
            </w:r>
            <w:r>
              <w:fldChar w:fldCharType="begin"/>
            </w:r>
            <w:r>
              <w:instrText>PAGEREF _Toc24472 \h</w:instrText>
            </w:r>
            <w:r>
              <w:fldChar w:fldCharType="separate"/>
            </w:r>
            <w:r>
              <w:t xml:space="preserve">5 </w:t>
            </w:r>
            <w:r>
              <w:fldChar w:fldCharType="end"/>
            </w:r>
          </w:hyperlink>
        </w:p>
        <w:p w14:paraId="1AEFCD3A" w14:textId="77777777" w:rsidR="00CE3227" w:rsidRDefault="00000000">
          <w:pPr>
            <w:pStyle w:val="TOC4"/>
            <w:tabs>
              <w:tab w:val="right" w:leader="dot" w:pos="9423"/>
            </w:tabs>
          </w:pPr>
          <w:hyperlink w:anchor="_Toc24473">
            <w:r>
              <w:t>3.1.1. Year-wise Total Open Position:</w:t>
            </w:r>
            <w:r>
              <w:tab/>
            </w:r>
            <w:r>
              <w:fldChar w:fldCharType="begin"/>
            </w:r>
            <w:r>
              <w:instrText>PAGEREF _Toc24473 \h</w:instrText>
            </w:r>
            <w:r>
              <w:fldChar w:fldCharType="separate"/>
            </w:r>
            <w:r>
              <w:t xml:space="preserve">5 </w:t>
            </w:r>
            <w:r>
              <w:fldChar w:fldCharType="end"/>
            </w:r>
          </w:hyperlink>
        </w:p>
        <w:p w14:paraId="7CA0E868" w14:textId="77777777" w:rsidR="00CE3227" w:rsidRDefault="00000000">
          <w:pPr>
            <w:pStyle w:val="TOC4"/>
            <w:tabs>
              <w:tab w:val="right" w:leader="dot" w:pos="9423"/>
            </w:tabs>
          </w:pPr>
          <w:hyperlink w:anchor="_Toc24474">
            <w:r>
              <w:t>3.1.2. Yearly Overview of Daily Price Change and Trading Volume:</w:t>
            </w:r>
            <w:r>
              <w:tab/>
            </w:r>
            <w:r>
              <w:fldChar w:fldCharType="begin"/>
            </w:r>
            <w:r>
              <w:instrText>PAGEREF _Toc24474 \h</w:instrText>
            </w:r>
            <w:r>
              <w:fldChar w:fldCharType="separate"/>
            </w:r>
            <w:r>
              <w:t xml:space="preserve">6 </w:t>
            </w:r>
            <w:r>
              <w:fldChar w:fldCharType="end"/>
            </w:r>
          </w:hyperlink>
        </w:p>
        <w:p w14:paraId="4400E2C7" w14:textId="77777777" w:rsidR="00CE3227" w:rsidRDefault="00000000">
          <w:pPr>
            <w:pStyle w:val="TOC4"/>
            <w:tabs>
              <w:tab w:val="right" w:leader="dot" w:pos="9423"/>
            </w:tabs>
          </w:pPr>
          <w:hyperlink w:anchor="_Toc24475">
            <w:r>
              <w:t>Figure 3.2.: Yearly Overview of Daily Price Change and Trading Volume:</w:t>
            </w:r>
            <w:r>
              <w:tab/>
            </w:r>
            <w:r>
              <w:fldChar w:fldCharType="begin"/>
            </w:r>
            <w:r>
              <w:instrText>PAGEREF _Toc24475 \h</w:instrText>
            </w:r>
            <w:r>
              <w:fldChar w:fldCharType="separate"/>
            </w:r>
            <w:r>
              <w:t xml:space="preserve">7 </w:t>
            </w:r>
            <w:r>
              <w:fldChar w:fldCharType="end"/>
            </w:r>
          </w:hyperlink>
        </w:p>
        <w:p w14:paraId="7108D604" w14:textId="77777777" w:rsidR="00CE3227" w:rsidRDefault="00000000">
          <w:pPr>
            <w:pStyle w:val="TOC4"/>
            <w:tabs>
              <w:tab w:val="right" w:leader="dot" w:pos="9423"/>
            </w:tabs>
          </w:pPr>
          <w:hyperlink w:anchor="_Toc24476">
            <w:r>
              <w:t>3.1.3. Average Close Price by date:</w:t>
            </w:r>
            <w:r>
              <w:tab/>
            </w:r>
            <w:r>
              <w:fldChar w:fldCharType="begin"/>
            </w:r>
            <w:r>
              <w:instrText>PAGEREF _Toc24476 \h</w:instrText>
            </w:r>
            <w:r>
              <w:fldChar w:fldCharType="separate"/>
            </w:r>
            <w:r>
              <w:t xml:space="preserve">7 </w:t>
            </w:r>
            <w:r>
              <w:fldChar w:fldCharType="end"/>
            </w:r>
          </w:hyperlink>
        </w:p>
        <w:p w14:paraId="7B073C9A" w14:textId="77777777" w:rsidR="00CE3227" w:rsidRDefault="00000000">
          <w:pPr>
            <w:pStyle w:val="TOC4"/>
            <w:tabs>
              <w:tab w:val="right" w:leader="dot" w:pos="9423"/>
            </w:tabs>
          </w:pPr>
          <w:hyperlink w:anchor="_Toc24477">
            <w:r>
              <w:t>3.1.4. Overall Volume by Date:</w:t>
            </w:r>
            <w:r>
              <w:tab/>
            </w:r>
            <w:r>
              <w:fldChar w:fldCharType="begin"/>
            </w:r>
            <w:r>
              <w:instrText>PAGEREF _Toc24477 \h</w:instrText>
            </w:r>
            <w:r>
              <w:fldChar w:fldCharType="separate"/>
            </w:r>
            <w:r>
              <w:t xml:space="preserve">9 </w:t>
            </w:r>
            <w:r>
              <w:fldChar w:fldCharType="end"/>
            </w:r>
          </w:hyperlink>
        </w:p>
        <w:p w14:paraId="5FACE88A" w14:textId="77777777" w:rsidR="00CE3227" w:rsidRDefault="00000000">
          <w:pPr>
            <w:pStyle w:val="TOC4"/>
            <w:tabs>
              <w:tab w:val="right" w:leader="dot" w:pos="9423"/>
            </w:tabs>
          </w:pPr>
          <w:hyperlink w:anchor="_Toc24478">
            <w:r>
              <w:t>3.1.5. Date-Wise Percentage Positive Negative Changes Trends</w:t>
            </w:r>
            <w:r>
              <w:tab/>
            </w:r>
            <w:r>
              <w:fldChar w:fldCharType="begin"/>
            </w:r>
            <w:r>
              <w:instrText>PAGEREF _Toc24478 \h</w:instrText>
            </w:r>
            <w:r>
              <w:fldChar w:fldCharType="separate"/>
            </w:r>
            <w:r>
              <w:t xml:space="preserve">10 </w:t>
            </w:r>
            <w:r>
              <w:fldChar w:fldCharType="end"/>
            </w:r>
          </w:hyperlink>
        </w:p>
        <w:p w14:paraId="0761D512" w14:textId="77777777" w:rsidR="00CE3227" w:rsidRDefault="00000000">
          <w:pPr>
            <w:pStyle w:val="TOC2"/>
            <w:tabs>
              <w:tab w:val="right" w:leader="dot" w:pos="9423"/>
            </w:tabs>
          </w:pPr>
          <w:hyperlink w:anchor="_Toc24479">
            <w:r>
              <w:t>4. Conclusions and Recommendations</w:t>
            </w:r>
            <w:r>
              <w:tab/>
            </w:r>
            <w:r>
              <w:fldChar w:fldCharType="begin"/>
            </w:r>
            <w:r>
              <w:instrText>PAGEREF _Toc24479 \h</w:instrText>
            </w:r>
            <w:r>
              <w:fldChar w:fldCharType="separate"/>
            </w:r>
            <w:r>
              <w:t xml:space="preserve">23 </w:t>
            </w:r>
            <w:r>
              <w:fldChar w:fldCharType="end"/>
            </w:r>
          </w:hyperlink>
        </w:p>
        <w:p w14:paraId="4F37CC56" w14:textId="77777777" w:rsidR="00CE3227" w:rsidRDefault="00000000">
          <w:pPr>
            <w:pStyle w:val="TOC1"/>
            <w:tabs>
              <w:tab w:val="right" w:leader="dot" w:pos="9423"/>
            </w:tabs>
          </w:pPr>
          <w:hyperlink w:anchor="_Toc24480">
            <w:r>
              <w:t>5. Appendix: BI Design</w:t>
            </w:r>
            <w:r>
              <w:tab/>
            </w:r>
            <w:r>
              <w:fldChar w:fldCharType="begin"/>
            </w:r>
            <w:r>
              <w:instrText>PAGEREF _Toc24480 \h</w:instrText>
            </w:r>
            <w:r>
              <w:fldChar w:fldCharType="separate"/>
            </w:r>
            <w:r>
              <w:t xml:space="preserve">25 </w:t>
            </w:r>
            <w:r>
              <w:fldChar w:fldCharType="end"/>
            </w:r>
          </w:hyperlink>
        </w:p>
        <w:p w14:paraId="2AA6CCF2" w14:textId="77777777" w:rsidR="00CE3227" w:rsidRDefault="00000000">
          <w:pPr>
            <w:pStyle w:val="TOC3"/>
            <w:tabs>
              <w:tab w:val="right" w:leader="dot" w:pos="9423"/>
            </w:tabs>
          </w:pPr>
          <w:hyperlink w:anchor="_Toc24481">
            <w:r>
              <w:t>5.1. Data preprocessing</w:t>
            </w:r>
            <w:r>
              <w:tab/>
            </w:r>
            <w:r>
              <w:fldChar w:fldCharType="begin"/>
            </w:r>
            <w:r>
              <w:instrText>PAGEREF _Toc24481 \h</w:instrText>
            </w:r>
            <w:r>
              <w:fldChar w:fldCharType="separate"/>
            </w:r>
            <w:r>
              <w:t xml:space="preserve">25 </w:t>
            </w:r>
            <w:r>
              <w:fldChar w:fldCharType="end"/>
            </w:r>
          </w:hyperlink>
        </w:p>
        <w:p w14:paraId="5C112140" w14:textId="77777777" w:rsidR="00CE3227" w:rsidRDefault="00000000">
          <w:pPr>
            <w:pStyle w:val="TOC3"/>
            <w:tabs>
              <w:tab w:val="right" w:leader="dot" w:pos="9423"/>
            </w:tabs>
          </w:pPr>
          <w:hyperlink w:anchor="_Toc24482">
            <w:r>
              <w:t>5.2. Data Modelling</w:t>
            </w:r>
            <w:r>
              <w:tab/>
            </w:r>
            <w:r>
              <w:fldChar w:fldCharType="begin"/>
            </w:r>
            <w:r>
              <w:instrText>PAGEREF _Toc24482 \h</w:instrText>
            </w:r>
            <w:r>
              <w:fldChar w:fldCharType="separate"/>
            </w:r>
            <w:r>
              <w:t xml:space="preserve">26 </w:t>
            </w:r>
            <w:r>
              <w:fldChar w:fldCharType="end"/>
            </w:r>
          </w:hyperlink>
        </w:p>
        <w:p w14:paraId="18357D14" w14:textId="77777777" w:rsidR="00CE3227" w:rsidRDefault="00000000">
          <w:pPr>
            <w:pStyle w:val="TOC3"/>
            <w:tabs>
              <w:tab w:val="right" w:leader="dot" w:pos="9423"/>
            </w:tabs>
          </w:pPr>
          <w:hyperlink w:anchor="_Toc24483">
            <w:r>
              <w:t>5.3. DAX Functions &amp; M Query</w:t>
            </w:r>
            <w:r>
              <w:tab/>
            </w:r>
            <w:r>
              <w:fldChar w:fldCharType="begin"/>
            </w:r>
            <w:r>
              <w:instrText>PAGEREF _Toc24483 \h</w:instrText>
            </w:r>
            <w:r>
              <w:fldChar w:fldCharType="separate"/>
            </w:r>
            <w:r>
              <w:t xml:space="preserve">27 </w:t>
            </w:r>
            <w:r>
              <w:fldChar w:fldCharType="end"/>
            </w:r>
          </w:hyperlink>
        </w:p>
        <w:p w14:paraId="570C2029" w14:textId="77777777" w:rsidR="00CE3227" w:rsidRDefault="00000000">
          <w:pPr>
            <w:pStyle w:val="TOC4"/>
            <w:tabs>
              <w:tab w:val="right" w:leader="dot" w:pos="9423"/>
            </w:tabs>
          </w:pPr>
          <w:hyperlink w:anchor="_Toc24484">
            <w:r>
              <w:t>5.3.1. DAX Functions</w:t>
            </w:r>
            <w:r>
              <w:tab/>
            </w:r>
            <w:r>
              <w:fldChar w:fldCharType="begin"/>
            </w:r>
            <w:r>
              <w:instrText>PAGEREF _Toc24484 \h</w:instrText>
            </w:r>
            <w:r>
              <w:fldChar w:fldCharType="separate"/>
            </w:r>
            <w:r>
              <w:t xml:space="preserve">27 </w:t>
            </w:r>
            <w:r>
              <w:fldChar w:fldCharType="end"/>
            </w:r>
          </w:hyperlink>
        </w:p>
        <w:p w14:paraId="073AB212" w14:textId="77777777" w:rsidR="00CE3227" w:rsidRDefault="00000000">
          <w:pPr>
            <w:pStyle w:val="TOC4"/>
            <w:tabs>
              <w:tab w:val="right" w:leader="dot" w:pos="9423"/>
            </w:tabs>
          </w:pPr>
          <w:hyperlink w:anchor="_Toc24485">
            <w:r>
              <w:t>5.3.2. M Query</w:t>
            </w:r>
            <w:r>
              <w:tab/>
            </w:r>
            <w:r>
              <w:fldChar w:fldCharType="begin"/>
            </w:r>
            <w:r>
              <w:instrText>PAGEREF _Toc24485 \h</w:instrText>
            </w:r>
            <w:r>
              <w:fldChar w:fldCharType="separate"/>
            </w:r>
            <w:r>
              <w:t xml:space="preserve">32 </w:t>
            </w:r>
            <w:r>
              <w:fldChar w:fldCharType="end"/>
            </w:r>
          </w:hyperlink>
        </w:p>
        <w:p w14:paraId="71CE029A" w14:textId="77777777" w:rsidR="00CE3227" w:rsidRDefault="00000000">
          <w:pPr>
            <w:pStyle w:val="TOC3"/>
            <w:tabs>
              <w:tab w:val="right" w:leader="dot" w:pos="9423"/>
            </w:tabs>
          </w:pPr>
          <w:hyperlink w:anchor="_Toc24486">
            <w:r>
              <w:t>5.4. Dashboard Design</w:t>
            </w:r>
            <w:r>
              <w:tab/>
            </w:r>
            <w:r>
              <w:fldChar w:fldCharType="begin"/>
            </w:r>
            <w:r>
              <w:instrText>PAGEREF _Toc24486 \h</w:instrText>
            </w:r>
            <w:r>
              <w:fldChar w:fldCharType="separate"/>
            </w:r>
            <w:r>
              <w:t xml:space="preserve">33 </w:t>
            </w:r>
            <w:r>
              <w:fldChar w:fldCharType="end"/>
            </w:r>
          </w:hyperlink>
        </w:p>
        <w:p w14:paraId="0746B247" w14:textId="77777777" w:rsidR="00CE3227" w:rsidRDefault="00000000">
          <w:pPr>
            <w:pStyle w:val="TOC1"/>
            <w:tabs>
              <w:tab w:val="right" w:leader="dot" w:pos="9423"/>
            </w:tabs>
          </w:pPr>
          <w:hyperlink w:anchor="_Toc24487">
            <w:r>
              <w:t>Self-Assessment Table</w:t>
            </w:r>
            <w:r>
              <w:tab/>
            </w:r>
            <w:r>
              <w:fldChar w:fldCharType="begin"/>
            </w:r>
            <w:r>
              <w:instrText>PAGEREF _Toc24487 \h</w:instrText>
            </w:r>
            <w:r>
              <w:fldChar w:fldCharType="separate"/>
            </w:r>
            <w:r>
              <w:t xml:space="preserve">36 </w:t>
            </w:r>
            <w:r>
              <w:fldChar w:fldCharType="end"/>
            </w:r>
          </w:hyperlink>
        </w:p>
        <w:p w14:paraId="3E3209A9" w14:textId="77777777" w:rsidR="00CE3227" w:rsidRDefault="00000000">
          <w:r>
            <w:fldChar w:fldCharType="end"/>
          </w:r>
        </w:p>
      </w:sdtContent>
    </w:sdt>
    <w:p w14:paraId="20A97742" w14:textId="77777777" w:rsidR="00CE3227" w:rsidRDefault="00000000">
      <w:pPr>
        <w:spacing w:after="0" w:line="259" w:lineRule="auto"/>
        <w:ind w:left="0" w:right="0" w:firstLine="0"/>
        <w:jc w:val="left"/>
      </w:pPr>
      <w:r>
        <w:rPr>
          <w:rFonts w:ascii="Arial" w:eastAsia="Arial" w:hAnsi="Arial" w:cs="Arial"/>
          <w:sz w:val="40"/>
        </w:rPr>
        <w:t xml:space="preserve"> </w:t>
      </w:r>
    </w:p>
    <w:p w14:paraId="2050D0CE" w14:textId="77777777" w:rsidR="00CE3227" w:rsidRDefault="00CE3227">
      <w:pPr>
        <w:sectPr w:rsidR="00CE3227" w:rsidSect="007B11D2">
          <w:headerReference w:type="even" r:id="rId7"/>
          <w:headerReference w:type="default" r:id="rId8"/>
          <w:headerReference w:type="first" r:id="rId9"/>
          <w:pgSz w:w="12240" w:h="15840"/>
          <w:pgMar w:top="727" w:right="1376" w:bottom="4138" w:left="1440" w:header="720" w:footer="720" w:gutter="0"/>
          <w:cols w:space="720"/>
        </w:sectPr>
      </w:pPr>
    </w:p>
    <w:p w14:paraId="576740A8" w14:textId="77777777" w:rsidR="00CE3227" w:rsidRDefault="00000000">
      <w:pPr>
        <w:pStyle w:val="Heading1"/>
        <w:spacing w:after="548" w:line="259" w:lineRule="auto"/>
        <w:ind w:left="0" w:right="121" w:firstLine="0"/>
        <w:jc w:val="center"/>
      </w:pPr>
      <w:bookmarkStart w:id="0" w:name="_Toc24463"/>
      <w:r>
        <w:rPr>
          <w:sz w:val="40"/>
        </w:rPr>
        <w:lastRenderedPageBreak/>
        <w:t xml:space="preserve">BUSINESS REPORT </w:t>
      </w:r>
      <w:bookmarkEnd w:id="0"/>
    </w:p>
    <w:p w14:paraId="2F28545C" w14:textId="77777777" w:rsidR="00CE3227" w:rsidRDefault="00000000">
      <w:pPr>
        <w:pStyle w:val="Heading1"/>
        <w:tabs>
          <w:tab w:val="center" w:pos="1991"/>
        </w:tabs>
        <w:ind w:left="0" w:firstLine="0"/>
      </w:pPr>
      <w:bookmarkStart w:id="1" w:name="_Toc24464"/>
      <w:r>
        <w:t>1.</w:t>
      </w:r>
      <w:r>
        <w:rPr>
          <w:rFonts w:ascii="Arial" w:eastAsia="Arial" w:hAnsi="Arial" w:cs="Arial"/>
        </w:rPr>
        <w:t xml:space="preserve"> </w:t>
      </w:r>
      <w:r>
        <w:rPr>
          <w:rFonts w:ascii="Arial" w:eastAsia="Arial" w:hAnsi="Arial" w:cs="Arial"/>
        </w:rPr>
        <w:tab/>
      </w:r>
      <w:r>
        <w:t xml:space="preserve">Executive Summary </w:t>
      </w:r>
      <w:bookmarkEnd w:id="1"/>
    </w:p>
    <w:p w14:paraId="39391368" w14:textId="77777777" w:rsidR="00CE3227" w:rsidRDefault="00000000">
      <w:pPr>
        <w:spacing w:after="31" w:line="477" w:lineRule="auto"/>
        <w:ind w:left="-5" w:right="113"/>
      </w:pPr>
      <w:r>
        <w:t xml:space="preserve">This dataset offers a comprehensive view at the complex dynamics of the fuel-energy industry, showcasing various trends and patterns in a comprehensive repository of futures contracts linked to gas, oil, and other fuels. Notable findings include trade identification, market volatility, historical behaviour, correlation analysis, trading opportunities, global event impact, seasonal trends. Analysing the current data, can serve as a very important aspect not only for stakeholders, but also for researchers and market analysts, involved in trading and business in mining, </w:t>
      </w:r>
      <w:proofErr w:type="gramStart"/>
      <w:r>
        <w:t>trading</w:t>
      </w:r>
      <w:proofErr w:type="gramEnd"/>
      <w:r>
        <w:t xml:space="preserve"> and refining of fuels. </w:t>
      </w:r>
      <w:r>
        <w:rPr>
          <w:sz w:val="22"/>
        </w:rPr>
        <w:t xml:space="preserve"> </w:t>
      </w:r>
    </w:p>
    <w:p w14:paraId="5DAA4948" w14:textId="77777777" w:rsidR="00CE3227" w:rsidRDefault="00000000">
      <w:pPr>
        <w:pStyle w:val="Heading3"/>
        <w:tabs>
          <w:tab w:val="center" w:pos="881"/>
          <w:tab w:val="center" w:pos="2888"/>
        </w:tabs>
        <w:spacing w:after="454"/>
        <w:ind w:left="0" w:firstLine="0"/>
      </w:pPr>
      <w:bookmarkStart w:id="2" w:name="_Toc24465"/>
      <w:r>
        <w:rPr>
          <w:rFonts w:ascii="Calibri" w:eastAsia="Calibri" w:hAnsi="Calibri" w:cs="Calibri"/>
          <w:b w:val="0"/>
          <w:sz w:val="22"/>
        </w:rPr>
        <w:tab/>
      </w:r>
      <w:r>
        <w:t>1.1.</w:t>
      </w:r>
      <w:r>
        <w:rPr>
          <w:rFonts w:ascii="Arial" w:eastAsia="Arial" w:hAnsi="Arial" w:cs="Arial"/>
        </w:rPr>
        <w:t xml:space="preserve"> </w:t>
      </w:r>
      <w:r>
        <w:rPr>
          <w:rFonts w:ascii="Arial" w:eastAsia="Arial" w:hAnsi="Arial" w:cs="Arial"/>
        </w:rPr>
        <w:tab/>
      </w:r>
      <w:r>
        <w:t xml:space="preserve">Questions to be addressed </w:t>
      </w:r>
      <w:bookmarkEnd w:id="2"/>
    </w:p>
    <w:p w14:paraId="68CA3A74" w14:textId="77777777" w:rsidR="00CE3227" w:rsidRDefault="00000000">
      <w:pPr>
        <w:spacing w:after="563"/>
        <w:ind w:left="-5" w:right="113"/>
      </w:pPr>
      <w:r>
        <w:t>Questions those were addressed in this report are:</w:t>
      </w:r>
      <w:r>
        <w:rPr>
          <w:sz w:val="22"/>
        </w:rPr>
        <w:t xml:space="preserve"> </w:t>
      </w:r>
    </w:p>
    <w:p w14:paraId="3131522D" w14:textId="77777777" w:rsidR="00CE3227" w:rsidRDefault="00000000">
      <w:pPr>
        <w:numPr>
          <w:ilvl w:val="0"/>
          <w:numId w:val="1"/>
        </w:numPr>
        <w:spacing w:after="280"/>
        <w:ind w:right="113" w:hanging="360"/>
      </w:pPr>
      <w:r>
        <w:t xml:space="preserve">What are the important trends in the fuel-energy industry? </w:t>
      </w:r>
    </w:p>
    <w:p w14:paraId="4C2A609D" w14:textId="77777777" w:rsidR="00CE3227" w:rsidRDefault="00000000">
      <w:pPr>
        <w:numPr>
          <w:ilvl w:val="0"/>
          <w:numId w:val="1"/>
        </w:numPr>
        <w:spacing w:after="282"/>
        <w:ind w:right="113" w:hanging="360"/>
      </w:pPr>
      <w:r>
        <w:t xml:space="preserve">How does the changes in price fluctuation patterns help in trend recognition? </w:t>
      </w:r>
    </w:p>
    <w:p w14:paraId="10C93FD4" w14:textId="77777777" w:rsidR="00CE3227" w:rsidRDefault="00000000">
      <w:pPr>
        <w:numPr>
          <w:ilvl w:val="0"/>
          <w:numId w:val="1"/>
        </w:numPr>
        <w:spacing w:after="280"/>
        <w:ind w:right="113" w:hanging="360"/>
      </w:pPr>
      <w:r>
        <w:t xml:space="preserve">How does the dataset contribute to providing information regarding market insights? </w:t>
      </w:r>
    </w:p>
    <w:p w14:paraId="13A264DC" w14:textId="77777777" w:rsidR="00CE3227" w:rsidRDefault="00000000">
      <w:pPr>
        <w:numPr>
          <w:ilvl w:val="0"/>
          <w:numId w:val="1"/>
        </w:numPr>
        <w:spacing w:after="280"/>
        <w:ind w:right="113" w:hanging="360"/>
      </w:pPr>
      <w:r>
        <w:t xml:space="preserve">Can the price fluctuation be analysed and if yes then how? </w:t>
      </w:r>
    </w:p>
    <w:p w14:paraId="58041247" w14:textId="77777777" w:rsidR="00CE3227" w:rsidRDefault="00000000">
      <w:pPr>
        <w:numPr>
          <w:ilvl w:val="0"/>
          <w:numId w:val="1"/>
        </w:numPr>
        <w:spacing w:after="282"/>
        <w:ind w:right="113" w:hanging="360"/>
      </w:pPr>
      <w:r>
        <w:t xml:space="preserve">How does the historical dataset contribute to analysing the future of fuel-energy?   </w:t>
      </w:r>
    </w:p>
    <w:p w14:paraId="2F3E1D23" w14:textId="77777777" w:rsidR="00CE3227" w:rsidRDefault="00000000">
      <w:pPr>
        <w:numPr>
          <w:ilvl w:val="0"/>
          <w:numId w:val="1"/>
        </w:numPr>
        <w:spacing w:after="280"/>
        <w:ind w:right="113" w:hanging="360"/>
      </w:pPr>
      <w:r>
        <w:t xml:space="preserve">How can these datasets help in predicting trading opportunities? </w:t>
      </w:r>
    </w:p>
    <w:p w14:paraId="7CF09E67" w14:textId="77777777" w:rsidR="00CE3227" w:rsidRDefault="00000000">
      <w:pPr>
        <w:numPr>
          <w:ilvl w:val="0"/>
          <w:numId w:val="1"/>
        </w:numPr>
        <w:spacing w:after="282"/>
        <w:ind w:right="113" w:hanging="360"/>
      </w:pPr>
      <w:r>
        <w:t xml:space="preserve">How the dataset and historical data are observed to set trading strategies? </w:t>
      </w:r>
    </w:p>
    <w:p w14:paraId="35F9DBB1" w14:textId="77777777" w:rsidR="00CE3227" w:rsidRDefault="00000000">
      <w:pPr>
        <w:numPr>
          <w:ilvl w:val="0"/>
          <w:numId w:val="1"/>
        </w:numPr>
        <w:spacing w:after="280"/>
        <w:ind w:right="113" w:hanging="360"/>
      </w:pPr>
      <w:r>
        <w:t xml:space="preserve">In what ways does data help in identifying periods of risk? </w:t>
      </w:r>
    </w:p>
    <w:p w14:paraId="4D6DDBF5" w14:textId="77777777" w:rsidR="00CE3227" w:rsidRDefault="00000000">
      <w:pPr>
        <w:numPr>
          <w:ilvl w:val="0"/>
          <w:numId w:val="1"/>
        </w:numPr>
        <w:ind w:right="113" w:hanging="360"/>
      </w:pPr>
      <w:r>
        <w:t xml:space="preserve">How can data be effective in predicting global events on fuel prizes? </w:t>
      </w:r>
    </w:p>
    <w:p w14:paraId="0A9C2ADC" w14:textId="77777777" w:rsidR="00CE3227" w:rsidRDefault="00000000">
      <w:pPr>
        <w:numPr>
          <w:ilvl w:val="0"/>
          <w:numId w:val="1"/>
        </w:numPr>
        <w:spacing w:after="33" w:line="476" w:lineRule="auto"/>
        <w:ind w:right="113" w:hanging="360"/>
      </w:pPr>
      <w:r>
        <w:lastRenderedPageBreak/>
        <w:t xml:space="preserve">How does the dataset help in overviewing the relationship between trading volume and price fluctuation? </w:t>
      </w:r>
    </w:p>
    <w:p w14:paraId="24250022" w14:textId="77777777" w:rsidR="00CE3227" w:rsidRDefault="00000000">
      <w:pPr>
        <w:numPr>
          <w:ilvl w:val="0"/>
          <w:numId w:val="1"/>
        </w:numPr>
        <w:spacing w:after="280"/>
        <w:ind w:right="113" w:hanging="360"/>
      </w:pPr>
      <w:r>
        <w:t xml:space="preserve">How analyzing insights according to fuel-type can help in the trading industry? </w:t>
      </w:r>
    </w:p>
    <w:p w14:paraId="3A82D365" w14:textId="77777777" w:rsidR="00CE3227" w:rsidRDefault="00000000">
      <w:pPr>
        <w:numPr>
          <w:ilvl w:val="0"/>
          <w:numId w:val="1"/>
        </w:numPr>
        <w:spacing w:after="27" w:line="478" w:lineRule="auto"/>
        <w:ind w:right="113" w:hanging="360"/>
      </w:pPr>
      <w:r>
        <w:t>What are the patterns that could be observed from crude-oil, heating-</w:t>
      </w:r>
      <w:proofErr w:type="gramStart"/>
      <w:r>
        <w:t>oil</w:t>
      </w:r>
      <w:proofErr w:type="gramEnd"/>
      <w:r>
        <w:t xml:space="preserve"> and other fuels?  </w:t>
      </w:r>
    </w:p>
    <w:p w14:paraId="47F4A8A0" w14:textId="77777777" w:rsidR="00CE3227" w:rsidRDefault="00000000">
      <w:pPr>
        <w:pStyle w:val="Heading3"/>
        <w:tabs>
          <w:tab w:val="center" w:pos="881"/>
          <w:tab w:val="center" w:pos="2150"/>
        </w:tabs>
        <w:spacing w:after="457"/>
        <w:ind w:left="0" w:firstLine="0"/>
      </w:pPr>
      <w:bookmarkStart w:id="3" w:name="_Toc24466"/>
      <w:r>
        <w:rPr>
          <w:rFonts w:ascii="Calibri" w:eastAsia="Calibri" w:hAnsi="Calibri" w:cs="Calibri"/>
          <w:b w:val="0"/>
          <w:sz w:val="22"/>
        </w:rPr>
        <w:tab/>
      </w:r>
      <w:r>
        <w:t>1.2.</w:t>
      </w:r>
      <w:r>
        <w:rPr>
          <w:rFonts w:ascii="Arial" w:eastAsia="Arial" w:hAnsi="Arial" w:cs="Arial"/>
        </w:rPr>
        <w:t xml:space="preserve"> </w:t>
      </w:r>
      <w:r>
        <w:rPr>
          <w:rFonts w:ascii="Arial" w:eastAsia="Arial" w:hAnsi="Arial" w:cs="Arial"/>
        </w:rPr>
        <w:tab/>
      </w:r>
      <w:r>
        <w:t xml:space="preserve">Key Findings </w:t>
      </w:r>
      <w:bookmarkEnd w:id="3"/>
    </w:p>
    <w:p w14:paraId="0FF5E14A" w14:textId="77777777" w:rsidR="00CE3227" w:rsidRDefault="00000000">
      <w:pPr>
        <w:spacing w:after="282" w:line="477" w:lineRule="auto"/>
        <w:ind w:left="-5" w:right="113"/>
      </w:pPr>
      <w:r>
        <w:t xml:space="preserve">The key findings emphasize the importance of datasets and its contribution in the market. The analysis of fuel-energy data has provided us with various important insights. The dataset discloses historical price behaviour, market volatility and different trends. This also provides insights in the relationship among various types of fuels. The dataset is a very important aspect when it comes to market treasures. Through studying these data, it is possible to discover how to make money </w:t>
      </w:r>
      <w:proofErr w:type="gramStart"/>
      <w:r>
        <w:t>and also</w:t>
      </w:r>
      <w:proofErr w:type="gramEnd"/>
      <w:r>
        <w:t xml:space="preserve"> prevent market risk especially during tricky times. It also affects global fuel price fluctuation, which makes it possible to determine when the price can be high and when it can be low.  </w:t>
      </w:r>
    </w:p>
    <w:p w14:paraId="66D07B38" w14:textId="77777777" w:rsidR="00CE3227" w:rsidRDefault="00000000">
      <w:pPr>
        <w:spacing w:after="280" w:line="476" w:lineRule="auto"/>
        <w:ind w:left="-5" w:right="113"/>
      </w:pPr>
      <w:r>
        <w:t xml:space="preserve">Year 2008 was a potential market as it marked the highest sum of high prices. The market was high and low in terms of trends but 2020 experienced a dip, mostly due to global pandemic. Crude Oil leads with highest total volume and aggregate close price. Heating Oil and Natural Gas closely followed, contributing to pricing trends. </w:t>
      </w:r>
    </w:p>
    <w:p w14:paraId="6713FB0B" w14:textId="77777777" w:rsidR="00CE3227" w:rsidRDefault="00000000">
      <w:pPr>
        <w:spacing w:after="0" w:line="259" w:lineRule="auto"/>
        <w:ind w:left="708" w:right="0" w:firstLine="0"/>
        <w:jc w:val="left"/>
      </w:pPr>
      <w:r>
        <w:t xml:space="preserve"> </w:t>
      </w:r>
    </w:p>
    <w:p w14:paraId="0492BDD3" w14:textId="77777777" w:rsidR="00CE3227" w:rsidRDefault="00000000">
      <w:pPr>
        <w:spacing w:after="476" w:line="259" w:lineRule="auto"/>
        <w:ind w:left="0" w:right="0" w:firstLine="0"/>
        <w:jc w:val="right"/>
      </w:pPr>
      <w:r>
        <w:rPr>
          <w:noProof/>
        </w:rPr>
        <w:lastRenderedPageBreak/>
        <w:drawing>
          <wp:inline distT="0" distB="0" distL="0" distR="0" wp14:anchorId="645703A7" wp14:editId="79341CAB">
            <wp:extent cx="5715000" cy="3277870"/>
            <wp:effectExtent l="0" t="0" r="0" b="0"/>
            <wp:docPr id="546" name="Picture 546"/>
            <wp:cNvGraphicFramePr/>
            <a:graphic xmlns:a="http://schemas.openxmlformats.org/drawingml/2006/main">
              <a:graphicData uri="http://schemas.openxmlformats.org/drawingml/2006/picture">
                <pic:pic xmlns:pic="http://schemas.openxmlformats.org/drawingml/2006/picture">
                  <pic:nvPicPr>
                    <pic:cNvPr id="546" name="Picture 546"/>
                    <pic:cNvPicPr/>
                  </pic:nvPicPr>
                  <pic:blipFill>
                    <a:blip r:embed="rId10"/>
                    <a:stretch>
                      <a:fillRect/>
                    </a:stretch>
                  </pic:blipFill>
                  <pic:spPr>
                    <a:xfrm>
                      <a:off x="0" y="0"/>
                      <a:ext cx="5715000" cy="3277870"/>
                    </a:xfrm>
                    <a:prstGeom prst="rect">
                      <a:avLst/>
                    </a:prstGeom>
                  </pic:spPr>
                </pic:pic>
              </a:graphicData>
            </a:graphic>
          </wp:inline>
        </w:drawing>
      </w:r>
      <w:r>
        <w:t xml:space="preserve"> </w:t>
      </w:r>
    </w:p>
    <w:p w14:paraId="0C88FF8D" w14:textId="77777777" w:rsidR="00CE3227" w:rsidRDefault="00000000">
      <w:pPr>
        <w:spacing w:after="515"/>
        <w:ind w:left="1162" w:right="848"/>
        <w:jc w:val="center"/>
      </w:pPr>
      <w:r>
        <w:rPr>
          <w:b/>
          <w:i/>
          <w:sz w:val="20"/>
        </w:rPr>
        <w:t xml:space="preserve">Figure 1: </w:t>
      </w:r>
      <w:r>
        <w:rPr>
          <w:i/>
          <w:sz w:val="20"/>
        </w:rPr>
        <w:t>Market Overview</w:t>
      </w:r>
      <w:r>
        <w:t xml:space="preserve"> </w:t>
      </w:r>
    </w:p>
    <w:p w14:paraId="7EC08B07" w14:textId="77777777" w:rsidR="00CE3227" w:rsidRDefault="00000000">
      <w:pPr>
        <w:pStyle w:val="Heading3"/>
        <w:tabs>
          <w:tab w:val="center" w:pos="881"/>
          <w:tab w:val="center" w:pos="2471"/>
        </w:tabs>
        <w:spacing w:after="456"/>
        <w:ind w:left="0" w:firstLine="0"/>
      </w:pPr>
      <w:bookmarkStart w:id="4" w:name="_Toc24467"/>
      <w:r>
        <w:rPr>
          <w:rFonts w:ascii="Calibri" w:eastAsia="Calibri" w:hAnsi="Calibri" w:cs="Calibri"/>
          <w:b w:val="0"/>
          <w:sz w:val="22"/>
        </w:rPr>
        <w:tab/>
      </w:r>
      <w:r>
        <w:t>1.3.</w:t>
      </w:r>
      <w:r>
        <w:rPr>
          <w:rFonts w:ascii="Arial" w:eastAsia="Arial" w:hAnsi="Arial" w:cs="Arial"/>
        </w:rPr>
        <w:t xml:space="preserve"> </w:t>
      </w:r>
      <w:r>
        <w:rPr>
          <w:rFonts w:ascii="Arial" w:eastAsia="Arial" w:hAnsi="Arial" w:cs="Arial"/>
        </w:rPr>
        <w:tab/>
      </w:r>
      <w:r>
        <w:t xml:space="preserve">Recommendations </w:t>
      </w:r>
      <w:bookmarkEnd w:id="4"/>
    </w:p>
    <w:p w14:paraId="3BA27E55" w14:textId="77777777" w:rsidR="00CE3227" w:rsidRDefault="00000000">
      <w:pPr>
        <w:spacing w:after="282" w:line="476" w:lineRule="auto"/>
        <w:ind w:left="-5" w:right="113"/>
      </w:pPr>
      <w:r>
        <w:t xml:space="preserve">Emphasis of investing in various fuel-type markets and implementing strategies will help in taking risk during critical-market situations. Stay alert during global fuel price fluctuations and big events. Crude Oil dominates the market trends so keep focus there but also keep an eye on heating Oil and Natural Gas as those are steady markets. Use dataset and market analysis to stay updated and be prepared to adapt to unexpected events. </w:t>
      </w:r>
    </w:p>
    <w:p w14:paraId="63D56735" w14:textId="77777777" w:rsidR="00CE3227" w:rsidRDefault="00000000">
      <w:pPr>
        <w:spacing w:line="476" w:lineRule="auto"/>
        <w:ind w:left="-5" w:right="113"/>
      </w:pPr>
      <w:r>
        <w:t xml:space="preserve">This recommendation aims to enhance the resilience and efficiency in market trends, ensuring a good contribution in the fuel-energy market globally. </w:t>
      </w:r>
    </w:p>
    <w:p w14:paraId="0CE53E6A" w14:textId="77777777" w:rsidR="00CE3227" w:rsidRDefault="00000000">
      <w:pPr>
        <w:pStyle w:val="Heading1"/>
        <w:tabs>
          <w:tab w:val="center" w:pos="1526"/>
        </w:tabs>
        <w:spacing w:after="489"/>
        <w:ind w:left="0" w:firstLine="0"/>
      </w:pPr>
      <w:bookmarkStart w:id="5" w:name="_Toc24468"/>
      <w:r>
        <w:lastRenderedPageBreak/>
        <w:t>2.</w:t>
      </w:r>
      <w:r>
        <w:rPr>
          <w:rFonts w:ascii="Arial" w:eastAsia="Arial" w:hAnsi="Arial" w:cs="Arial"/>
        </w:rPr>
        <w:t xml:space="preserve"> </w:t>
      </w:r>
      <w:r>
        <w:rPr>
          <w:rFonts w:ascii="Arial" w:eastAsia="Arial" w:hAnsi="Arial" w:cs="Arial"/>
        </w:rPr>
        <w:tab/>
      </w:r>
      <w:r>
        <w:t xml:space="preserve">Report Body </w:t>
      </w:r>
      <w:bookmarkEnd w:id="5"/>
    </w:p>
    <w:p w14:paraId="51981A09" w14:textId="77777777" w:rsidR="00CE3227" w:rsidRDefault="00000000">
      <w:pPr>
        <w:pStyle w:val="Heading3"/>
        <w:tabs>
          <w:tab w:val="center" w:pos="881"/>
          <w:tab w:val="center" w:pos="2144"/>
        </w:tabs>
        <w:spacing w:after="456"/>
        <w:ind w:left="0" w:firstLine="0"/>
      </w:pPr>
      <w:bookmarkStart w:id="6" w:name="_Toc24469"/>
      <w:r>
        <w:rPr>
          <w:rFonts w:ascii="Calibri" w:eastAsia="Calibri" w:hAnsi="Calibri" w:cs="Calibri"/>
          <w:b w:val="0"/>
          <w:sz w:val="22"/>
        </w:rPr>
        <w:tab/>
      </w:r>
      <w:r>
        <w:t>2.1.</w:t>
      </w:r>
      <w:r>
        <w:rPr>
          <w:rFonts w:ascii="Arial" w:eastAsia="Arial" w:hAnsi="Arial" w:cs="Arial"/>
        </w:rPr>
        <w:t xml:space="preserve"> </w:t>
      </w:r>
      <w:r>
        <w:rPr>
          <w:rFonts w:ascii="Arial" w:eastAsia="Arial" w:hAnsi="Arial" w:cs="Arial"/>
        </w:rPr>
        <w:tab/>
      </w:r>
      <w:r>
        <w:t xml:space="preserve">Introduction </w:t>
      </w:r>
      <w:bookmarkEnd w:id="6"/>
    </w:p>
    <w:p w14:paraId="532BA795" w14:textId="77777777" w:rsidR="00CE3227" w:rsidRDefault="00000000">
      <w:pPr>
        <w:spacing w:after="31" w:line="477" w:lineRule="auto"/>
        <w:ind w:left="-5" w:right="113"/>
      </w:pPr>
      <w:r>
        <w:t>The report delves into a deep understanding of energy-fuel market trends, trading strategies, global events, price fluctuations, fuel-type overview. This part of the report showcases the importance of dataset. With this dataset, the main objective is to alert readers and be prepared with every changing event in the market.</w:t>
      </w:r>
      <w:r>
        <w:rPr>
          <w:sz w:val="22"/>
        </w:rPr>
        <w:t xml:space="preserve"> </w:t>
      </w:r>
    </w:p>
    <w:p w14:paraId="4CC8D093" w14:textId="77777777" w:rsidR="00CE3227" w:rsidRDefault="00000000">
      <w:pPr>
        <w:pStyle w:val="Heading3"/>
        <w:tabs>
          <w:tab w:val="center" w:pos="881"/>
          <w:tab w:val="center" w:pos="2101"/>
        </w:tabs>
        <w:spacing w:after="495"/>
        <w:ind w:left="0" w:firstLine="0"/>
      </w:pPr>
      <w:bookmarkStart w:id="7" w:name="_Toc24470"/>
      <w:r>
        <w:rPr>
          <w:rFonts w:ascii="Calibri" w:eastAsia="Calibri" w:hAnsi="Calibri" w:cs="Calibri"/>
          <w:b w:val="0"/>
          <w:sz w:val="22"/>
        </w:rPr>
        <w:tab/>
      </w:r>
      <w:r>
        <w:t>2.2.</w:t>
      </w:r>
      <w:r>
        <w:rPr>
          <w:rFonts w:ascii="Arial" w:eastAsia="Arial" w:hAnsi="Arial" w:cs="Arial"/>
        </w:rPr>
        <w:t xml:space="preserve"> </w:t>
      </w:r>
      <w:r>
        <w:rPr>
          <w:rFonts w:ascii="Arial" w:eastAsia="Arial" w:hAnsi="Arial" w:cs="Arial"/>
        </w:rPr>
        <w:tab/>
      </w:r>
      <w:r>
        <w:t xml:space="preserve">Data Source </w:t>
      </w:r>
      <w:bookmarkEnd w:id="7"/>
    </w:p>
    <w:p w14:paraId="4EF68240" w14:textId="77777777" w:rsidR="00CE3227" w:rsidRDefault="00000000">
      <w:pPr>
        <w:spacing w:after="0" w:line="477" w:lineRule="auto"/>
        <w:ind w:left="-5" w:right="113"/>
      </w:pPr>
      <w:r>
        <w:t>The report is from kaggle for datasets named ‘Oil, Gas and Other Fuels Future Data</w:t>
      </w:r>
      <w:proofErr w:type="gramStart"/>
      <w:r>
        <w:t>’.</w:t>
      </w:r>
      <w:proofErr w:type="gramEnd"/>
      <w:r>
        <w:t xml:space="preserve"> This dataset provides comprehensive and up-to-date information on futures related to oil, gas, and other fuels. Futures are financial contracts obligating the buyer to purchase and the seller to sell a specified amount of a particular fuel at a predetermined price and future date. This data can be used for trend analysis, academic research, trading strategies, risk management. This dataset encompasses a diverse range of variables, including Date, opening price, high peak during trading window, lowest traded price, market closed price, volume, ticker, and various types of fuels. With this rich collection of data, analysts and researchers can delve into decision-making processes, aiding businesses in targeted marketing </w:t>
      </w:r>
    </w:p>
    <w:p w14:paraId="61EFABD6" w14:textId="77777777" w:rsidR="00CE3227" w:rsidRDefault="00000000">
      <w:pPr>
        <w:ind w:left="-5" w:right="113"/>
      </w:pPr>
      <w:r>
        <w:t>strategies.</w:t>
      </w:r>
      <w:r>
        <w:rPr>
          <w:sz w:val="22"/>
        </w:rPr>
        <w:t xml:space="preserve"> </w:t>
      </w:r>
    </w:p>
    <w:p w14:paraId="42A021BC" w14:textId="77777777" w:rsidR="00CE3227" w:rsidRDefault="00000000">
      <w:pPr>
        <w:spacing w:after="444" w:line="259" w:lineRule="auto"/>
        <w:ind w:left="294" w:right="0" w:firstLine="0"/>
        <w:jc w:val="left"/>
      </w:pPr>
      <w:r>
        <w:rPr>
          <w:rFonts w:ascii="Calibri" w:eastAsia="Calibri" w:hAnsi="Calibri" w:cs="Calibri"/>
          <w:noProof/>
          <w:sz w:val="22"/>
        </w:rPr>
        <w:lastRenderedPageBreak/>
        <mc:AlternateContent>
          <mc:Choice Requires="wpg">
            <w:drawing>
              <wp:inline distT="0" distB="0" distL="0" distR="0" wp14:anchorId="5F3CC7C0" wp14:editId="39C805DD">
                <wp:extent cx="5802996" cy="2837215"/>
                <wp:effectExtent l="0" t="0" r="0" b="0"/>
                <wp:docPr id="19257" name="Group 19257"/>
                <wp:cNvGraphicFramePr/>
                <a:graphic xmlns:a="http://schemas.openxmlformats.org/drawingml/2006/main">
                  <a:graphicData uri="http://schemas.microsoft.com/office/word/2010/wordprocessingGroup">
                    <wpg:wgp>
                      <wpg:cNvGrpSpPr/>
                      <wpg:grpSpPr>
                        <a:xfrm>
                          <a:off x="0" y="0"/>
                          <a:ext cx="5802996" cy="2837215"/>
                          <a:chOff x="0" y="0"/>
                          <a:chExt cx="5802996" cy="2837215"/>
                        </a:xfrm>
                      </wpg:grpSpPr>
                      <wps:wsp>
                        <wps:cNvPr id="608" name="Rectangle 608"/>
                        <wps:cNvSpPr/>
                        <wps:spPr>
                          <a:xfrm>
                            <a:off x="5772150" y="2697007"/>
                            <a:ext cx="41024" cy="186477"/>
                          </a:xfrm>
                          <a:prstGeom prst="rect">
                            <a:avLst/>
                          </a:prstGeom>
                          <a:ln>
                            <a:noFill/>
                          </a:ln>
                        </wps:spPr>
                        <wps:txbx>
                          <w:txbxContent>
                            <w:p w14:paraId="20DF6BDF" w14:textId="77777777" w:rsidR="00CE3227"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645" name="Picture 645"/>
                          <pic:cNvPicPr/>
                        </pic:nvPicPr>
                        <pic:blipFill>
                          <a:blip r:embed="rId11"/>
                          <a:stretch>
                            <a:fillRect/>
                          </a:stretch>
                        </pic:blipFill>
                        <pic:spPr>
                          <a:xfrm>
                            <a:off x="6350" y="6350"/>
                            <a:ext cx="5753100" cy="2787015"/>
                          </a:xfrm>
                          <a:prstGeom prst="rect">
                            <a:avLst/>
                          </a:prstGeom>
                        </pic:spPr>
                      </pic:pic>
                      <wps:wsp>
                        <wps:cNvPr id="646" name="Shape 646"/>
                        <wps:cNvSpPr/>
                        <wps:spPr>
                          <a:xfrm>
                            <a:off x="0" y="0"/>
                            <a:ext cx="5765800" cy="2799715"/>
                          </a:xfrm>
                          <a:custGeom>
                            <a:avLst/>
                            <a:gdLst/>
                            <a:ahLst/>
                            <a:cxnLst/>
                            <a:rect l="0" t="0" r="0" b="0"/>
                            <a:pathLst>
                              <a:path w="5765800" h="2799715">
                                <a:moveTo>
                                  <a:pt x="0" y="2799715"/>
                                </a:moveTo>
                                <a:lnTo>
                                  <a:pt x="5765800" y="2799715"/>
                                </a:lnTo>
                                <a:lnTo>
                                  <a:pt x="576580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257" style="width:456.929pt;height:223.403pt;mso-position-horizontal-relative:char;mso-position-vertical-relative:line" coordsize="58029,28372">
                <v:rect id="Rectangle 608" style="position:absolute;width:410;height:1864;left:57721;top:26970;" filled="f" stroked="f">
                  <v:textbox inset="0,0,0,0">
                    <w:txbxContent>
                      <w:p>
                        <w:pPr>
                          <w:spacing w:before="0" w:after="160" w:line="259" w:lineRule="auto"/>
                          <w:ind w:left="0" w:right="0" w:firstLine="0"/>
                          <w:jc w:val="left"/>
                        </w:pPr>
                        <w:r>
                          <w:rPr>
                            <w:sz w:val="22"/>
                          </w:rPr>
                          <w:t xml:space="preserve"> </w:t>
                        </w:r>
                      </w:p>
                    </w:txbxContent>
                  </v:textbox>
                </v:rect>
                <v:shape id="Picture 645" style="position:absolute;width:57531;height:27870;left:63;top:63;" filled="f">
                  <v:imagedata r:id="rId12"/>
                </v:shape>
                <v:shape id="Shape 646" style="position:absolute;width:57658;height:27997;left:0;top:0;" coordsize="5765800,2799715" path="m0,2799715l5765800,2799715l5765800,0l0,0x">
                  <v:stroke weight="1pt" endcap="flat" joinstyle="round" on="true" color="#000000"/>
                  <v:fill on="false" color="#000000" opacity="0"/>
                </v:shape>
              </v:group>
            </w:pict>
          </mc:Fallback>
        </mc:AlternateContent>
      </w:r>
    </w:p>
    <w:p w14:paraId="143AFFD8" w14:textId="77777777" w:rsidR="00CE3227" w:rsidRDefault="00000000">
      <w:pPr>
        <w:spacing w:after="522"/>
        <w:ind w:left="1162" w:right="1273"/>
        <w:jc w:val="center"/>
      </w:pPr>
      <w:r>
        <w:rPr>
          <w:b/>
          <w:i/>
          <w:sz w:val="20"/>
        </w:rPr>
        <w:t>Figure 2.1.:</w:t>
      </w:r>
      <w:r>
        <w:rPr>
          <w:i/>
          <w:sz w:val="20"/>
        </w:rPr>
        <w:t xml:space="preserve"> Overview of the data</w:t>
      </w:r>
      <w:r>
        <w:rPr>
          <w:sz w:val="20"/>
        </w:rPr>
        <w:t xml:space="preserve"> </w:t>
      </w:r>
    </w:p>
    <w:p w14:paraId="3675AD14" w14:textId="77777777" w:rsidR="00CE3227" w:rsidRDefault="00000000">
      <w:pPr>
        <w:pStyle w:val="Heading1"/>
        <w:tabs>
          <w:tab w:val="center" w:pos="2253"/>
        </w:tabs>
        <w:ind w:left="0" w:firstLine="0"/>
      </w:pPr>
      <w:bookmarkStart w:id="8" w:name="_Toc24471"/>
      <w:r>
        <w:t>3.</w:t>
      </w:r>
      <w:r>
        <w:rPr>
          <w:rFonts w:ascii="Arial" w:eastAsia="Arial" w:hAnsi="Arial" w:cs="Arial"/>
        </w:rPr>
        <w:t xml:space="preserve"> </w:t>
      </w:r>
      <w:r>
        <w:rPr>
          <w:rFonts w:ascii="Arial" w:eastAsia="Arial" w:hAnsi="Arial" w:cs="Arial"/>
        </w:rPr>
        <w:tab/>
      </w:r>
      <w:r>
        <w:t xml:space="preserve">Power BI Requirements </w:t>
      </w:r>
      <w:bookmarkEnd w:id="8"/>
    </w:p>
    <w:p w14:paraId="5B7DA72A" w14:textId="77777777" w:rsidR="00CE3227" w:rsidRDefault="00000000">
      <w:pPr>
        <w:spacing w:after="32" w:line="476" w:lineRule="auto"/>
        <w:ind w:left="-5" w:right="113"/>
      </w:pPr>
      <w:r>
        <w:t>Knowledge of Power BI modelling functions and visualisation tools plays a vital role in making reports and dashboards and gaining insights from the dataset.</w:t>
      </w:r>
      <w:r>
        <w:rPr>
          <w:sz w:val="22"/>
        </w:rPr>
        <w:t xml:space="preserve"> </w:t>
      </w:r>
    </w:p>
    <w:p w14:paraId="7E82DA5C" w14:textId="77777777" w:rsidR="00CE3227" w:rsidRDefault="00000000">
      <w:pPr>
        <w:pStyle w:val="Heading3"/>
        <w:tabs>
          <w:tab w:val="center" w:pos="881"/>
          <w:tab w:val="center" w:pos="2266"/>
        </w:tabs>
        <w:spacing w:after="456"/>
        <w:ind w:left="0" w:firstLine="0"/>
      </w:pPr>
      <w:bookmarkStart w:id="9" w:name="_Toc24472"/>
      <w:r>
        <w:rPr>
          <w:rFonts w:ascii="Calibri" w:eastAsia="Calibri" w:hAnsi="Calibri" w:cs="Calibri"/>
          <w:b w:val="0"/>
          <w:sz w:val="22"/>
        </w:rPr>
        <w:tab/>
      </w:r>
      <w:r>
        <w:t>3.1.</w:t>
      </w:r>
      <w:r>
        <w:rPr>
          <w:rFonts w:ascii="Arial" w:eastAsia="Arial" w:hAnsi="Arial" w:cs="Arial"/>
        </w:rPr>
        <w:t xml:space="preserve"> </w:t>
      </w:r>
      <w:r>
        <w:rPr>
          <w:rFonts w:ascii="Arial" w:eastAsia="Arial" w:hAnsi="Arial" w:cs="Arial"/>
        </w:rPr>
        <w:tab/>
      </w:r>
      <w:r>
        <w:t xml:space="preserve">Major Findings </w:t>
      </w:r>
      <w:bookmarkEnd w:id="9"/>
    </w:p>
    <w:p w14:paraId="7CFFEF08" w14:textId="77777777" w:rsidR="00CE3227" w:rsidRDefault="00000000">
      <w:pPr>
        <w:spacing w:after="280"/>
        <w:ind w:left="-5" w:right="113"/>
      </w:pPr>
      <w:r>
        <w:t>The major findings of the report are:</w:t>
      </w:r>
      <w:r>
        <w:rPr>
          <w:sz w:val="22"/>
        </w:rPr>
        <w:t xml:space="preserve"> </w:t>
      </w:r>
    </w:p>
    <w:p w14:paraId="0182109A" w14:textId="77777777" w:rsidR="00CE3227" w:rsidRDefault="00000000">
      <w:pPr>
        <w:pStyle w:val="Heading4"/>
        <w:tabs>
          <w:tab w:val="center" w:pos="1503"/>
          <w:tab w:val="center" w:pos="3859"/>
        </w:tabs>
        <w:spacing w:after="457"/>
        <w:ind w:left="0" w:firstLine="0"/>
      </w:pPr>
      <w:bookmarkStart w:id="10" w:name="_Toc24473"/>
      <w:r>
        <w:rPr>
          <w:rFonts w:ascii="Calibri" w:eastAsia="Calibri" w:hAnsi="Calibri" w:cs="Calibri"/>
          <w:b w:val="0"/>
          <w:sz w:val="22"/>
        </w:rPr>
        <w:tab/>
      </w:r>
      <w:r>
        <w:t>3.1.1.</w:t>
      </w:r>
      <w:r>
        <w:rPr>
          <w:rFonts w:ascii="Arial" w:eastAsia="Arial" w:hAnsi="Arial" w:cs="Arial"/>
        </w:rPr>
        <w:t xml:space="preserve"> </w:t>
      </w:r>
      <w:r>
        <w:rPr>
          <w:rFonts w:ascii="Arial" w:eastAsia="Arial" w:hAnsi="Arial" w:cs="Arial"/>
        </w:rPr>
        <w:tab/>
      </w:r>
      <w:r>
        <w:t xml:space="preserve">Year-wise Total Open Position:  </w:t>
      </w:r>
      <w:bookmarkEnd w:id="10"/>
    </w:p>
    <w:p w14:paraId="75C39FCF" w14:textId="77777777" w:rsidR="00CE3227" w:rsidRDefault="00000000">
      <w:pPr>
        <w:spacing w:after="0" w:line="477" w:lineRule="auto"/>
        <w:ind w:left="-5" w:right="113"/>
      </w:pPr>
      <w:r>
        <w:t xml:space="preserve">The analysis of opening market price trends over years demonstrates distinctive patterns. The chart signifies the rising opening price over the years. In 2008, the market subsequently increased. Soon after, the market dipped in 2009, mostly due to the economic downturn, after which the market kept on boosting to new heights. Later, 2020 marked off-market, possibly influenced by global pandemic. </w:t>
      </w:r>
    </w:p>
    <w:p w14:paraId="6CD6CD6C" w14:textId="77777777" w:rsidR="00CE3227" w:rsidRDefault="00000000">
      <w:pPr>
        <w:ind w:left="-5" w:right="113"/>
      </w:pPr>
      <w:r>
        <w:t xml:space="preserve">Chart Analysis: </w:t>
      </w:r>
    </w:p>
    <w:p w14:paraId="07938BF8" w14:textId="77777777" w:rsidR="00CE3227" w:rsidRDefault="00000000">
      <w:pPr>
        <w:numPr>
          <w:ilvl w:val="0"/>
          <w:numId w:val="2"/>
        </w:numPr>
        <w:spacing w:after="283"/>
        <w:ind w:right="113" w:hanging="360"/>
      </w:pPr>
      <w:r>
        <w:lastRenderedPageBreak/>
        <w:t xml:space="preserve">2008 Insight: Period of Market Vibrancy. </w:t>
      </w:r>
    </w:p>
    <w:p w14:paraId="426D5394" w14:textId="77777777" w:rsidR="00CE3227" w:rsidRDefault="00000000">
      <w:pPr>
        <w:numPr>
          <w:ilvl w:val="0"/>
          <w:numId w:val="2"/>
        </w:numPr>
        <w:spacing w:after="280"/>
        <w:ind w:right="113" w:hanging="360"/>
      </w:pPr>
      <w:r>
        <w:t xml:space="preserve">2009 Insights: Off-market due to Global economic challenges. </w:t>
      </w:r>
    </w:p>
    <w:p w14:paraId="772C2E3A" w14:textId="77777777" w:rsidR="00CE3227" w:rsidRDefault="00000000">
      <w:pPr>
        <w:numPr>
          <w:ilvl w:val="0"/>
          <w:numId w:val="2"/>
        </w:numPr>
        <w:spacing w:after="283"/>
        <w:ind w:right="113" w:hanging="360"/>
      </w:pPr>
      <w:r>
        <w:t xml:space="preserve">Subsequent years insights:  Rise in market. </w:t>
      </w:r>
    </w:p>
    <w:p w14:paraId="74F662A0" w14:textId="77777777" w:rsidR="00CE3227" w:rsidRDefault="00000000">
      <w:pPr>
        <w:numPr>
          <w:ilvl w:val="0"/>
          <w:numId w:val="2"/>
        </w:numPr>
        <w:spacing w:after="283"/>
        <w:ind w:right="113" w:hanging="360"/>
      </w:pPr>
      <w:r>
        <w:t xml:space="preserve">2018: lead the market with 54 billion open positions. </w:t>
      </w:r>
    </w:p>
    <w:p w14:paraId="2B328232" w14:textId="77777777" w:rsidR="00CE3227" w:rsidRDefault="00000000">
      <w:pPr>
        <w:numPr>
          <w:ilvl w:val="0"/>
          <w:numId w:val="2"/>
        </w:numPr>
        <w:spacing w:after="192"/>
        <w:ind w:right="113" w:hanging="360"/>
      </w:pPr>
      <w:r>
        <w:t xml:space="preserve">2020: Dip in the market, mostly due to global pandemic. </w:t>
      </w:r>
    </w:p>
    <w:p w14:paraId="4BB98B8F" w14:textId="77777777" w:rsidR="00CE3227" w:rsidRDefault="00000000">
      <w:pPr>
        <w:spacing w:after="223" w:line="259" w:lineRule="auto"/>
        <w:ind w:left="0" w:right="1423" w:firstLine="0"/>
        <w:jc w:val="right"/>
      </w:pPr>
      <w:r>
        <w:rPr>
          <w:noProof/>
        </w:rPr>
        <w:drawing>
          <wp:inline distT="0" distB="0" distL="0" distR="0" wp14:anchorId="4995C574" wp14:editId="11C4C8A3">
            <wp:extent cx="4152900" cy="1562100"/>
            <wp:effectExtent l="0" t="0" r="0" b="0"/>
            <wp:docPr id="715" name="Picture 715"/>
            <wp:cNvGraphicFramePr/>
            <a:graphic xmlns:a="http://schemas.openxmlformats.org/drawingml/2006/main">
              <a:graphicData uri="http://schemas.openxmlformats.org/drawingml/2006/picture">
                <pic:pic xmlns:pic="http://schemas.openxmlformats.org/drawingml/2006/picture">
                  <pic:nvPicPr>
                    <pic:cNvPr id="715" name="Picture 715"/>
                    <pic:cNvPicPr/>
                  </pic:nvPicPr>
                  <pic:blipFill>
                    <a:blip r:embed="rId13"/>
                    <a:stretch>
                      <a:fillRect/>
                    </a:stretch>
                  </pic:blipFill>
                  <pic:spPr>
                    <a:xfrm>
                      <a:off x="0" y="0"/>
                      <a:ext cx="4152900" cy="1562100"/>
                    </a:xfrm>
                    <a:prstGeom prst="rect">
                      <a:avLst/>
                    </a:prstGeom>
                  </pic:spPr>
                </pic:pic>
              </a:graphicData>
            </a:graphic>
          </wp:inline>
        </w:drawing>
      </w:r>
      <w:r>
        <w:rPr>
          <w:sz w:val="22"/>
        </w:rPr>
        <w:t xml:space="preserve"> </w:t>
      </w:r>
    </w:p>
    <w:p w14:paraId="282BCD29" w14:textId="77777777" w:rsidR="00CE3227" w:rsidRDefault="00000000">
      <w:pPr>
        <w:spacing w:after="434"/>
        <w:ind w:left="1162" w:right="558"/>
        <w:jc w:val="center"/>
      </w:pPr>
      <w:r>
        <w:rPr>
          <w:b/>
          <w:i/>
          <w:sz w:val="20"/>
        </w:rPr>
        <w:t xml:space="preserve">Figure 3.1.: </w:t>
      </w:r>
      <w:r>
        <w:rPr>
          <w:i/>
          <w:sz w:val="20"/>
        </w:rPr>
        <w:t>Year-wise total Open Position</w:t>
      </w:r>
      <w:r>
        <w:rPr>
          <w:b/>
        </w:rPr>
        <w:t xml:space="preserve"> </w:t>
      </w:r>
    </w:p>
    <w:p w14:paraId="336A5A10" w14:textId="77777777" w:rsidR="00CE3227" w:rsidRDefault="00000000">
      <w:pPr>
        <w:pStyle w:val="Heading4"/>
        <w:tabs>
          <w:tab w:val="center" w:pos="1503"/>
          <w:tab w:val="center" w:pos="5445"/>
        </w:tabs>
        <w:spacing w:after="456"/>
        <w:ind w:left="0" w:firstLine="0"/>
      </w:pPr>
      <w:bookmarkStart w:id="11" w:name="_Toc24474"/>
      <w:r>
        <w:rPr>
          <w:rFonts w:ascii="Calibri" w:eastAsia="Calibri" w:hAnsi="Calibri" w:cs="Calibri"/>
          <w:b w:val="0"/>
          <w:sz w:val="22"/>
        </w:rPr>
        <w:tab/>
      </w:r>
      <w:r>
        <w:t>3.1.2.</w:t>
      </w:r>
      <w:r>
        <w:rPr>
          <w:rFonts w:ascii="Arial" w:eastAsia="Arial" w:hAnsi="Arial" w:cs="Arial"/>
        </w:rPr>
        <w:t xml:space="preserve"> </w:t>
      </w:r>
      <w:r>
        <w:rPr>
          <w:rFonts w:ascii="Arial" w:eastAsia="Arial" w:hAnsi="Arial" w:cs="Arial"/>
        </w:rPr>
        <w:tab/>
      </w:r>
      <w:r>
        <w:t xml:space="preserve">Yearly Overview of Daily Price Change and Trading Volume: </w:t>
      </w:r>
      <w:bookmarkEnd w:id="11"/>
    </w:p>
    <w:p w14:paraId="120DEC2F" w14:textId="77777777" w:rsidR="00CE3227" w:rsidRDefault="00000000">
      <w:pPr>
        <w:spacing w:after="34" w:line="477" w:lineRule="auto"/>
        <w:ind w:left="-5" w:right="113"/>
      </w:pPr>
      <w:r>
        <w:t xml:space="preserve">The analysis of daily price change and trading volume offers valuable insights. In 2008, the market had substantial negative price change and an increase in trading volume. After 2008, the subsequent years show a steady rise in price change and trading volume. Although 2020 had a different scenario with notable negative price change and subsequent increasing trading volume, mostly due to global pandemic. 2021 turned out with positive price change and robust trading volume resulting in a dynamic market.   </w:t>
      </w:r>
    </w:p>
    <w:p w14:paraId="3B2A8EC8" w14:textId="77777777" w:rsidR="00CE3227" w:rsidRDefault="00000000">
      <w:pPr>
        <w:spacing w:after="251"/>
        <w:ind w:left="333" w:right="0"/>
        <w:jc w:val="left"/>
      </w:pPr>
      <w:r>
        <w:rPr>
          <w:rFonts w:ascii="Calibri" w:eastAsia="Calibri" w:hAnsi="Calibri" w:cs="Calibri"/>
        </w:rPr>
        <w:t>●</w:t>
      </w:r>
      <w:r>
        <w:rPr>
          <w:rFonts w:ascii="Arial" w:eastAsia="Arial" w:hAnsi="Arial" w:cs="Arial"/>
        </w:rPr>
        <w:t xml:space="preserve"> </w:t>
      </w:r>
      <w:r>
        <w:rPr>
          <w:b/>
        </w:rPr>
        <w:t xml:space="preserve">2000 Insights:  </w:t>
      </w:r>
    </w:p>
    <w:p w14:paraId="6AB461F9" w14:textId="77777777" w:rsidR="00CE3227" w:rsidRDefault="00000000">
      <w:pPr>
        <w:ind w:left="708" w:right="113"/>
      </w:pPr>
      <w:r>
        <w:t xml:space="preserve">Daily price change: -30.56 </w:t>
      </w:r>
    </w:p>
    <w:p w14:paraId="251F8D10" w14:textId="77777777" w:rsidR="00CE3227" w:rsidRDefault="00000000">
      <w:pPr>
        <w:spacing w:after="0" w:line="489" w:lineRule="auto"/>
        <w:ind w:left="338" w:right="5957" w:firstLine="360"/>
      </w:pPr>
      <w:r>
        <w:t xml:space="preserve">Total volume: 37,282,756 </w:t>
      </w:r>
      <w:r>
        <w:rPr>
          <w:rFonts w:ascii="Calibri" w:eastAsia="Calibri" w:hAnsi="Calibri" w:cs="Calibri"/>
        </w:rPr>
        <w:t>●</w:t>
      </w:r>
      <w:r>
        <w:rPr>
          <w:rFonts w:ascii="Arial" w:eastAsia="Arial" w:hAnsi="Arial" w:cs="Arial"/>
        </w:rPr>
        <w:t xml:space="preserve"> </w:t>
      </w:r>
      <w:r>
        <w:rPr>
          <w:b/>
        </w:rPr>
        <w:t xml:space="preserve">2008 Insights:  </w:t>
      </w:r>
    </w:p>
    <w:p w14:paraId="46735F1A" w14:textId="77777777" w:rsidR="00CE3227" w:rsidRDefault="00000000">
      <w:pPr>
        <w:ind w:left="708" w:right="113"/>
      </w:pPr>
      <w:r>
        <w:lastRenderedPageBreak/>
        <w:t xml:space="preserve">Daily price change: -556.43 </w:t>
      </w:r>
    </w:p>
    <w:p w14:paraId="53143C70" w14:textId="77777777" w:rsidR="00CE3227" w:rsidRDefault="00000000">
      <w:pPr>
        <w:spacing w:after="0" w:line="487" w:lineRule="auto"/>
        <w:ind w:left="338" w:right="5825" w:firstLine="360"/>
      </w:pPr>
      <w:r>
        <w:t xml:space="preserve">Total volume: 526,750,367 </w:t>
      </w:r>
      <w:r>
        <w:rPr>
          <w:rFonts w:ascii="Calibri" w:eastAsia="Calibri" w:hAnsi="Calibri" w:cs="Calibri"/>
        </w:rPr>
        <w:t>●</w:t>
      </w:r>
      <w:r>
        <w:rPr>
          <w:rFonts w:ascii="Arial" w:eastAsia="Arial" w:hAnsi="Arial" w:cs="Arial"/>
        </w:rPr>
        <w:t xml:space="preserve"> </w:t>
      </w:r>
      <w:r>
        <w:rPr>
          <w:b/>
        </w:rPr>
        <w:t xml:space="preserve">2013 Insights:  </w:t>
      </w:r>
    </w:p>
    <w:p w14:paraId="4A5F8647" w14:textId="77777777" w:rsidR="00CE3227" w:rsidRDefault="00000000">
      <w:pPr>
        <w:spacing w:after="4" w:line="479" w:lineRule="auto"/>
        <w:ind w:left="323" w:right="5825" w:firstLine="350"/>
        <w:jc w:val="left"/>
      </w:pPr>
      <w:r>
        <w:t xml:space="preserve">Daily price change: 139.98 Total volume: 579,869,252 </w:t>
      </w:r>
      <w:r>
        <w:rPr>
          <w:rFonts w:ascii="Calibri" w:eastAsia="Calibri" w:hAnsi="Calibri" w:cs="Calibri"/>
        </w:rPr>
        <w:t>●</w:t>
      </w:r>
      <w:r>
        <w:rPr>
          <w:rFonts w:ascii="Arial" w:eastAsia="Arial" w:hAnsi="Arial" w:cs="Arial"/>
        </w:rPr>
        <w:t xml:space="preserve"> </w:t>
      </w:r>
      <w:r>
        <w:rPr>
          <w:b/>
        </w:rPr>
        <w:t xml:space="preserve">2020 Insights:  </w:t>
      </w:r>
    </w:p>
    <w:p w14:paraId="4DAF39B8" w14:textId="77777777" w:rsidR="00CE3227" w:rsidRDefault="00000000">
      <w:pPr>
        <w:ind w:left="708" w:right="113"/>
      </w:pPr>
      <w:r>
        <w:t xml:space="preserve">Daily price change: -283.74 </w:t>
      </w:r>
    </w:p>
    <w:p w14:paraId="56461F36" w14:textId="77777777" w:rsidR="00CE3227" w:rsidRDefault="00000000">
      <w:pPr>
        <w:spacing w:after="0" w:line="489" w:lineRule="auto"/>
        <w:ind w:left="338" w:right="5825" w:firstLine="360"/>
      </w:pPr>
      <w:r>
        <w:t xml:space="preserve">Total volume: 963,500,562 </w:t>
      </w:r>
      <w:r>
        <w:rPr>
          <w:rFonts w:ascii="Calibri" w:eastAsia="Calibri" w:hAnsi="Calibri" w:cs="Calibri"/>
        </w:rPr>
        <w:t>●</w:t>
      </w:r>
      <w:r>
        <w:rPr>
          <w:rFonts w:ascii="Arial" w:eastAsia="Arial" w:hAnsi="Arial" w:cs="Arial"/>
        </w:rPr>
        <w:t xml:space="preserve"> </w:t>
      </w:r>
      <w:r>
        <w:rPr>
          <w:b/>
        </w:rPr>
        <w:t xml:space="preserve">2020 Insights:  </w:t>
      </w:r>
    </w:p>
    <w:p w14:paraId="5B282C83" w14:textId="77777777" w:rsidR="00CE3227" w:rsidRDefault="00000000">
      <w:pPr>
        <w:ind w:left="708" w:right="113"/>
      </w:pPr>
      <w:r>
        <w:t xml:space="preserve">Daily price change: 291.94 </w:t>
      </w:r>
    </w:p>
    <w:p w14:paraId="2F408BE3" w14:textId="77777777" w:rsidR="00CE3227" w:rsidRDefault="00000000">
      <w:pPr>
        <w:spacing w:after="193"/>
        <w:ind w:left="708" w:right="113"/>
      </w:pPr>
      <w:r>
        <w:t>Total volume: 848,232,675</w:t>
      </w:r>
      <w:r>
        <w:rPr>
          <w:sz w:val="22"/>
        </w:rPr>
        <w:t xml:space="preserve"> </w:t>
      </w:r>
    </w:p>
    <w:p w14:paraId="5A434553" w14:textId="77777777" w:rsidR="00CE3227" w:rsidRDefault="00000000">
      <w:pPr>
        <w:spacing w:after="199" w:line="259" w:lineRule="auto"/>
        <w:ind w:left="0" w:right="1421" w:firstLine="0"/>
        <w:jc w:val="right"/>
      </w:pPr>
      <w:r>
        <w:rPr>
          <w:noProof/>
        </w:rPr>
        <w:drawing>
          <wp:inline distT="0" distB="0" distL="0" distR="0" wp14:anchorId="4551D25B" wp14:editId="6EFFCF49">
            <wp:extent cx="4162425" cy="1562100"/>
            <wp:effectExtent l="0" t="0" r="0" b="0"/>
            <wp:docPr id="780" name="Picture 780"/>
            <wp:cNvGraphicFramePr/>
            <a:graphic xmlns:a="http://schemas.openxmlformats.org/drawingml/2006/main">
              <a:graphicData uri="http://schemas.openxmlformats.org/drawingml/2006/picture">
                <pic:pic xmlns:pic="http://schemas.openxmlformats.org/drawingml/2006/picture">
                  <pic:nvPicPr>
                    <pic:cNvPr id="780" name="Picture 780"/>
                    <pic:cNvPicPr/>
                  </pic:nvPicPr>
                  <pic:blipFill>
                    <a:blip r:embed="rId14"/>
                    <a:stretch>
                      <a:fillRect/>
                    </a:stretch>
                  </pic:blipFill>
                  <pic:spPr>
                    <a:xfrm>
                      <a:off x="0" y="0"/>
                      <a:ext cx="4162425" cy="1562100"/>
                    </a:xfrm>
                    <a:prstGeom prst="rect">
                      <a:avLst/>
                    </a:prstGeom>
                  </pic:spPr>
                </pic:pic>
              </a:graphicData>
            </a:graphic>
          </wp:inline>
        </w:drawing>
      </w:r>
      <w:r>
        <w:rPr>
          <w:sz w:val="22"/>
        </w:rPr>
        <w:t xml:space="preserve"> </w:t>
      </w:r>
    </w:p>
    <w:p w14:paraId="61C77464" w14:textId="77777777" w:rsidR="00CE3227" w:rsidRDefault="00000000">
      <w:pPr>
        <w:pStyle w:val="Heading4"/>
        <w:spacing w:after="436"/>
        <w:ind w:left="1162" w:right="1282"/>
        <w:jc w:val="center"/>
      </w:pPr>
      <w:bookmarkStart w:id="12" w:name="_Toc24475"/>
      <w:r>
        <w:rPr>
          <w:i/>
          <w:color w:val="434343"/>
          <w:sz w:val="20"/>
        </w:rPr>
        <w:t xml:space="preserve">         Figure 3.2.: </w:t>
      </w:r>
      <w:r>
        <w:rPr>
          <w:b w:val="0"/>
          <w:i/>
          <w:sz w:val="20"/>
        </w:rPr>
        <w:t>Yearly Overview of Daily Price Change and Trading Volume:</w:t>
      </w:r>
      <w:r>
        <w:rPr>
          <w:color w:val="434343"/>
        </w:rPr>
        <w:t xml:space="preserve"> </w:t>
      </w:r>
      <w:bookmarkEnd w:id="12"/>
    </w:p>
    <w:p w14:paraId="3BC9081B" w14:textId="77777777" w:rsidR="00CE3227" w:rsidRDefault="00000000">
      <w:pPr>
        <w:pStyle w:val="Heading4"/>
        <w:tabs>
          <w:tab w:val="center" w:pos="1503"/>
          <w:tab w:val="center" w:pos="3709"/>
        </w:tabs>
        <w:spacing w:after="454"/>
        <w:ind w:left="0" w:firstLine="0"/>
      </w:pPr>
      <w:bookmarkStart w:id="13" w:name="_Toc24476"/>
      <w:r>
        <w:rPr>
          <w:rFonts w:ascii="Calibri" w:eastAsia="Calibri" w:hAnsi="Calibri" w:cs="Calibri"/>
          <w:b w:val="0"/>
          <w:sz w:val="22"/>
        </w:rPr>
        <w:tab/>
      </w:r>
      <w:r>
        <w:t>3.1.3.</w:t>
      </w:r>
      <w:r>
        <w:rPr>
          <w:rFonts w:ascii="Arial" w:eastAsia="Arial" w:hAnsi="Arial" w:cs="Arial"/>
        </w:rPr>
        <w:t xml:space="preserve"> </w:t>
      </w:r>
      <w:r>
        <w:rPr>
          <w:rFonts w:ascii="Arial" w:eastAsia="Arial" w:hAnsi="Arial" w:cs="Arial"/>
        </w:rPr>
        <w:tab/>
      </w:r>
      <w:r>
        <w:t xml:space="preserve">Average Close Price by date: </w:t>
      </w:r>
      <w:bookmarkEnd w:id="13"/>
    </w:p>
    <w:p w14:paraId="2A48BD3D" w14:textId="77777777" w:rsidR="00CE3227" w:rsidRDefault="00000000">
      <w:pPr>
        <w:spacing w:after="35" w:line="477" w:lineRule="auto"/>
        <w:ind w:left="-5" w:right="113"/>
      </w:pPr>
      <w:r>
        <w:t xml:space="preserve">The Analysis of Average close price by date shows a roller-coaster journey regarding average closing price in the market. In August 2000, the average closing price was 32.05. After which, the subsequent years experienced constant fluctuations reaching the peak in July 2008. In January 2009, a dip occurred. However, the market bounced back in May 2019. Although the global pandemic in 2020 resulted in a dip in the market with price 11.89. In 2021, the price </w:t>
      </w:r>
      <w:r>
        <w:lastRenderedPageBreak/>
        <w:t xml:space="preserve">started increasing again and in June 2022 price reached to 45.73 showcasing the evolving market. </w:t>
      </w:r>
    </w:p>
    <w:p w14:paraId="4390A74D" w14:textId="77777777" w:rsidR="00CE3227" w:rsidRDefault="00000000">
      <w:pPr>
        <w:spacing w:after="251"/>
        <w:ind w:left="333" w:right="0"/>
        <w:jc w:val="left"/>
      </w:pPr>
      <w:r>
        <w:rPr>
          <w:rFonts w:ascii="Calibri" w:eastAsia="Calibri" w:hAnsi="Calibri" w:cs="Calibri"/>
        </w:rPr>
        <w:t>●</w:t>
      </w:r>
      <w:r>
        <w:rPr>
          <w:rFonts w:ascii="Arial" w:eastAsia="Arial" w:hAnsi="Arial" w:cs="Arial"/>
        </w:rPr>
        <w:t xml:space="preserve"> </w:t>
      </w:r>
      <w:r>
        <w:rPr>
          <w:b/>
        </w:rPr>
        <w:t xml:space="preserve">23 August 2000:  </w:t>
      </w:r>
    </w:p>
    <w:p w14:paraId="1F6EFC28" w14:textId="77777777" w:rsidR="00CE3227" w:rsidRDefault="00000000">
      <w:pPr>
        <w:spacing w:after="0" w:line="487" w:lineRule="auto"/>
        <w:ind w:left="338" w:right="5600" w:firstLine="360"/>
      </w:pPr>
      <w:r>
        <w:t xml:space="preserve">Average Closing Price - 32.05 </w:t>
      </w:r>
      <w:r>
        <w:rPr>
          <w:rFonts w:ascii="Calibri" w:eastAsia="Calibri" w:hAnsi="Calibri" w:cs="Calibri"/>
        </w:rPr>
        <w:t>●</w:t>
      </w:r>
      <w:r>
        <w:rPr>
          <w:rFonts w:ascii="Arial" w:eastAsia="Arial" w:hAnsi="Arial" w:cs="Arial"/>
        </w:rPr>
        <w:t xml:space="preserve"> </w:t>
      </w:r>
      <w:r>
        <w:rPr>
          <w:b/>
        </w:rPr>
        <w:t xml:space="preserve">21 July 2008:  </w:t>
      </w:r>
    </w:p>
    <w:p w14:paraId="7FCC536F" w14:textId="77777777" w:rsidR="00CE3227" w:rsidRDefault="00000000">
      <w:pPr>
        <w:spacing w:after="0" w:line="487" w:lineRule="auto"/>
        <w:ind w:left="338" w:right="5600" w:firstLine="360"/>
      </w:pPr>
      <w:r>
        <w:t xml:space="preserve">Average Closing Price - 56.22 </w:t>
      </w:r>
      <w:r>
        <w:rPr>
          <w:rFonts w:ascii="Calibri" w:eastAsia="Calibri" w:hAnsi="Calibri" w:cs="Calibri"/>
        </w:rPr>
        <w:t>●</w:t>
      </w:r>
      <w:r>
        <w:rPr>
          <w:rFonts w:ascii="Arial" w:eastAsia="Arial" w:hAnsi="Arial" w:cs="Arial"/>
        </w:rPr>
        <w:t xml:space="preserve"> </w:t>
      </w:r>
      <w:r>
        <w:rPr>
          <w:b/>
        </w:rPr>
        <w:t xml:space="preserve">15 January 2009:  </w:t>
      </w:r>
    </w:p>
    <w:p w14:paraId="5CA9BF69" w14:textId="77777777" w:rsidR="00CE3227" w:rsidRDefault="00000000">
      <w:pPr>
        <w:spacing w:after="0" w:line="487" w:lineRule="auto"/>
        <w:ind w:left="338" w:right="5559" w:firstLine="360"/>
      </w:pPr>
      <w:r>
        <w:t xml:space="preserve">Average Closing Price – 10.73 </w:t>
      </w:r>
      <w:r>
        <w:rPr>
          <w:rFonts w:ascii="Calibri" w:eastAsia="Calibri" w:hAnsi="Calibri" w:cs="Calibri"/>
        </w:rPr>
        <w:t>●</w:t>
      </w:r>
      <w:r>
        <w:rPr>
          <w:rFonts w:ascii="Arial" w:eastAsia="Arial" w:hAnsi="Arial" w:cs="Arial"/>
        </w:rPr>
        <w:t xml:space="preserve"> </w:t>
      </w:r>
      <w:r>
        <w:rPr>
          <w:b/>
        </w:rPr>
        <w:t xml:space="preserve">17 May 2019:  </w:t>
      </w:r>
    </w:p>
    <w:p w14:paraId="7721032C" w14:textId="77777777" w:rsidR="00CE3227" w:rsidRDefault="00000000">
      <w:pPr>
        <w:spacing w:after="0" w:line="488" w:lineRule="auto"/>
        <w:ind w:left="338" w:right="5559" w:firstLine="360"/>
      </w:pPr>
      <w:r>
        <w:t xml:space="preserve">Average Closing Price – 41.93 </w:t>
      </w:r>
      <w:r>
        <w:rPr>
          <w:rFonts w:ascii="Calibri" w:eastAsia="Calibri" w:hAnsi="Calibri" w:cs="Calibri"/>
        </w:rPr>
        <w:t>●</w:t>
      </w:r>
      <w:r>
        <w:rPr>
          <w:rFonts w:ascii="Arial" w:eastAsia="Arial" w:hAnsi="Arial" w:cs="Arial"/>
        </w:rPr>
        <w:t xml:space="preserve"> </w:t>
      </w:r>
      <w:r>
        <w:rPr>
          <w:b/>
        </w:rPr>
        <w:t xml:space="preserve">5 May 2020:  </w:t>
      </w:r>
    </w:p>
    <w:p w14:paraId="48839BA1" w14:textId="77777777" w:rsidR="00CE3227" w:rsidRDefault="00000000">
      <w:pPr>
        <w:spacing w:after="0" w:line="489" w:lineRule="auto"/>
        <w:ind w:left="338" w:right="5559" w:firstLine="360"/>
      </w:pPr>
      <w:r>
        <w:t xml:space="preserve">Average Closing Price – 11.89 </w:t>
      </w:r>
      <w:r>
        <w:rPr>
          <w:rFonts w:ascii="Calibri" w:eastAsia="Calibri" w:hAnsi="Calibri" w:cs="Calibri"/>
        </w:rPr>
        <w:t>●</w:t>
      </w:r>
      <w:r>
        <w:rPr>
          <w:rFonts w:ascii="Arial" w:eastAsia="Arial" w:hAnsi="Arial" w:cs="Arial"/>
        </w:rPr>
        <w:t xml:space="preserve"> </w:t>
      </w:r>
      <w:r>
        <w:rPr>
          <w:b/>
        </w:rPr>
        <w:t xml:space="preserve">23 June 2022:  </w:t>
      </w:r>
    </w:p>
    <w:p w14:paraId="7BF65803" w14:textId="77777777" w:rsidR="00CE3227" w:rsidRDefault="00000000">
      <w:pPr>
        <w:spacing w:after="194"/>
        <w:ind w:left="708" w:right="113"/>
      </w:pPr>
      <w:r>
        <w:t>Average Closing Price – 45.73</w:t>
      </w:r>
      <w:r>
        <w:rPr>
          <w:sz w:val="22"/>
        </w:rPr>
        <w:t xml:space="preserve"> </w:t>
      </w:r>
    </w:p>
    <w:p w14:paraId="349B53D7" w14:textId="77777777" w:rsidR="00CE3227" w:rsidRDefault="00000000">
      <w:pPr>
        <w:spacing w:after="446" w:line="259" w:lineRule="auto"/>
        <w:ind w:left="274" w:right="0" w:firstLine="0"/>
        <w:jc w:val="left"/>
      </w:pPr>
      <w:r>
        <w:rPr>
          <w:sz w:val="22"/>
        </w:rPr>
        <w:t xml:space="preserve">                     </w:t>
      </w:r>
      <w:r>
        <w:rPr>
          <w:noProof/>
        </w:rPr>
        <w:drawing>
          <wp:inline distT="0" distB="0" distL="0" distR="0" wp14:anchorId="66C028BD" wp14:editId="74E7D95C">
            <wp:extent cx="4162425" cy="1628775"/>
            <wp:effectExtent l="0" t="0" r="0" b="0"/>
            <wp:docPr id="855" name="Picture 855"/>
            <wp:cNvGraphicFramePr/>
            <a:graphic xmlns:a="http://schemas.openxmlformats.org/drawingml/2006/main">
              <a:graphicData uri="http://schemas.openxmlformats.org/drawingml/2006/picture">
                <pic:pic xmlns:pic="http://schemas.openxmlformats.org/drawingml/2006/picture">
                  <pic:nvPicPr>
                    <pic:cNvPr id="855" name="Picture 855"/>
                    <pic:cNvPicPr/>
                  </pic:nvPicPr>
                  <pic:blipFill>
                    <a:blip r:embed="rId15"/>
                    <a:stretch>
                      <a:fillRect/>
                    </a:stretch>
                  </pic:blipFill>
                  <pic:spPr>
                    <a:xfrm>
                      <a:off x="0" y="0"/>
                      <a:ext cx="4162425" cy="1628775"/>
                    </a:xfrm>
                    <a:prstGeom prst="rect">
                      <a:avLst/>
                    </a:prstGeom>
                  </pic:spPr>
                </pic:pic>
              </a:graphicData>
            </a:graphic>
          </wp:inline>
        </w:drawing>
      </w:r>
      <w:r>
        <w:rPr>
          <w:sz w:val="22"/>
        </w:rPr>
        <w:t xml:space="preserve"> </w:t>
      </w:r>
    </w:p>
    <w:p w14:paraId="45EC368C" w14:textId="77777777" w:rsidR="00CE3227" w:rsidRDefault="00000000">
      <w:pPr>
        <w:spacing w:after="214" w:line="259" w:lineRule="auto"/>
        <w:ind w:left="1163" w:right="1281"/>
        <w:jc w:val="center"/>
      </w:pPr>
      <w:r>
        <w:rPr>
          <w:b/>
          <w:i/>
          <w:sz w:val="20"/>
        </w:rPr>
        <w:t xml:space="preserve">             Figure 3.3.: Average Close Price by Date </w:t>
      </w:r>
    </w:p>
    <w:p w14:paraId="11F571BA" w14:textId="77777777" w:rsidR="00CE3227" w:rsidRDefault="00000000">
      <w:pPr>
        <w:pStyle w:val="Heading4"/>
        <w:tabs>
          <w:tab w:val="center" w:pos="1503"/>
          <w:tab w:val="center" w:pos="3492"/>
        </w:tabs>
        <w:spacing w:after="456"/>
        <w:ind w:left="0" w:firstLine="0"/>
      </w:pPr>
      <w:bookmarkStart w:id="14" w:name="_Toc24477"/>
      <w:r>
        <w:rPr>
          <w:rFonts w:ascii="Calibri" w:eastAsia="Calibri" w:hAnsi="Calibri" w:cs="Calibri"/>
          <w:b w:val="0"/>
          <w:sz w:val="22"/>
        </w:rPr>
        <w:lastRenderedPageBreak/>
        <w:tab/>
      </w:r>
      <w:r>
        <w:t>3.1.4.</w:t>
      </w:r>
      <w:r>
        <w:rPr>
          <w:rFonts w:ascii="Arial" w:eastAsia="Arial" w:hAnsi="Arial" w:cs="Arial"/>
        </w:rPr>
        <w:t xml:space="preserve"> </w:t>
      </w:r>
      <w:r>
        <w:rPr>
          <w:rFonts w:ascii="Arial" w:eastAsia="Arial" w:hAnsi="Arial" w:cs="Arial"/>
        </w:rPr>
        <w:tab/>
      </w:r>
      <w:r>
        <w:t xml:space="preserve">Overall Volume by Date: </w:t>
      </w:r>
      <w:bookmarkEnd w:id="14"/>
    </w:p>
    <w:p w14:paraId="1018B062" w14:textId="77777777" w:rsidR="00CE3227" w:rsidRDefault="00000000">
      <w:pPr>
        <w:spacing w:after="0" w:line="477" w:lineRule="auto"/>
        <w:ind w:left="-5" w:right="113"/>
      </w:pPr>
      <w:r>
        <w:t xml:space="preserve">The analysis of total volume plays a vital role in market analysis. In August 2000, the total volume was 79,385, and the following years experienced fluctuations. In January 2000, the volume turned out to be 1,458,804. In April 2011 volume increased by 1,907,340. After some fluctuations, in January 2015 market volume increased by 2,169,400, soon after which it reached the peak during the global pandemic in April 2020. In July 2022 the volume stood at </w:t>
      </w:r>
    </w:p>
    <w:p w14:paraId="1E3361D7" w14:textId="77777777" w:rsidR="00CE3227" w:rsidRDefault="00000000">
      <w:pPr>
        <w:spacing w:after="284"/>
        <w:ind w:left="-5" w:right="113"/>
      </w:pPr>
      <w:r>
        <w:t xml:space="preserve">2,688,200.  </w:t>
      </w:r>
    </w:p>
    <w:p w14:paraId="343D3E76" w14:textId="77777777" w:rsidR="00CE3227" w:rsidRDefault="00000000">
      <w:pPr>
        <w:spacing w:after="251"/>
        <w:ind w:left="333" w:right="0"/>
        <w:jc w:val="left"/>
      </w:pPr>
      <w:r>
        <w:rPr>
          <w:rFonts w:ascii="Calibri" w:eastAsia="Calibri" w:hAnsi="Calibri" w:cs="Calibri"/>
        </w:rPr>
        <w:t>●</w:t>
      </w:r>
      <w:r>
        <w:rPr>
          <w:rFonts w:ascii="Arial" w:eastAsia="Arial" w:hAnsi="Arial" w:cs="Arial"/>
        </w:rPr>
        <w:t xml:space="preserve"> </w:t>
      </w:r>
      <w:r>
        <w:rPr>
          <w:b/>
        </w:rPr>
        <w:t xml:space="preserve">23 August 2000: </w:t>
      </w:r>
    </w:p>
    <w:p w14:paraId="2C92080A" w14:textId="77777777" w:rsidR="00CE3227" w:rsidRDefault="00000000">
      <w:pPr>
        <w:spacing w:after="0" w:line="489" w:lineRule="auto"/>
        <w:ind w:left="338" w:right="6322" w:firstLine="360"/>
      </w:pPr>
      <w:r>
        <w:t xml:space="preserve">Total Volume – 79385 </w:t>
      </w:r>
      <w:r>
        <w:rPr>
          <w:rFonts w:ascii="Calibri" w:eastAsia="Calibri" w:hAnsi="Calibri" w:cs="Calibri"/>
        </w:rPr>
        <w:t>●</w:t>
      </w:r>
      <w:r>
        <w:rPr>
          <w:rFonts w:ascii="Arial" w:eastAsia="Arial" w:hAnsi="Arial" w:cs="Arial"/>
        </w:rPr>
        <w:t xml:space="preserve"> </w:t>
      </w:r>
      <w:r>
        <w:rPr>
          <w:b/>
        </w:rPr>
        <w:t xml:space="preserve">17 January 2007: </w:t>
      </w:r>
    </w:p>
    <w:p w14:paraId="794B32EF" w14:textId="77777777" w:rsidR="00CE3227" w:rsidRDefault="00000000">
      <w:pPr>
        <w:spacing w:after="0" w:line="489" w:lineRule="auto"/>
        <w:ind w:left="338" w:right="5957" w:firstLine="360"/>
      </w:pPr>
      <w:r>
        <w:t xml:space="preserve">Total Volume – 1,458,804 </w:t>
      </w:r>
      <w:r>
        <w:rPr>
          <w:rFonts w:ascii="Calibri" w:eastAsia="Calibri" w:hAnsi="Calibri" w:cs="Calibri"/>
        </w:rPr>
        <w:t>●</w:t>
      </w:r>
      <w:r>
        <w:rPr>
          <w:rFonts w:ascii="Arial" w:eastAsia="Arial" w:hAnsi="Arial" w:cs="Arial"/>
        </w:rPr>
        <w:t xml:space="preserve"> </w:t>
      </w:r>
      <w:r>
        <w:rPr>
          <w:b/>
        </w:rPr>
        <w:t xml:space="preserve">26 April 2011: </w:t>
      </w:r>
    </w:p>
    <w:p w14:paraId="54EDE9B8" w14:textId="77777777" w:rsidR="00CE3227" w:rsidRDefault="00000000">
      <w:pPr>
        <w:spacing w:after="0" w:line="487" w:lineRule="auto"/>
        <w:ind w:left="338" w:right="5957" w:firstLine="360"/>
      </w:pPr>
      <w:r>
        <w:t xml:space="preserve">Total Volume – 1,907,340 </w:t>
      </w:r>
      <w:r>
        <w:rPr>
          <w:rFonts w:ascii="Calibri" w:eastAsia="Calibri" w:hAnsi="Calibri" w:cs="Calibri"/>
        </w:rPr>
        <w:t>●</w:t>
      </w:r>
      <w:r>
        <w:rPr>
          <w:rFonts w:ascii="Arial" w:eastAsia="Arial" w:hAnsi="Arial" w:cs="Arial"/>
        </w:rPr>
        <w:t xml:space="preserve"> </w:t>
      </w:r>
      <w:r>
        <w:rPr>
          <w:b/>
        </w:rPr>
        <w:t xml:space="preserve">27 January 2015: </w:t>
      </w:r>
    </w:p>
    <w:p w14:paraId="462C0B17" w14:textId="77777777" w:rsidR="00CE3227" w:rsidRDefault="00000000">
      <w:pPr>
        <w:spacing w:after="0" w:line="487" w:lineRule="auto"/>
        <w:ind w:left="338" w:right="5957" w:firstLine="360"/>
      </w:pPr>
      <w:r>
        <w:t xml:space="preserve">Total Volume – 2,169,400 </w:t>
      </w:r>
      <w:r>
        <w:rPr>
          <w:rFonts w:ascii="Calibri" w:eastAsia="Calibri" w:hAnsi="Calibri" w:cs="Calibri"/>
        </w:rPr>
        <w:t>●</w:t>
      </w:r>
      <w:r>
        <w:rPr>
          <w:rFonts w:ascii="Arial" w:eastAsia="Arial" w:hAnsi="Arial" w:cs="Arial"/>
        </w:rPr>
        <w:t xml:space="preserve"> </w:t>
      </w:r>
      <w:r>
        <w:rPr>
          <w:b/>
        </w:rPr>
        <w:t xml:space="preserve">4 August 2017: </w:t>
      </w:r>
    </w:p>
    <w:p w14:paraId="22B243A1" w14:textId="77777777" w:rsidR="00CE3227" w:rsidRDefault="00000000">
      <w:pPr>
        <w:spacing w:after="0" w:line="487" w:lineRule="auto"/>
        <w:ind w:left="338" w:right="5957" w:firstLine="360"/>
      </w:pPr>
      <w:r>
        <w:t xml:space="preserve">Total Volume – 4,950,880 </w:t>
      </w:r>
      <w:r>
        <w:rPr>
          <w:rFonts w:ascii="Calibri" w:eastAsia="Calibri" w:hAnsi="Calibri" w:cs="Calibri"/>
        </w:rPr>
        <w:t>●</w:t>
      </w:r>
      <w:r>
        <w:rPr>
          <w:rFonts w:ascii="Arial" w:eastAsia="Arial" w:hAnsi="Arial" w:cs="Arial"/>
        </w:rPr>
        <w:t xml:space="preserve"> </w:t>
      </w:r>
      <w:r>
        <w:rPr>
          <w:b/>
        </w:rPr>
        <w:t xml:space="preserve">28 April 2000: </w:t>
      </w:r>
    </w:p>
    <w:p w14:paraId="2BD93BE6" w14:textId="77777777" w:rsidR="00CE3227" w:rsidRDefault="00000000">
      <w:pPr>
        <w:spacing w:after="0" w:line="486" w:lineRule="auto"/>
        <w:ind w:left="338" w:right="5957" w:firstLine="360"/>
      </w:pPr>
      <w:r>
        <w:t xml:space="preserve">Total Volume – 5,532,020 </w:t>
      </w:r>
      <w:r>
        <w:rPr>
          <w:rFonts w:ascii="Calibri" w:eastAsia="Calibri" w:hAnsi="Calibri" w:cs="Calibri"/>
        </w:rPr>
        <w:t>●</w:t>
      </w:r>
      <w:r>
        <w:rPr>
          <w:rFonts w:ascii="Arial" w:eastAsia="Arial" w:hAnsi="Arial" w:cs="Arial"/>
        </w:rPr>
        <w:t xml:space="preserve"> </w:t>
      </w:r>
      <w:r>
        <w:rPr>
          <w:b/>
        </w:rPr>
        <w:t xml:space="preserve">8 July 2021: </w:t>
      </w:r>
    </w:p>
    <w:p w14:paraId="47DBBA2D" w14:textId="77777777" w:rsidR="00CE3227" w:rsidRDefault="00000000">
      <w:pPr>
        <w:ind w:left="708" w:right="113"/>
      </w:pPr>
      <w:r>
        <w:t>Total Volume – 2,688,200</w:t>
      </w:r>
      <w:r>
        <w:rPr>
          <w:sz w:val="22"/>
        </w:rPr>
        <w:t xml:space="preserve"> </w:t>
      </w:r>
    </w:p>
    <w:p w14:paraId="53821F19" w14:textId="77777777" w:rsidR="00CE3227" w:rsidRDefault="00000000">
      <w:pPr>
        <w:spacing w:after="196" w:line="259" w:lineRule="auto"/>
        <w:ind w:left="0" w:right="1368" w:firstLine="0"/>
        <w:jc w:val="right"/>
      </w:pPr>
      <w:r>
        <w:rPr>
          <w:noProof/>
        </w:rPr>
        <w:lastRenderedPageBreak/>
        <w:drawing>
          <wp:inline distT="0" distB="0" distL="0" distR="0" wp14:anchorId="7D8AA48A" wp14:editId="4AD747BB">
            <wp:extent cx="4229100" cy="1600200"/>
            <wp:effectExtent l="0" t="0" r="0" b="0"/>
            <wp:docPr id="1028" name="Picture 1028"/>
            <wp:cNvGraphicFramePr/>
            <a:graphic xmlns:a="http://schemas.openxmlformats.org/drawingml/2006/main">
              <a:graphicData uri="http://schemas.openxmlformats.org/drawingml/2006/picture">
                <pic:pic xmlns:pic="http://schemas.openxmlformats.org/drawingml/2006/picture">
                  <pic:nvPicPr>
                    <pic:cNvPr id="1028" name="Picture 1028"/>
                    <pic:cNvPicPr/>
                  </pic:nvPicPr>
                  <pic:blipFill>
                    <a:blip r:embed="rId16"/>
                    <a:stretch>
                      <a:fillRect/>
                    </a:stretch>
                  </pic:blipFill>
                  <pic:spPr>
                    <a:xfrm>
                      <a:off x="0" y="0"/>
                      <a:ext cx="4229100" cy="1600200"/>
                    </a:xfrm>
                    <a:prstGeom prst="rect">
                      <a:avLst/>
                    </a:prstGeom>
                  </pic:spPr>
                </pic:pic>
              </a:graphicData>
            </a:graphic>
          </wp:inline>
        </w:drawing>
      </w:r>
      <w:r>
        <w:rPr>
          <w:sz w:val="22"/>
        </w:rPr>
        <w:t xml:space="preserve"> </w:t>
      </w:r>
    </w:p>
    <w:p w14:paraId="41EFD840" w14:textId="77777777" w:rsidR="00CE3227" w:rsidRDefault="00000000">
      <w:pPr>
        <w:spacing w:after="437"/>
        <w:ind w:left="1162" w:right="1275"/>
        <w:jc w:val="center"/>
      </w:pPr>
      <w:r>
        <w:rPr>
          <w:b/>
          <w:i/>
          <w:sz w:val="20"/>
        </w:rPr>
        <w:t xml:space="preserve">Figure 3.4.: </w:t>
      </w:r>
      <w:r>
        <w:rPr>
          <w:i/>
          <w:sz w:val="20"/>
        </w:rPr>
        <w:t>Overall Volume by date</w:t>
      </w:r>
      <w:r>
        <w:rPr>
          <w:i/>
        </w:rPr>
        <w:t xml:space="preserve"> </w:t>
      </w:r>
    </w:p>
    <w:p w14:paraId="2947E4BF" w14:textId="77777777" w:rsidR="00CE3227" w:rsidRDefault="00000000">
      <w:pPr>
        <w:pStyle w:val="Heading4"/>
        <w:tabs>
          <w:tab w:val="center" w:pos="1503"/>
          <w:tab w:val="center" w:pos="5257"/>
        </w:tabs>
        <w:spacing w:after="462" w:line="259" w:lineRule="auto"/>
        <w:ind w:left="0" w:firstLine="0"/>
      </w:pPr>
      <w:bookmarkStart w:id="15" w:name="_Toc24478"/>
      <w:r>
        <w:rPr>
          <w:rFonts w:ascii="Calibri" w:eastAsia="Calibri" w:hAnsi="Calibri" w:cs="Calibri"/>
          <w:b w:val="0"/>
          <w:sz w:val="22"/>
        </w:rPr>
        <w:tab/>
      </w:r>
      <w:r>
        <w:t>3.1.5.</w:t>
      </w:r>
      <w:r>
        <w:rPr>
          <w:rFonts w:ascii="Arial" w:eastAsia="Arial" w:hAnsi="Arial" w:cs="Arial"/>
        </w:rPr>
        <w:t xml:space="preserve"> </w:t>
      </w:r>
      <w:r>
        <w:rPr>
          <w:rFonts w:ascii="Arial" w:eastAsia="Arial" w:hAnsi="Arial" w:cs="Arial"/>
        </w:rPr>
        <w:tab/>
      </w:r>
      <w:r>
        <w:t xml:space="preserve">Date-Wise Percentage Positive Negative Changes Trends </w:t>
      </w:r>
      <w:bookmarkEnd w:id="15"/>
    </w:p>
    <w:p w14:paraId="461F3087" w14:textId="77777777" w:rsidR="00CE3227" w:rsidRDefault="00000000">
      <w:pPr>
        <w:spacing w:after="0" w:line="477" w:lineRule="auto"/>
        <w:ind w:left="-5" w:right="113"/>
      </w:pPr>
      <w:r>
        <w:t xml:space="preserve">The Analysis of date-wise percentage positive negative changes highlights in market shifts and volatility. In 2000, the positive and negative changes in the market started shifting. Due to the global financial crisis the market was at its worst with -5.48% in 2008. Following these few years turned out to be fluctuating in positive and negative swings. In 2011, the market decreased with -32.62% change. In 2011, it rebounded with 44.73%. Year 2022, faced extreme negative decrement with -73.60% creating market turbulence. </w:t>
      </w:r>
    </w:p>
    <w:p w14:paraId="35958D46" w14:textId="77777777" w:rsidR="00CE3227" w:rsidRDefault="00000000">
      <w:pPr>
        <w:spacing w:after="191" w:line="259" w:lineRule="auto"/>
        <w:ind w:left="0" w:right="266" w:firstLine="0"/>
        <w:jc w:val="right"/>
      </w:pPr>
      <w:r>
        <w:rPr>
          <w:noProof/>
        </w:rPr>
        <w:drawing>
          <wp:inline distT="0" distB="0" distL="0" distR="0" wp14:anchorId="3FE7A5AE" wp14:editId="34CBC866">
            <wp:extent cx="5343526" cy="1085215"/>
            <wp:effectExtent l="0" t="0" r="0" b="0"/>
            <wp:docPr id="1030" name="Picture 1030"/>
            <wp:cNvGraphicFramePr/>
            <a:graphic xmlns:a="http://schemas.openxmlformats.org/drawingml/2006/main">
              <a:graphicData uri="http://schemas.openxmlformats.org/drawingml/2006/picture">
                <pic:pic xmlns:pic="http://schemas.openxmlformats.org/drawingml/2006/picture">
                  <pic:nvPicPr>
                    <pic:cNvPr id="1030" name="Picture 1030"/>
                    <pic:cNvPicPr/>
                  </pic:nvPicPr>
                  <pic:blipFill>
                    <a:blip r:embed="rId17"/>
                    <a:stretch>
                      <a:fillRect/>
                    </a:stretch>
                  </pic:blipFill>
                  <pic:spPr>
                    <a:xfrm>
                      <a:off x="0" y="0"/>
                      <a:ext cx="5343526" cy="1085215"/>
                    </a:xfrm>
                    <a:prstGeom prst="rect">
                      <a:avLst/>
                    </a:prstGeom>
                  </pic:spPr>
                </pic:pic>
              </a:graphicData>
            </a:graphic>
          </wp:inline>
        </w:drawing>
      </w:r>
      <w:r>
        <w:rPr>
          <w:sz w:val="22"/>
        </w:rPr>
        <w:t xml:space="preserve"> </w:t>
      </w:r>
    </w:p>
    <w:p w14:paraId="4559954A" w14:textId="77777777" w:rsidR="00CE3227" w:rsidRDefault="00000000">
      <w:pPr>
        <w:spacing w:after="437"/>
        <w:ind w:left="1608" w:right="0"/>
        <w:jc w:val="left"/>
      </w:pPr>
      <w:r>
        <w:rPr>
          <w:b/>
          <w:i/>
        </w:rPr>
        <w:t xml:space="preserve">               </w:t>
      </w:r>
      <w:r>
        <w:rPr>
          <w:b/>
          <w:i/>
          <w:sz w:val="20"/>
        </w:rPr>
        <w:t xml:space="preserve">Figure 3.5.: </w:t>
      </w:r>
      <w:r>
        <w:rPr>
          <w:i/>
          <w:sz w:val="20"/>
        </w:rPr>
        <w:t>Date-wise Percentage Negative and Positive Changes Trends</w:t>
      </w:r>
      <w:r>
        <w:t xml:space="preserve"> </w:t>
      </w:r>
    </w:p>
    <w:p w14:paraId="18C11013" w14:textId="77777777" w:rsidR="00CE3227" w:rsidRDefault="00000000">
      <w:pPr>
        <w:spacing w:after="251"/>
        <w:ind w:left="333" w:right="0"/>
        <w:jc w:val="left"/>
      </w:pPr>
      <w:r>
        <w:rPr>
          <w:rFonts w:ascii="Calibri" w:eastAsia="Calibri" w:hAnsi="Calibri" w:cs="Calibri"/>
        </w:rPr>
        <w:t>●</w:t>
      </w:r>
      <w:r>
        <w:rPr>
          <w:rFonts w:ascii="Arial" w:eastAsia="Arial" w:hAnsi="Arial" w:cs="Arial"/>
        </w:rPr>
        <w:t xml:space="preserve"> </w:t>
      </w:r>
      <w:r>
        <w:rPr>
          <w:b/>
        </w:rPr>
        <w:t xml:space="preserve">Year 2000:  </w:t>
      </w:r>
    </w:p>
    <w:p w14:paraId="41927AB9" w14:textId="77777777" w:rsidR="00CE3227" w:rsidRDefault="00000000">
      <w:pPr>
        <w:spacing w:after="0" w:line="482" w:lineRule="auto"/>
        <w:ind w:left="338" w:right="5235" w:firstLine="360"/>
      </w:pPr>
      <w:r>
        <w:t>Percentage Positive Change: 4.00 Percentage Negative Change: -3.</w:t>
      </w:r>
      <w:proofErr w:type="gramStart"/>
      <w:r>
        <w:t xml:space="preserve">00  </w:t>
      </w:r>
      <w:r>
        <w:rPr>
          <w:rFonts w:ascii="Calibri" w:eastAsia="Calibri" w:hAnsi="Calibri" w:cs="Calibri"/>
        </w:rPr>
        <w:t>●</w:t>
      </w:r>
      <w:proofErr w:type="gramEnd"/>
      <w:r>
        <w:rPr>
          <w:rFonts w:ascii="Arial" w:eastAsia="Arial" w:hAnsi="Arial" w:cs="Arial"/>
        </w:rPr>
        <w:t xml:space="preserve"> </w:t>
      </w:r>
      <w:r>
        <w:rPr>
          <w:b/>
        </w:rPr>
        <w:t xml:space="preserve">Year 2008:  </w:t>
      </w:r>
    </w:p>
    <w:p w14:paraId="2B7AF289" w14:textId="77777777" w:rsidR="00CE3227" w:rsidRDefault="00000000">
      <w:pPr>
        <w:ind w:left="708" w:right="113"/>
      </w:pPr>
      <w:r>
        <w:t xml:space="preserve">Percentage Positive Change: 5.48 </w:t>
      </w:r>
    </w:p>
    <w:p w14:paraId="26B737C1" w14:textId="77777777" w:rsidR="00CE3227" w:rsidRDefault="00000000">
      <w:pPr>
        <w:spacing w:after="0" w:line="486" w:lineRule="auto"/>
        <w:ind w:left="338" w:right="4982" w:firstLine="360"/>
      </w:pPr>
      <w:r>
        <w:lastRenderedPageBreak/>
        <w:t>Percentage Negative Change: -4.</w:t>
      </w:r>
      <w:proofErr w:type="gramStart"/>
      <w:r>
        <w:t xml:space="preserve">48  </w:t>
      </w:r>
      <w:r>
        <w:rPr>
          <w:rFonts w:ascii="Calibri" w:eastAsia="Calibri" w:hAnsi="Calibri" w:cs="Calibri"/>
        </w:rPr>
        <w:t>●</w:t>
      </w:r>
      <w:proofErr w:type="gramEnd"/>
      <w:r>
        <w:rPr>
          <w:rFonts w:ascii="Arial" w:eastAsia="Arial" w:hAnsi="Arial" w:cs="Arial"/>
        </w:rPr>
        <w:t xml:space="preserve"> </w:t>
      </w:r>
      <w:r>
        <w:rPr>
          <w:b/>
        </w:rPr>
        <w:t xml:space="preserve">Year 2011:  </w:t>
      </w:r>
    </w:p>
    <w:p w14:paraId="5DE2B39D" w14:textId="77777777" w:rsidR="00CE3227" w:rsidRDefault="00000000">
      <w:pPr>
        <w:spacing w:after="4" w:line="479" w:lineRule="auto"/>
        <w:ind w:left="323" w:right="4903" w:firstLine="350"/>
        <w:jc w:val="left"/>
      </w:pPr>
      <w:r>
        <w:t xml:space="preserve">Percentage Positive Change: 37.62 Percentage Negative Change: -36.62 </w:t>
      </w:r>
      <w:r>
        <w:rPr>
          <w:rFonts w:ascii="Calibri" w:eastAsia="Calibri" w:hAnsi="Calibri" w:cs="Calibri"/>
        </w:rPr>
        <w:t>●</w:t>
      </w:r>
      <w:r>
        <w:rPr>
          <w:rFonts w:ascii="Arial" w:eastAsia="Arial" w:hAnsi="Arial" w:cs="Arial"/>
        </w:rPr>
        <w:t xml:space="preserve"> </w:t>
      </w:r>
      <w:r>
        <w:rPr>
          <w:b/>
        </w:rPr>
        <w:t xml:space="preserve">Year 2012:  </w:t>
      </w:r>
    </w:p>
    <w:p w14:paraId="5D117955" w14:textId="77777777" w:rsidR="00CE3227" w:rsidRDefault="00000000">
      <w:pPr>
        <w:spacing w:after="4" w:line="479" w:lineRule="auto"/>
        <w:ind w:left="323" w:right="4903" w:firstLine="350"/>
        <w:jc w:val="left"/>
      </w:pPr>
      <w:r>
        <w:t xml:space="preserve">Percentage Positive Change: 44.73 Percentage Negative Change: -43.73 </w:t>
      </w:r>
      <w:r>
        <w:rPr>
          <w:rFonts w:ascii="Calibri" w:eastAsia="Calibri" w:hAnsi="Calibri" w:cs="Calibri"/>
        </w:rPr>
        <w:t>●</w:t>
      </w:r>
      <w:r>
        <w:rPr>
          <w:rFonts w:ascii="Arial" w:eastAsia="Arial" w:hAnsi="Arial" w:cs="Arial"/>
        </w:rPr>
        <w:t xml:space="preserve"> </w:t>
      </w:r>
      <w:r>
        <w:rPr>
          <w:b/>
        </w:rPr>
        <w:t xml:space="preserve">Year 2022:  </w:t>
      </w:r>
    </w:p>
    <w:p w14:paraId="02688FEB" w14:textId="77777777" w:rsidR="00CE3227" w:rsidRDefault="00000000">
      <w:pPr>
        <w:ind w:left="708" w:right="113"/>
      </w:pPr>
      <w:r>
        <w:t xml:space="preserve">Percentage Positive Change: 74.60 </w:t>
      </w:r>
    </w:p>
    <w:p w14:paraId="0065DC47" w14:textId="77777777" w:rsidR="00CE3227" w:rsidRDefault="00000000">
      <w:pPr>
        <w:spacing w:after="212"/>
        <w:ind w:left="708" w:right="113"/>
      </w:pPr>
      <w:r>
        <w:t xml:space="preserve">Percentage Negative Change: -73.60 </w:t>
      </w:r>
      <w:r>
        <w:rPr>
          <w:sz w:val="22"/>
        </w:rPr>
        <w:t xml:space="preserve">                          </w:t>
      </w:r>
      <w:r>
        <w:rPr>
          <w:i/>
          <w:sz w:val="20"/>
        </w:rPr>
        <w:t xml:space="preserve"> </w:t>
      </w:r>
    </w:p>
    <w:p w14:paraId="5EC04238" w14:textId="77777777" w:rsidR="00CE3227" w:rsidRDefault="00000000">
      <w:pPr>
        <w:spacing w:after="484" w:line="259" w:lineRule="auto"/>
        <w:ind w:left="1440" w:right="0" w:firstLine="0"/>
        <w:jc w:val="left"/>
      </w:pPr>
      <w:r>
        <w:rPr>
          <w:i/>
          <w:sz w:val="20"/>
        </w:rPr>
        <w:t xml:space="preserve"> </w:t>
      </w:r>
    </w:p>
    <w:p w14:paraId="10B9588D" w14:textId="77777777" w:rsidR="00CE3227" w:rsidRDefault="00000000">
      <w:pPr>
        <w:tabs>
          <w:tab w:val="center" w:pos="1503"/>
          <w:tab w:val="center" w:pos="4214"/>
        </w:tabs>
        <w:spacing w:after="251"/>
        <w:ind w:left="0" w:right="0" w:firstLine="0"/>
        <w:jc w:val="left"/>
      </w:pPr>
      <w:r>
        <w:rPr>
          <w:rFonts w:ascii="Calibri" w:eastAsia="Calibri" w:hAnsi="Calibri" w:cs="Calibri"/>
          <w:sz w:val="22"/>
        </w:rPr>
        <w:tab/>
      </w:r>
      <w:r>
        <w:rPr>
          <w:b/>
        </w:rPr>
        <w:t>3.1.6.</w:t>
      </w:r>
      <w:r>
        <w:rPr>
          <w:rFonts w:ascii="Arial" w:eastAsia="Arial" w:hAnsi="Arial" w:cs="Arial"/>
          <w:b/>
        </w:rPr>
        <w:t xml:space="preserve"> </w:t>
      </w:r>
      <w:r>
        <w:rPr>
          <w:rFonts w:ascii="Arial" w:eastAsia="Arial" w:hAnsi="Arial" w:cs="Arial"/>
          <w:b/>
        </w:rPr>
        <w:tab/>
      </w:r>
      <w:r>
        <w:rPr>
          <w:b/>
        </w:rPr>
        <w:t xml:space="preserve">Yearly Rolling Average of Close Price: </w:t>
      </w:r>
    </w:p>
    <w:p w14:paraId="3186C641" w14:textId="77777777" w:rsidR="00CE3227" w:rsidRDefault="00000000">
      <w:pPr>
        <w:spacing w:after="0" w:line="476" w:lineRule="auto"/>
        <w:ind w:left="-5" w:right="113"/>
      </w:pPr>
      <w:r>
        <w:t xml:space="preserve">The overview of Year-wise 7 days rolling average of close price provides significant information about market movements. </w:t>
      </w:r>
    </w:p>
    <w:p w14:paraId="1A708BD3" w14:textId="77777777" w:rsidR="00CE3227" w:rsidRDefault="00000000">
      <w:pPr>
        <w:spacing w:after="397" w:line="259" w:lineRule="auto"/>
        <w:ind w:left="0" w:right="1448" w:firstLine="0"/>
        <w:jc w:val="right"/>
      </w:pPr>
      <w:r>
        <w:rPr>
          <w:noProof/>
        </w:rPr>
        <w:drawing>
          <wp:inline distT="0" distB="0" distL="0" distR="0" wp14:anchorId="08D3AFC6" wp14:editId="3C0AF3AE">
            <wp:extent cx="4124325" cy="1562100"/>
            <wp:effectExtent l="0" t="0" r="0" b="0"/>
            <wp:docPr id="1100" name="Picture 1100"/>
            <wp:cNvGraphicFramePr/>
            <a:graphic xmlns:a="http://schemas.openxmlformats.org/drawingml/2006/main">
              <a:graphicData uri="http://schemas.openxmlformats.org/drawingml/2006/picture">
                <pic:pic xmlns:pic="http://schemas.openxmlformats.org/drawingml/2006/picture">
                  <pic:nvPicPr>
                    <pic:cNvPr id="1100" name="Picture 1100"/>
                    <pic:cNvPicPr/>
                  </pic:nvPicPr>
                  <pic:blipFill>
                    <a:blip r:embed="rId18"/>
                    <a:stretch>
                      <a:fillRect/>
                    </a:stretch>
                  </pic:blipFill>
                  <pic:spPr>
                    <a:xfrm>
                      <a:off x="0" y="0"/>
                      <a:ext cx="4124325" cy="1562100"/>
                    </a:xfrm>
                    <a:prstGeom prst="rect">
                      <a:avLst/>
                    </a:prstGeom>
                  </pic:spPr>
                </pic:pic>
              </a:graphicData>
            </a:graphic>
          </wp:inline>
        </w:drawing>
      </w:r>
      <w:r>
        <w:rPr>
          <w:b/>
        </w:rPr>
        <w:t xml:space="preserve"> </w:t>
      </w:r>
    </w:p>
    <w:p w14:paraId="6AB0D9D1" w14:textId="77777777" w:rsidR="00CE3227" w:rsidRDefault="00000000">
      <w:pPr>
        <w:spacing w:after="438"/>
        <w:ind w:left="1162" w:right="1278"/>
        <w:jc w:val="center"/>
      </w:pPr>
      <w:r>
        <w:rPr>
          <w:b/>
          <w:i/>
          <w:sz w:val="20"/>
        </w:rPr>
        <w:t xml:space="preserve">Figure 3.6.: </w:t>
      </w:r>
      <w:r>
        <w:rPr>
          <w:i/>
          <w:sz w:val="20"/>
        </w:rPr>
        <w:t>Yearly Rolling Average of Close Price</w:t>
      </w:r>
      <w:r>
        <w:t xml:space="preserve"> </w:t>
      </w:r>
    </w:p>
    <w:p w14:paraId="1DA121A9" w14:textId="77777777" w:rsidR="00CE3227" w:rsidRDefault="00000000">
      <w:pPr>
        <w:numPr>
          <w:ilvl w:val="0"/>
          <w:numId w:val="3"/>
        </w:numPr>
        <w:spacing w:after="251"/>
        <w:ind w:right="113" w:hanging="360"/>
      </w:pPr>
      <w:r>
        <w:rPr>
          <w:b/>
        </w:rPr>
        <w:t xml:space="preserve">Year 2000: </w:t>
      </w:r>
    </w:p>
    <w:p w14:paraId="4995181A" w14:textId="77777777" w:rsidR="00CE3227" w:rsidRDefault="00000000">
      <w:pPr>
        <w:spacing w:after="35" w:line="476" w:lineRule="auto"/>
        <w:ind w:left="708" w:right="113"/>
      </w:pPr>
      <w:r>
        <w:lastRenderedPageBreak/>
        <w:t xml:space="preserve">In 2000, the 7-day rolling average close price was low at 9.46 but gradually increased over years. </w:t>
      </w:r>
    </w:p>
    <w:p w14:paraId="77CA70C3" w14:textId="77777777" w:rsidR="00CE3227" w:rsidRDefault="00000000">
      <w:pPr>
        <w:numPr>
          <w:ilvl w:val="0"/>
          <w:numId w:val="3"/>
        </w:numPr>
        <w:spacing w:after="251"/>
        <w:ind w:right="113" w:hanging="360"/>
      </w:pPr>
      <w:r>
        <w:rPr>
          <w:b/>
        </w:rPr>
        <w:t xml:space="preserve">Year 2005: </w:t>
      </w:r>
    </w:p>
    <w:p w14:paraId="2C54E872" w14:textId="77777777" w:rsidR="00CE3227" w:rsidRDefault="00000000">
      <w:pPr>
        <w:ind w:left="708" w:right="113"/>
      </w:pPr>
      <w:r>
        <w:t xml:space="preserve">In 2005, the 7-day rolling average close price </w:t>
      </w:r>
    </w:p>
    <w:p w14:paraId="50661DC7" w14:textId="77777777" w:rsidR="00CE3227" w:rsidRDefault="00000000">
      <w:pPr>
        <w:spacing w:after="284"/>
        <w:ind w:left="708" w:right="113"/>
      </w:pPr>
      <w:r>
        <w:t xml:space="preserve"> Reached 18.60. </w:t>
      </w:r>
    </w:p>
    <w:p w14:paraId="78913641" w14:textId="77777777" w:rsidR="00CE3227" w:rsidRDefault="00000000">
      <w:pPr>
        <w:numPr>
          <w:ilvl w:val="0"/>
          <w:numId w:val="3"/>
        </w:numPr>
        <w:spacing w:after="251"/>
        <w:ind w:right="113" w:hanging="360"/>
      </w:pPr>
      <w:r>
        <w:rPr>
          <w:b/>
        </w:rPr>
        <w:t xml:space="preserve">Year 2007: </w:t>
      </w:r>
    </w:p>
    <w:p w14:paraId="75DB4915" w14:textId="77777777" w:rsidR="00CE3227" w:rsidRDefault="00000000">
      <w:pPr>
        <w:spacing w:after="30" w:line="478" w:lineRule="auto"/>
        <w:ind w:left="708" w:right="113"/>
      </w:pPr>
      <w:r>
        <w:t xml:space="preserve">In 2007, the 7-day rolling average close price increased up to 40.53, soon after which it decayed and in 2008 it reached 17.91. </w:t>
      </w:r>
    </w:p>
    <w:p w14:paraId="788F9300" w14:textId="77777777" w:rsidR="00CE3227" w:rsidRDefault="00000000">
      <w:pPr>
        <w:numPr>
          <w:ilvl w:val="0"/>
          <w:numId w:val="3"/>
        </w:numPr>
        <w:spacing w:after="251"/>
        <w:ind w:right="113" w:hanging="360"/>
      </w:pPr>
      <w:r>
        <w:rPr>
          <w:b/>
        </w:rPr>
        <w:t xml:space="preserve">Year 2011: </w:t>
      </w:r>
    </w:p>
    <w:p w14:paraId="37076841" w14:textId="77777777" w:rsidR="00CE3227" w:rsidRDefault="00000000">
      <w:pPr>
        <w:spacing w:after="35" w:line="476" w:lineRule="auto"/>
        <w:ind w:left="708" w:right="113"/>
      </w:pPr>
      <w:r>
        <w:t xml:space="preserve">In 2011, the 7-day rolling average close price experienced a sudden high with 43.30 and in 2013, it touched the peak with 44.24. </w:t>
      </w:r>
    </w:p>
    <w:p w14:paraId="323745D4" w14:textId="77777777" w:rsidR="00CE3227" w:rsidRDefault="00000000">
      <w:pPr>
        <w:numPr>
          <w:ilvl w:val="0"/>
          <w:numId w:val="3"/>
        </w:numPr>
        <w:spacing w:after="251"/>
        <w:ind w:right="113" w:hanging="360"/>
      </w:pPr>
      <w:r>
        <w:rPr>
          <w:b/>
        </w:rPr>
        <w:t xml:space="preserve">Year 2015: </w:t>
      </w:r>
    </w:p>
    <w:p w14:paraId="0D7EA30C" w14:textId="77777777" w:rsidR="00CE3227" w:rsidRDefault="00000000">
      <w:pPr>
        <w:spacing w:after="284"/>
        <w:ind w:left="708" w:right="113"/>
      </w:pPr>
      <w:r>
        <w:t xml:space="preserve">In 2015, the 7-day rolling average close price experienced a temporary decline.  </w:t>
      </w:r>
    </w:p>
    <w:p w14:paraId="4E41AC58" w14:textId="77777777" w:rsidR="00CE3227" w:rsidRDefault="00000000">
      <w:pPr>
        <w:numPr>
          <w:ilvl w:val="0"/>
          <w:numId w:val="3"/>
        </w:numPr>
        <w:spacing w:after="251"/>
        <w:ind w:right="113" w:hanging="360"/>
      </w:pPr>
      <w:r>
        <w:rPr>
          <w:b/>
        </w:rPr>
        <w:t xml:space="preserve">Year 2022: </w:t>
      </w:r>
    </w:p>
    <w:p w14:paraId="487D9385" w14:textId="77777777" w:rsidR="00CE3227" w:rsidRDefault="00000000">
      <w:pPr>
        <w:spacing w:after="32" w:line="477" w:lineRule="auto"/>
        <w:ind w:left="708" w:right="113"/>
      </w:pPr>
      <w:r>
        <w:t>In 2022, the 7-day rolling average close price reached 34.74 and renewed positive momentum.</w:t>
      </w:r>
      <w:r>
        <w:rPr>
          <w:i/>
          <w:sz w:val="20"/>
        </w:rPr>
        <w:t xml:space="preserve"> </w:t>
      </w:r>
    </w:p>
    <w:p w14:paraId="14913035" w14:textId="77777777" w:rsidR="00CE3227" w:rsidRDefault="00000000">
      <w:pPr>
        <w:tabs>
          <w:tab w:val="center" w:pos="1503"/>
          <w:tab w:val="center" w:pos="3963"/>
        </w:tabs>
        <w:spacing w:after="251"/>
        <w:ind w:left="0" w:right="0" w:firstLine="0"/>
        <w:jc w:val="left"/>
      </w:pPr>
      <w:r>
        <w:rPr>
          <w:rFonts w:ascii="Calibri" w:eastAsia="Calibri" w:hAnsi="Calibri" w:cs="Calibri"/>
          <w:sz w:val="22"/>
        </w:rPr>
        <w:tab/>
      </w:r>
      <w:r>
        <w:rPr>
          <w:b/>
        </w:rPr>
        <w:t>3.1.7.</w:t>
      </w:r>
      <w:r>
        <w:rPr>
          <w:rFonts w:ascii="Arial" w:eastAsia="Arial" w:hAnsi="Arial" w:cs="Arial"/>
          <w:b/>
        </w:rPr>
        <w:t xml:space="preserve"> </w:t>
      </w:r>
      <w:r>
        <w:rPr>
          <w:rFonts w:ascii="Arial" w:eastAsia="Arial" w:hAnsi="Arial" w:cs="Arial"/>
          <w:b/>
        </w:rPr>
        <w:tab/>
      </w:r>
      <w:r>
        <w:rPr>
          <w:b/>
        </w:rPr>
        <w:t xml:space="preserve">Aggregated High and Low prices: </w:t>
      </w:r>
    </w:p>
    <w:p w14:paraId="20F32165" w14:textId="77777777" w:rsidR="00CE3227" w:rsidRDefault="00000000">
      <w:pPr>
        <w:spacing w:after="2" w:line="476" w:lineRule="auto"/>
        <w:ind w:left="-5" w:right="113"/>
      </w:pPr>
      <w:r>
        <w:t xml:space="preserve">The overview of monthly aggregated high and low prices highlights seasonal information about fuel movements. </w:t>
      </w:r>
    </w:p>
    <w:p w14:paraId="2A54E5C0" w14:textId="77777777" w:rsidR="00CE3227" w:rsidRDefault="00000000">
      <w:pPr>
        <w:ind w:left="-5" w:right="113"/>
      </w:pPr>
      <w:r>
        <w:t xml:space="preserve">Months: </w:t>
      </w:r>
    </w:p>
    <w:p w14:paraId="15FECA39" w14:textId="77777777" w:rsidR="00CE3227" w:rsidRDefault="00000000">
      <w:pPr>
        <w:spacing w:after="285"/>
        <w:ind w:left="-5" w:right="113"/>
      </w:pPr>
      <w:r>
        <w:t xml:space="preserve">February: The second month mostly have dip in both high and low prices.  </w:t>
      </w:r>
    </w:p>
    <w:p w14:paraId="6AA0AD85" w14:textId="77777777" w:rsidR="00CE3227" w:rsidRDefault="00000000">
      <w:pPr>
        <w:numPr>
          <w:ilvl w:val="0"/>
          <w:numId w:val="3"/>
        </w:numPr>
        <w:spacing w:after="283"/>
        <w:ind w:right="113" w:hanging="360"/>
      </w:pPr>
      <w:r>
        <w:t xml:space="preserve">Sum of High - 2,68,317.39 </w:t>
      </w:r>
    </w:p>
    <w:p w14:paraId="312DA5BA" w14:textId="77777777" w:rsidR="00CE3227" w:rsidRDefault="00000000">
      <w:pPr>
        <w:numPr>
          <w:ilvl w:val="0"/>
          <w:numId w:val="3"/>
        </w:numPr>
        <w:ind w:right="113" w:hanging="360"/>
      </w:pPr>
      <w:r>
        <w:t xml:space="preserve">Sum of Low – 2,60,551.36 </w:t>
      </w:r>
    </w:p>
    <w:p w14:paraId="3F3BA551" w14:textId="77777777" w:rsidR="00CE3227" w:rsidRDefault="00000000">
      <w:pPr>
        <w:spacing w:after="35" w:line="476" w:lineRule="auto"/>
        <w:ind w:left="-5" w:right="113"/>
      </w:pPr>
      <w:r>
        <w:lastRenderedPageBreak/>
        <w:t xml:space="preserve">August: Price abruptly increased during August reaching its peak, which indicates rising behaviour during summer. </w:t>
      </w:r>
    </w:p>
    <w:p w14:paraId="6E41D89C" w14:textId="77777777" w:rsidR="00CE3227" w:rsidRDefault="00000000">
      <w:pPr>
        <w:numPr>
          <w:ilvl w:val="0"/>
          <w:numId w:val="3"/>
        </w:numPr>
        <w:spacing w:after="282"/>
        <w:ind w:right="113" w:hanging="360"/>
      </w:pPr>
      <w:r>
        <w:t xml:space="preserve">Sum of High – 3,37,456.76 </w:t>
      </w:r>
    </w:p>
    <w:p w14:paraId="6F1FBDBF" w14:textId="77777777" w:rsidR="00CE3227" w:rsidRDefault="00000000">
      <w:pPr>
        <w:numPr>
          <w:ilvl w:val="0"/>
          <w:numId w:val="3"/>
        </w:numPr>
        <w:ind w:right="113" w:hanging="360"/>
      </w:pPr>
      <w:r>
        <w:t xml:space="preserve">Sum of Low – 3,28,199.90 </w:t>
      </w:r>
    </w:p>
    <w:p w14:paraId="2FBF49F0" w14:textId="77777777" w:rsidR="00CE3227" w:rsidRDefault="00000000">
      <w:pPr>
        <w:spacing w:after="282"/>
        <w:ind w:left="-5" w:right="113"/>
      </w:pPr>
      <w:r>
        <w:t xml:space="preserve">December: This month values show that the year ends with stable market values. </w:t>
      </w:r>
    </w:p>
    <w:p w14:paraId="58845846" w14:textId="77777777" w:rsidR="00CE3227" w:rsidRDefault="00000000">
      <w:pPr>
        <w:numPr>
          <w:ilvl w:val="0"/>
          <w:numId w:val="3"/>
        </w:numPr>
        <w:spacing w:after="281"/>
        <w:ind w:right="113" w:hanging="360"/>
      </w:pPr>
      <w:r>
        <w:t xml:space="preserve">Sum of High - 2,96,942.10 </w:t>
      </w:r>
    </w:p>
    <w:p w14:paraId="683B5855" w14:textId="77777777" w:rsidR="00CE3227" w:rsidRDefault="00000000">
      <w:pPr>
        <w:numPr>
          <w:ilvl w:val="0"/>
          <w:numId w:val="3"/>
        </w:numPr>
        <w:spacing w:after="209"/>
        <w:ind w:right="113" w:hanging="360"/>
      </w:pPr>
      <w:r>
        <w:t xml:space="preserve">Sum of Low – 2,88,380.73 </w:t>
      </w:r>
    </w:p>
    <w:p w14:paraId="47B8AC17" w14:textId="77777777" w:rsidR="00CE3227" w:rsidRDefault="00000000">
      <w:pPr>
        <w:spacing w:after="364" w:line="259" w:lineRule="auto"/>
        <w:ind w:left="0" w:right="876" w:firstLine="0"/>
        <w:jc w:val="right"/>
      </w:pPr>
      <w:r>
        <w:rPr>
          <w:noProof/>
        </w:rPr>
        <w:drawing>
          <wp:inline distT="0" distB="0" distL="0" distR="0" wp14:anchorId="0B332F42" wp14:editId="45A8B0AC">
            <wp:extent cx="4572000" cy="1590675"/>
            <wp:effectExtent l="0" t="0" r="0" b="0"/>
            <wp:docPr id="1278" name="Picture 1278"/>
            <wp:cNvGraphicFramePr/>
            <a:graphic xmlns:a="http://schemas.openxmlformats.org/drawingml/2006/main">
              <a:graphicData uri="http://schemas.openxmlformats.org/drawingml/2006/picture">
                <pic:pic xmlns:pic="http://schemas.openxmlformats.org/drawingml/2006/picture">
                  <pic:nvPicPr>
                    <pic:cNvPr id="1278" name="Picture 1278"/>
                    <pic:cNvPicPr/>
                  </pic:nvPicPr>
                  <pic:blipFill>
                    <a:blip r:embed="rId19"/>
                    <a:stretch>
                      <a:fillRect/>
                    </a:stretch>
                  </pic:blipFill>
                  <pic:spPr>
                    <a:xfrm>
                      <a:off x="0" y="0"/>
                      <a:ext cx="4572000" cy="1590675"/>
                    </a:xfrm>
                    <a:prstGeom prst="rect">
                      <a:avLst/>
                    </a:prstGeom>
                  </pic:spPr>
                </pic:pic>
              </a:graphicData>
            </a:graphic>
          </wp:inline>
        </w:drawing>
      </w:r>
      <w:r>
        <w:t xml:space="preserve"> </w:t>
      </w:r>
    </w:p>
    <w:p w14:paraId="12AEC7D3" w14:textId="77777777" w:rsidR="00CE3227" w:rsidRDefault="00000000">
      <w:pPr>
        <w:spacing w:after="411"/>
        <w:ind w:left="1162" w:right="1281"/>
        <w:jc w:val="center"/>
      </w:pPr>
      <w:r>
        <w:rPr>
          <w:b/>
          <w:i/>
          <w:sz w:val="20"/>
        </w:rPr>
        <w:t xml:space="preserve">Figure 3.7.: </w:t>
      </w:r>
      <w:r>
        <w:rPr>
          <w:i/>
          <w:sz w:val="20"/>
        </w:rPr>
        <w:t xml:space="preserve">Aggregated high and low prices </w:t>
      </w:r>
    </w:p>
    <w:p w14:paraId="5634987B" w14:textId="77777777" w:rsidR="00CE3227" w:rsidRDefault="00000000">
      <w:pPr>
        <w:spacing w:after="482" w:line="259" w:lineRule="auto"/>
        <w:ind w:left="1364" w:right="0" w:firstLine="0"/>
        <w:jc w:val="center"/>
      </w:pPr>
      <w:r>
        <w:rPr>
          <w:i/>
          <w:sz w:val="20"/>
        </w:rPr>
        <w:t xml:space="preserve"> </w:t>
      </w:r>
    </w:p>
    <w:p w14:paraId="3ACA94AE" w14:textId="77777777" w:rsidR="00CE3227" w:rsidRDefault="00000000">
      <w:pPr>
        <w:tabs>
          <w:tab w:val="center" w:pos="1503"/>
          <w:tab w:val="center" w:pos="4515"/>
        </w:tabs>
        <w:spacing w:after="251"/>
        <w:ind w:left="0" w:right="0" w:firstLine="0"/>
        <w:jc w:val="left"/>
      </w:pPr>
      <w:r>
        <w:rPr>
          <w:rFonts w:ascii="Calibri" w:eastAsia="Calibri" w:hAnsi="Calibri" w:cs="Calibri"/>
          <w:sz w:val="22"/>
        </w:rPr>
        <w:tab/>
      </w:r>
      <w:r>
        <w:rPr>
          <w:b/>
        </w:rPr>
        <w:t>3.1.8.</w:t>
      </w:r>
      <w:r>
        <w:rPr>
          <w:rFonts w:ascii="Arial" w:eastAsia="Arial" w:hAnsi="Arial" w:cs="Arial"/>
          <w:b/>
        </w:rPr>
        <w:t xml:space="preserve"> </w:t>
      </w:r>
      <w:r>
        <w:rPr>
          <w:rFonts w:ascii="Arial" w:eastAsia="Arial" w:hAnsi="Arial" w:cs="Arial"/>
          <w:b/>
        </w:rPr>
        <w:tab/>
      </w:r>
      <w:r>
        <w:rPr>
          <w:b/>
        </w:rPr>
        <w:t xml:space="preserve">Top 10 Year-wise Analysis: Open and Close </w:t>
      </w:r>
    </w:p>
    <w:p w14:paraId="08B6A391" w14:textId="77777777" w:rsidR="00CE3227" w:rsidRDefault="00000000">
      <w:pPr>
        <w:spacing w:after="34" w:line="476" w:lineRule="auto"/>
        <w:ind w:left="-5" w:right="113"/>
      </w:pPr>
      <w:r>
        <w:t xml:space="preserve">The overview of Yearly analysis of Open and Close prices provides an important insight which helps in further decision-making. </w:t>
      </w:r>
    </w:p>
    <w:p w14:paraId="61ADA8AC" w14:textId="77777777" w:rsidR="00CE3227" w:rsidRDefault="00000000">
      <w:pPr>
        <w:numPr>
          <w:ilvl w:val="0"/>
          <w:numId w:val="3"/>
        </w:numPr>
        <w:spacing w:after="251"/>
        <w:ind w:right="113" w:hanging="360"/>
      </w:pPr>
      <w:r>
        <w:rPr>
          <w:b/>
        </w:rPr>
        <w:t xml:space="preserve">2008:  </w:t>
      </w:r>
    </w:p>
    <w:p w14:paraId="5E2CB4C3" w14:textId="77777777" w:rsidR="00CE3227" w:rsidRDefault="00000000">
      <w:pPr>
        <w:ind w:left="708" w:right="113"/>
      </w:pPr>
      <w:r>
        <w:t xml:space="preserve">Year 2008 experience increased volatility with open and close prices </w:t>
      </w:r>
    </w:p>
    <w:p w14:paraId="741F745A" w14:textId="77777777" w:rsidR="00CE3227" w:rsidRDefault="00000000">
      <w:pPr>
        <w:spacing w:after="30" w:line="478" w:lineRule="auto"/>
        <w:ind w:left="708" w:right="6753"/>
      </w:pPr>
      <w:r>
        <w:t xml:space="preserve">Close – 7.03% Open – 7.05%  </w:t>
      </w:r>
    </w:p>
    <w:p w14:paraId="75BFA6E4" w14:textId="77777777" w:rsidR="00CE3227" w:rsidRDefault="00000000">
      <w:pPr>
        <w:numPr>
          <w:ilvl w:val="0"/>
          <w:numId w:val="3"/>
        </w:numPr>
        <w:spacing w:after="251"/>
        <w:ind w:right="113" w:hanging="360"/>
      </w:pPr>
      <w:r>
        <w:rPr>
          <w:b/>
        </w:rPr>
        <w:t xml:space="preserve">2010:  </w:t>
      </w:r>
    </w:p>
    <w:p w14:paraId="54725EF4" w14:textId="77777777" w:rsidR="00CE3227" w:rsidRDefault="00000000">
      <w:pPr>
        <w:ind w:left="708" w:right="113"/>
      </w:pPr>
      <w:r>
        <w:lastRenderedPageBreak/>
        <w:t xml:space="preserve">Year 2010 experience stability with open and close prices </w:t>
      </w:r>
    </w:p>
    <w:p w14:paraId="42B1A6A9" w14:textId="77777777" w:rsidR="00CE3227" w:rsidRDefault="00000000">
      <w:pPr>
        <w:spacing w:after="29" w:line="478" w:lineRule="auto"/>
        <w:ind w:left="708" w:right="6753"/>
      </w:pPr>
      <w:r>
        <w:t xml:space="preserve">Close – 5.56% Open – 5.55%  </w:t>
      </w:r>
    </w:p>
    <w:p w14:paraId="34536A13" w14:textId="77777777" w:rsidR="00CE3227" w:rsidRDefault="00000000">
      <w:pPr>
        <w:numPr>
          <w:ilvl w:val="0"/>
          <w:numId w:val="3"/>
        </w:numPr>
        <w:spacing w:after="251"/>
        <w:ind w:right="113" w:hanging="360"/>
      </w:pPr>
      <w:r>
        <w:rPr>
          <w:b/>
        </w:rPr>
        <w:t xml:space="preserve">2015:  </w:t>
      </w:r>
    </w:p>
    <w:p w14:paraId="7F193C15" w14:textId="77777777" w:rsidR="00CE3227" w:rsidRDefault="00000000">
      <w:pPr>
        <w:ind w:left="708" w:right="113"/>
      </w:pPr>
      <w:r>
        <w:t xml:space="preserve">Year 2015 experience dip in open and close prices </w:t>
      </w:r>
    </w:p>
    <w:p w14:paraId="0622E206" w14:textId="77777777" w:rsidR="00CE3227" w:rsidRDefault="00000000">
      <w:pPr>
        <w:spacing w:after="34" w:line="476" w:lineRule="auto"/>
        <w:ind w:left="708" w:right="6753"/>
      </w:pPr>
      <w:r>
        <w:t xml:space="preserve">Close – 3.58% Open – 3.59%  </w:t>
      </w:r>
    </w:p>
    <w:p w14:paraId="0345C558" w14:textId="77777777" w:rsidR="00CE3227" w:rsidRDefault="00000000">
      <w:pPr>
        <w:numPr>
          <w:ilvl w:val="0"/>
          <w:numId w:val="3"/>
        </w:numPr>
        <w:spacing w:after="251"/>
        <w:ind w:right="113" w:hanging="360"/>
      </w:pPr>
      <w:r>
        <w:rPr>
          <w:b/>
        </w:rPr>
        <w:t xml:space="preserve">2020:  </w:t>
      </w:r>
    </w:p>
    <w:p w14:paraId="26B0672F" w14:textId="77777777" w:rsidR="00CE3227" w:rsidRDefault="00000000">
      <w:pPr>
        <w:spacing w:after="0" w:line="478" w:lineRule="auto"/>
        <w:ind w:left="708" w:right="113"/>
      </w:pPr>
      <w:r>
        <w:t xml:space="preserve">Year 2020 also experienced decrease in open and close prices, mostly due to global pandemic  </w:t>
      </w:r>
    </w:p>
    <w:p w14:paraId="587341FA" w14:textId="77777777" w:rsidR="00CE3227" w:rsidRDefault="00000000">
      <w:pPr>
        <w:ind w:left="708" w:right="113"/>
      </w:pPr>
      <w:r>
        <w:t xml:space="preserve">Close – 2.88% </w:t>
      </w:r>
    </w:p>
    <w:p w14:paraId="58B704BC" w14:textId="77777777" w:rsidR="00CE3227" w:rsidRDefault="00000000">
      <w:pPr>
        <w:spacing w:after="207"/>
        <w:ind w:left="708" w:right="113"/>
      </w:pPr>
      <w:r>
        <w:t xml:space="preserve">Open – 2.87%  </w:t>
      </w:r>
    </w:p>
    <w:p w14:paraId="003D963D" w14:textId="77777777" w:rsidR="00CE3227" w:rsidRDefault="00000000">
      <w:pPr>
        <w:spacing w:after="0" w:line="431" w:lineRule="auto"/>
        <w:ind w:left="2835" w:right="1618" w:firstLine="0"/>
        <w:jc w:val="right"/>
      </w:pPr>
      <w:r>
        <w:rPr>
          <w:noProof/>
        </w:rPr>
        <w:drawing>
          <wp:inline distT="0" distB="0" distL="0" distR="0" wp14:anchorId="738E8B13" wp14:editId="3E7A5AE1">
            <wp:extent cx="3160268" cy="3373755"/>
            <wp:effectExtent l="0" t="0" r="0" b="0"/>
            <wp:docPr id="1341" name="Picture 1341"/>
            <wp:cNvGraphicFramePr/>
            <a:graphic xmlns:a="http://schemas.openxmlformats.org/drawingml/2006/main">
              <a:graphicData uri="http://schemas.openxmlformats.org/drawingml/2006/picture">
                <pic:pic xmlns:pic="http://schemas.openxmlformats.org/drawingml/2006/picture">
                  <pic:nvPicPr>
                    <pic:cNvPr id="1341" name="Picture 1341"/>
                    <pic:cNvPicPr/>
                  </pic:nvPicPr>
                  <pic:blipFill>
                    <a:blip r:embed="rId20"/>
                    <a:stretch>
                      <a:fillRect/>
                    </a:stretch>
                  </pic:blipFill>
                  <pic:spPr>
                    <a:xfrm>
                      <a:off x="0" y="0"/>
                      <a:ext cx="3160268" cy="3373755"/>
                    </a:xfrm>
                    <a:prstGeom prst="rect">
                      <a:avLst/>
                    </a:prstGeom>
                  </pic:spPr>
                </pic:pic>
              </a:graphicData>
            </a:graphic>
          </wp:inline>
        </w:drawing>
      </w:r>
      <w:r>
        <w:t xml:space="preserve">   </w:t>
      </w:r>
    </w:p>
    <w:p w14:paraId="55B951E3" w14:textId="77777777" w:rsidR="00CE3227" w:rsidRDefault="00000000">
      <w:pPr>
        <w:spacing w:after="236"/>
        <w:ind w:left="1162" w:right="498"/>
        <w:jc w:val="center"/>
      </w:pPr>
      <w:r>
        <w:t xml:space="preserve">          </w:t>
      </w:r>
      <w:r>
        <w:rPr>
          <w:b/>
          <w:i/>
          <w:sz w:val="20"/>
        </w:rPr>
        <w:t xml:space="preserve">Figure 3.8.: </w:t>
      </w:r>
      <w:r>
        <w:rPr>
          <w:i/>
          <w:sz w:val="20"/>
        </w:rPr>
        <w:t xml:space="preserve">Year-wise analysis: Open and Close </w:t>
      </w:r>
    </w:p>
    <w:p w14:paraId="4187665B" w14:textId="77777777" w:rsidR="00CE3227" w:rsidRDefault="00000000">
      <w:pPr>
        <w:tabs>
          <w:tab w:val="center" w:pos="1503"/>
          <w:tab w:val="center" w:pos="4419"/>
        </w:tabs>
        <w:spacing w:after="251"/>
        <w:ind w:left="0" w:right="0" w:firstLine="0"/>
        <w:jc w:val="left"/>
      </w:pPr>
      <w:r>
        <w:rPr>
          <w:rFonts w:ascii="Calibri" w:eastAsia="Calibri" w:hAnsi="Calibri" w:cs="Calibri"/>
          <w:sz w:val="22"/>
        </w:rPr>
        <w:lastRenderedPageBreak/>
        <w:tab/>
      </w:r>
      <w:r>
        <w:rPr>
          <w:b/>
        </w:rPr>
        <w:t>3.1.9.</w:t>
      </w:r>
      <w:r>
        <w:rPr>
          <w:rFonts w:ascii="Arial" w:eastAsia="Arial" w:hAnsi="Arial" w:cs="Arial"/>
          <w:b/>
        </w:rPr>
        <w:t xml:space="preserve"> </w:t>
      </w:r>
      <w:r>
        <w:rPr>
          <w:rFonts w:ascii="Arial" w:eastAsia="Arial" w:hAnsi="Arial" w:cs="Arial"/>
          <w:b/>
        </w:rPr>
        <w:tab/>
      </w:r>
      <w:r>
        <w:rPr>
          <w:b/>
        </w:rPr>
        <w:t xml:space="preserve">Top 10 Year-wise Analysis: High and Low </w:t>
      </w:r>
    </w:p>
    <w:p w14:paraId="026E80B6" w14:textId="77777777" w:rsidR="00CE3227" w:rsidRDefault="00000000">
      <w:pPr>
        <w:spacing w:after="0" w:line="476" w:lineRule="auto"/>
        <w:ind w:left="-5" w:right="113"/>
      </w:pPr>
      <w:r>
        <w:t xml:space="preserve">The overview of Yearly analysis of High and Low prices provides an important insight which helps in further decision-making. </w:t>
      </w:r>
    </w:p>
    <w:p w14:paraId="644C7CD0" w14:textId="77777777" w:rsidR="00CE3227" w:rsidRDefault="00000000">
      <w:pPr>
        <w:spacing w:after="196" w:line="259" w:lineRule="auto"/>
        <w:ind w:left="606" w:right="0" w:firstLine="0"/>
        <w:jc w:val="center"/>
      </w:pPr>
      <w:r>
        <w:rPr>
          <w:noProof/>
        </w:rPr>
        <w:drawing>
          <wp:inline distT="0" distB="0" distL="0" distR="0" wp14:anchorId="76FD30B1" wp14:editId="6A41F706">
            <wp:extent cx="3028950" cy="3162300"/>
            <wp:effectExtent l="0" t="0" r="0" b="0"/>
            <wp:docPr id="1430" name="Picture 1430"/>
            <wp:cNvGraphicFramePr/>
            <a:graphic xmlns:a="http://schemas.openxmlformats.org/drawingml/2006/main">
              <a:graphicData uri="http://schemas.openxmlformats.org/drawingml/2006/picture">
                <pic:pic xmlns:pic="http://schemas.openxmlformats.org/drawingml/2006/picture">
                  <pic:nvPicPr>
                    <pic:cNvPr id="1430" name="Picture 1430"/>
                    <pic:cNvPicPr/>
                  </pic:nvPicPr>
                  <pic:blipFill>
                    <a:blip r:embed="rId21"/>
                    <a:stretch>
                      <a:fillRect/>
                    </a:stretch>
                  </pic:blipFill>
                  <pic:spPr>
                    <a:xfrm>
                      <a:off x="0" y="0"/>
                      <a:ext cx="3028950" cy="3162300"/>
                    </a:xfrm>
                    <a:prstGeom prst="rect">
                      <a:avLst/>
                    </a:prstGeom>
                  </pic:spPr>
                </pic:pic>
              </a:graphicData>
            </a:graphic>
          </wp:inline>
        </w:drawing>
      </w:r>
      <w:r>
        <w:t xml:space="preserve"> </w:t>
      </w:r>
    </w:p>
    <w:p w14:paraId="655D2854" w14:textId="77777777" w:rsidR="00CE3227" w:rsidRDefault="00000000">
      <w:pPr>
        <w:spacing w:after="236"/>
        <w:ind w:left="1162" w:right="579"/>
        <w:jc w:val="center"/>
      </w:pPr>
      <w:r>
        <w:rPr>
          <w:b/>
          <w:i/>
          <w:sz w:val="20"/>
        </w:rPr>
        <w:t xml:space="preserve">Figure 3.9.: </w:t>
      </w:r>
      <w:r>
        <w:rPr>
          <w:i/>
          <w:sz w:val="20"/>
        </w:rPr>
        <w:t>Year-wise analysis: Open and Close</w:t>
      </w:r>
      <w:r>
        <w:rPr>
          <w:b/>
        </w:rPr>
        <w:t xml:space="preserve"> </w:t>
      </w:r>
    </w:p>
    <w:p w14:paraId="41E11D85" w14:textId="77777777" w:rsidR="00CE3227" w:rsidRDefault="00000000">
      <w:pPr>
        <w:numPr>
          <w:ilvl w:val="0"/>
          <w:numId w:val="3"/>
        </w:numPr>
        <w:spacing w:after="251"/>
        <w:ind w:right="113" w:hanging="360"/>
      </w:pPr>
      <w:r>
        <w:rPr>
          <w:b/>
        </w:rPr>
        <w:t xml:space="preserve">2008:  </w:t>
      </w:r>
    </w:p>
    <w:p w14:paraId="74364C95" w14:textId="77777777" w:rsidR="00CE3227" w:rsidRDefault="00000000">
      <w:pPr>
        <w:ind w:left="708" w:right="113"/>
      </w:pPr>
      <w:r>
        <w:t xml:space="preserve">Year 2008 experienced increased volatility with highest high and lowest low value. </w:t>
      </w:r>
    </w:p>
    <w:p w14:paraId="6224E517" w14:textId="77777777" w:rsidR="00CE3227" w:rsidRDefault="00000000">
      <w:pPr>
        <w:spacing w:after="34" w:line="476" w:lineRule="auto"/>
        <w:ind w:left="708" w:right="7016"/>
      </w:pPr>
      <w:r>
        <w:t xml:space="preserve">low – 6.90% high – 7.18%  </w:t>
      </w:r>
    </w:p>
    <w:p w14:paraId="3C759206" w14:textId="77777777" w:rsidR="00CE3227" w:rsidRDefault="00000000">
      <w:pPr>
        <w:numPr>
          <w:ilvl w:val="0"/>
          <w:numId w:val="3"/>
        </w:numPr>
        <w:spacing w:after="251"/>
        <w:ind w:right="113" w:hanging="360"/>
      </w:pPr>
      <w:r>
        <w:rPr>
          <w:b/>
        </w:rPr>
        <w:t xml:space="preserve">2015:  </w:t>
      </w:r>
    </w:p>
    <w:p w14:paraId="056FD4E3" w14:textId="77777777" w:rsidR="00CE3227" w:rsidRDefault="00000000">
      <w:pPr>
        <w:ind w:left="708" w:right="113"/>
      </w:pPr>
      <w:r>
        <w:t xml:space="preserve">Year 2008 experienced a dip with both high and low value. </w:t>
      </w:r>
    </w:p>
    <w:p w14:paraId="2E46C0BD" w14:textId="77777777" w:rsidR="00CE3227" w:rsidRDefault="00000000">
      <w:pPr>
        <w:spacing w:after="35" w:line="476" w:lineRule="auto"/>
        <w:ind w:left="708" w:right="7016"/>
      </w:pPr>
      <w:r>
        <w:t xml:space="preserve">low – 3.52% high – 3.66%  </w:t>
      </w:r>
    </w:p>
    <w:p w14:paraId="6B5CD5F2" w14:textId="77777777" w:rsidR="00CE3227" w:rsidRDefault="00000000">
      <w:pPr>
        <w:numPr>
          <w:ilvl w:val="0"/>
          <w:numId w:val="3"/>
        </w:numPr>
        <w:spacing w:after="251"/>
        <w:ind w:right="113" w:hanging="360"/>
      </w:pPr>
      <w:r>
        <w:rPr>
          <w:b/>
        </w:rPr>
        <w:t xml:space="preserve">2020:  </w:t>
      </w:r>
    </w:p>
    <w:p w14:paraId="63888319" w14:textId="77777777" w:rsidR="00CE3227" w:rsidRDefault="00000000">
      <w:pPr>
        <w:ind w:left="708" w:right="113"/>
      </w:pPr>
      <w:r>
        <w:t xml:space="preserve">Year 2020 also experiences abruptly decreasing high and low values. </w:t>
      </w:r>
    </w:p>
    <w:p w14:paraId="071A3C5D" w14:textId="77777777" w:rsidR="00CE3227" w:rsidRDefault="00000000">
      <w:pPr>
        <w:spacing w:after="0" w:line="478" w:lineRule="auto"/>
        <w:ind w:left="708" w:right="7016"/>
      </w:pPr>
      <w:r>
        <w:lastRenderedPageBreak/>
        <w:t xml:space="preserve">low – 2.95% high – 2.8% </w:t>
      </w:r>
    </w:p>
    <w:p w14:paraId="148A6CF1" w14:textId="77777777" w:rsidR="00CE3227" w:rsidRDefault="00000000">
      <w:pPr>
        <w:spacing w:after="288" w:line="259" w:lineRule="auto"/>
        <w:ind w:left="1349" w:right="0" w:firstLine="0"/>
        <w:jc w:val="center"/>
      </w:pPr>
      <w:r>
        <w:t xml:space="preserve"> </w:t>
      </w:r>
    </w:p>
    <w:p w14:paraId="1D821306" w14:textId="77777777" w:rsidR="00CE3227" w:rsidRDefault="00000000">
      <w:pPr>
        <w:tabs>
          <w:tab w:val="center" w:pos="1433"/>
          <w:tab w:val="center" w:pos="3832"/>
        </w:tabs>
        <w:spacing w:after="251"/>
        <w:ind w:left="0" w:right="0" w:firstLine="0"/>
        <w:jc w:val="left"/>
      </w:pPr>
      <w:r>
        <w:rPr>
          <w:rFonts w:ascii="Calibri" w:eastAsia="Calibri" w:hAnsi="Calibri" w:cs="Calibri"/>
          <w:sz w:val="22"/>
        </w:rPr>
        <w:tab/>
      </w:r>
      <w:r>
        <w:rPr>
          <w:b/>
        </w:rPr>
        <w:t>3.1.10.</w:t>
      </w:r>
      <w:r>
        <w:rPr>
          <w:rFonts w:ascii="Arial" w:eastAsia="Arial" w:hAnsi="Arial" w:cs="Arial"/>
          <w:b/>
        </w:rPr>
        <w:t xml:space="preserve"> </w:t>
      </w:r>
      <w:r>
        <w:rPr>
          <w:rFonts w:ascii="Arial" w:eastAsia="Arial" w:hAnsi="Arial" w:cs="Arial"/>
          <w:b/>
        </w:rPr>
        <w:tab/>
      </w:r>
      <w:r>
        <w:rPr>
          <w:b/>
        </w:rPr>
        <w:t xml:space="preserve">Total Open, Close and Volume: </w:t>
      </w:r>
    </w:p>
    <w:p w14:paraId="22208CDF" w14:textId="77777777" w:rsidR="00CE3227" w:rsidRDefault="00000000">
      <w:pPr>
        <w:spacing w:after="283"/>
        <w:ind w:left="-5" w:right="113"/>
      </w:pPr>
      <w:r>
        <w:t xml:space="preserve">Through filter cards total volume, total open position, and total close position are shown: </w:t>
      </w:r>
    </w:p>
    <w:p w14:paraId="55C9099F" w14:textId="77777777" w:rsidR="00CE3227" w:rsidRDefault="00000000">
      <w:pPr>
        <w:numPr>
          <w:ilvl w:val="0"/>
          <w:numId w:val="3"/>
        </w:numPr>
        <w:spacing w:after="280"/>
        <w:ind w:right="113" w:hanging="360"/>
      </w:pPr>
      <w:r>
        <w:t>Total_</w:t>
      </w:r>
      <w:proofErr w:type="gramStart"/>
      <w:r>
        <w:t>volume  indicates</w:t>
      </w:r>
      <w:proofErr w:type="gramEnd"/>
      <w:r>
        <w:t xml:space="preserve"> market participation </w:t>
      </w:r>
    </w:p>
    <w:p w14:paraId="1C8304F6" w14:textId="77777777" w:rsidR="00CE3227" w:rsidRDefault="00000000">
      <w:pPr>
        <w:numPr>
          <w:ilvl w:val="0"/>
          <w:numId w:val="3"/>
        </w:numPr>
        <w:spacing w:after="283"/>
        <w:ind w:right="113" w:hanging="360"/>
      </w:pPr>
      <w:r>
        <w:t>Total_</w:t>
      </w:r>
      <w:proofErr w:type="gramStart"/>
      <w:r>
        <w:t>open  indicates</w:t>
      </w:r>
      <w:proofErr w:type="gramEnd"/>
      <w:r>
        <w:t xml:space="preserve"> commitment in the market </w:t>
      </w:r>
    </w:p>
    <w:p w14:paraId="69620FEE" w14:textId="77777777" w:rsidR="00CE3227" w:rsidRDefault="00000000">
      <w:pPr>
        <w:numPr>
          <w:ilvl w:val="0"/>
          <w:numId w:val="3"/>
        </w:numPr>
        <w:spacing w:after="208"/>
        <w:ind w:right="113" w:hanging="360"/>
      </w:pPr>
      <w:r>
        <w:t>Total_</w:t>
      </w:r>
      <w:proofErr w:type="gramStart"/>
      <w:r>
        <w:t>close  indicates</w:t>
      </w:r>
      <w:proofErr w:type="gramEnd"/>
      <w:r>
        <w:t xml:space="preserve"> aggregate value of closed position </w:t>
      </w:r>
    </w:p>
    <w:p w14:paraId="720A10FF" w14:textId="77777777" w:rsidR="00CE3227" w:rsidRDefault="00000000">
      <w:pPr>
        <w:spacing w:after="366" w:line="259" w:lineRule="auto"/>
        <w:ind w:left="452" w:right="0" w:firstLine="0"/>
        <w:jc w:val="center"/>
      </w:pPr>
      <w:r>
        <w:rPr>
          <w:noProof/>
        </w:rPr>
        <w:drawing>
          <wp:inline distT="0" distB="0" distL="0" distR="0" wp14:anchorId="7FAEA3C7" wp14:editId="69CDFA22">
            <wp:extent cx="2114550" cy="3171825"/>
            <wp:effectExtent l="0" t="0" r="0" b="0"/>
            <wp:docPr id="1505" name="Picture 1505"/>
            <wp:cNvGraphicFramePr/>
            <a:graphic xmlns:a="http://schemas.openxmlformats.org/drawingml/2006/main">
              <a:graphicData uri="http://schemas.openxmlformats.org/drawingml/2006/picture">
                <pic:pic xmlns:pic="http://schemas.openxmlformats.org/drawingml/2006/picture">
                  <pic:nvPicPr>
                    <pic:cNvPr id="1505" name="Picture 1505"/>
                    <pic:cNvPicPr/>
                  </pic:nvPicPr>
                  <pic:blipFill>
                    <a:blip r:embed="rId22"/>
                    <a:stretch>
                      <a:fillRect/>
                    </a:stretch>
                  </pic:blipFill>
                  <pic:spPr>
                    <a:xfrm>
                      <a:off x="0" y="0"/>
                      <a:ext cx="2114550" cy="3171825"/>
                    </a:xfrm>
                    <a:prstGeom prst="rect">
                      <a:avLst/>
                    </a:prstGeom>
                  </pic:spPr>
                </pic:pic>
              </a:graphicData>
            </a:graphic>
          </wp:inline>
        </w:drawing>
      </w:r>
      <w:r>
        <w:t xml:space="preserve"> </w:t>
      </w:r>
    </w:p>
    <w:p w14:paraId="073B0A4A" w14:textId="77777777" w:rsidR="00CE3227" w:rsidRDefault="00000000">
      <w:pPr>
        <w:spacing w:after="479"/>
        <w:ind w:left="1162" w:right="1278"/>
        <w:jc w:val="center"/>
      </w:pPr>
      <w:r>
        <w:rPr>
          <w:b/>
          <w:i/>
          <w:sz w:val="20"/>
        </w:rPr>
        <w:t xml:space="preserve">                   Figure 3.10.: </w:t>
      </w:r>
      <w:r>
        <w:rPr>
          <w:i/>
          <w:sz w:val="20"/>
        </w:rPr>
        <w:t xml:space="preserve">Filter cards: volume, open, close </w:t>
      </w:r>
    </w:p>
    <w:p w14:paraId="7F0671E6" w14:textId="77777777" w:rsidR="00CE3227" w:rsidRDefault="00000000">
      <w:pPr>
        <w:tabs>
          <w:tab w:val="center" w:pos="1433"/>
          <w:tab w:val="center" w:pos="4070"/>
        </w:tabs>
        <w:spacing w:after="251"/>
        <w:ind w:left="0" w:right="0" w:firstLine="0"/>
        <w:jc w:val="left"/>
      </w:pPr>
      <w:r>
        <w:rPr>
          <w:rFonts w:ascii="Calibri" w:eastAsia="Calibri" w:hAnsi="Calibri" w:cs="Calibri"/>
          <w:sz w:val="22"/>
        </w:rPr>
        <w:tab/>
      </w:r>
      <w:r>
        <w:rPr>
          <w:b/>
        </w:rPr>
        <w:t>3.1.11.</w:t>
      </w:r>
      <w:r>
        <w:rPr>
          <w:rFonts w:ascii="Arial" w:eastAsia="Arial" w:hAnsi="Arial" w:cs="Arial"/>
          <w:b/>
        </w:rPr>
        <w:t xml:space="preserve"> </w:t>
      </w:r>
      <w:r>
        <w:rPr>
          <w:rFonts w:ascii="Arial" w:eastAsia="Arial" w:hAnsi="Arial" w:cs="Arial"/>
          <w:b/>
        </w:rPr>
        <w:tab/>
      </w:r>
      <w:r>
        <w:rPr>
          <w:b/>
        </w:rPr>
        <w:t xml:space="preserve">Close Price Summation by Volume: </w:t>
      </w:r>
    </w:p>
    <w:p w14:paraId="354C8D86" w14:textId="77777777" w:rsidR="00CE3227" w:rsidRDefault="00000000">
      <w:pPr>
        <w:spacing w:line="478" w:lineRule="auto"/>
        <w:ind w:left="-5" w:right="113"/>
      </w:pPr>
      <w:r>
        <w:t xml:space="preserve">The overview of close price summation by volume helps distributing closed prices </w:t>
      </w:r>
      <w:proofErr w:type="gramStart"/>
      <w:r>
        <w:t>on the basis of</w:t>
      </w:r>
      <w:proofErr w:type="gramEnd"/>
      <w:r>
        <w:t xml:space="preserve"> trading volume. </w:t>
      </w:r>
    </w:p>
    <w:p w14:paraId="54DE2904" w14:textId="77777777" w:rsidR="00CE3227" w:rsidRDefault="00000000">
      <w:pPr>
        <w:numPr>
          <w:ilvl w:val="0"/>
          <w:numId w:val="3"/>
        </w:numPr>
        <w:spacing w:after="33" w:line="476" w:lineRule="auto"/>
        <w:ind w:right="113" w:hanging="360"/>
      </w:pPr>
      <w:r>
        <w:lastRenderedPageBreak/>
        <w:t xml:space="preserve">According to analysis the maximum sum of closing price 6827 corresponds with volume 2. </w:t>
      </w:r>
    </w:p>
    <w:p w14:paraId="69D86866" w14:textId="77777777" w:rsidR="00CE3227" w:rsidRDefault="00000000">
      <w:pPr>
        <w:numPr>
          <w:ilvl w:val="0"/>
          <w:numId w:val="3"/>
        </w:numPr>
        <w:spacing w:after="209"/>
        <w:ind w:right="113" w:hanging="360"/>
      </w:pPr>
      <w:r>
        <w:t xml:space="preserve">The minimum sum of closing price -188.15 corresponding with volume 247947. </w:t>
      </w:r>
    </w:p>
    <w:p w14:paraId="2E2A0B1D" w14:textId="77777777" w:rsidR="00CE3227" w:rsidRDefault="00000000">
      <w:pPr>
        <w:spacing w:after="164" w:line="259" w:lineRule="auto"/>
        <w:ind w:left="0" w:right="1604" w:firstLine="0"/>
        <w:jc w:val="right"/>
      </w:pPr>
      <w:r>
        <w:rPr>
          <w:noProof/>
        </w:rPr>
        <w:drawing>
          <wp:inline distT="0" distB="0" distL="0" distR="0" wp14:anchorId="1E01D979" wp14:editId="4800B8BE">
            <wp:extent cx="3438525" cy="2085975"/>
            <wp:effectExtent l="0" t="0" r="0" b="0"/>
            <wp:docPr id="1578" name="Picture 1578"/>
            <wp:cNvGraphicFramePr/>
            <a:graphic xmlns:a="http://schemas.openxmlformats.org/drawingml/2006/main">
              <a:graphicData uri="http://schemas.openxmlformats.org/drawingml/2006/picture">
                <pic:pic xmlns:pic="http://schemas.openxmlformats.org/drawingml/2006/picture">
                  <pic:nvPicPr>
                    <pic:cNvPr id="1578" name="Picture 1578"/>
                    <pic:cNvPicPr/>
                  </pic:nvPicPr>
                  <pic:blipFill>
                    <a:blip r:embed="rId23"/>
                    <a:stretch>
                      <a:fillRect/>
                    </a:stretch>
                  </pic:blipFill>
                  <pic:spPr>
                    <a:xfrm>
                      <a:off x="0" y="0"/>
                      <a:ext cx="3438525" cy="2085975"/>
                    </a:xfrm>
                    <a:prstGeom prst="rect">
                      <a:avLst/>
                    </a:prstGeom>
                  </pic:spPr>
                </pic:pic>
              </a:graphicData>
            </a:graphic>
          </wp:inline>
        </w:drawing>
      </w:r>
      <w:r>
        <w:t xml:space="preserve"> </w:t>
      </w:r>
    </w:p>
    <w:p w14:paraId="1DF92D41" w14:textId="77777777" w:rsidR="00CE3227" w:rsidRDefault="00000000">
      <w:pPr>
        <w:spacing w:after="236"/>
        <w:ind w:left="1162" w:right="1"/>
        <w:jc w:val="center"/>
      </w:pPr>
      <w:r>
        <w:rPr>
          <w:b/>
          <w:i/>
          <w:sz w:val="20"/>
        </w:rPr>
        <w:t xml:space="preserve">Figure 3.11.: </w:t>
      </w:r>
      <w:r>
        <w:rPr>
          <w:i/>
          <w:sz w:val="20"/>
        </w:rPr>
        <w:t xml:space="preserve">Close Price Summation by Volume </w:t>
      </w:r>
    </w:p>
    <w:p w14:paraId="7B49E8A8" w14:textId="77777777" w:rsidR="00CE3227" w:rsidRDefault="00000000">
      <w:pPr>
        <w:spacing w:after="286" w:line="259" w:lineRule="auto"/>
        <w:ind w:left="1277" w:right="0" w:firstLine="0"/>
        <w:jc w:val="left"/>
      </w:pPr>
      <w:r>
        <w:rPr>
          <w:b/>
        </w:rPr>
        <w:t xml:space="preserve"> </w:t>
      </w:r>
    </w:p>
    <w:p w14:paraId="5D6F7143" w14:textId="77777777" w:rsidR="00CE3227" w:rsidRDefault="00000000">
      <w:pPr>
        <w:tabs>
          <w:tab w:val="center" w:pos="1433"/>
          <w:tab w:val="center" w:pos="3646"/>
        </w:tabs>
        <w:spacing w:after="251"/>
        <w:ind w:left="0" w:right="0" w:firstLine="0"/>
        <w:jc w:val="left"/>
      </w:pPr>
      <w:r>
        <w:rPr>
          <w:rFonts w:ascii="Calibri" w:eastAsia="Calibri" w:hAnsi="Calibri" w:cs="Calibri"/>
          <w:sz w:val="22"/>
        </w:rPr>
        <w:tab/>
      </w:r>
      <w:r>
        <w:rPr>
          <w:b/>
        </w:rPr>
        <w:t>3.1.12.</w:t>
      </w:r>
      <w:r>
        <w:rPr>
          <w:rFonts w:ascii="Arial" w:eastAsia="Arial" w:hAnsi="Arial" w:cs="Arial"/>
          <w:b/>
        </w:rPr>
        <w:t xml:space="preserve"> </w:t>
      </w:r>
      <w:r>
        <w:rPr>
          <w:rFonts w:ascii="Arial" w:eastAsia="Arial" w:hAnsi="Arial" w:cs="Arial"/>
          <w:b/>
        </w:rPr>
        <w:tab/>
      </w:r>
      <w:r>
        <w:rPr>
          <w:b/>
        </w:rPr>
        <w:t xml:space="preserve">Annual Daily Price Change: </w:t>
      </w:r>
    </w:p>
    <w:p w14:paraId="1758F77A" w14:textId="77777777" w:rsidR="00CE3227" w:rsidRDefault="00000000">
      <w:pPr>
        <w:spacing w:after="35" w:line="476" w:lineRule="auto"/>
        <w:ind w:left="-5" w:right="113"/>
      </w:pPr>
      <w:r>
        <w:t xml:space="preserve">The overview of Annual daily price change helps in gathering information regarding price change and market movement. </w:t>
      </w:r>
    </w:p>
    <w:p w14:paraId="4B1AB885" w14:textId="77777777" w:rsidR="00CE3227" w:rsidRDefault="00000000">
      <w:pPr>
        <w:numPr>
          <w:ilvl w:val="0"/>
          <w:numId w:val="3"/>
        </w:numPr>
        <w:spacing w:after="251"/>
        <w:ind w:right="113" w:hanging="360"/>
      </w:pPr>
      <w:r>
        <w:rPr>
          <w:b/>
        </w:rPr>
        <w:t xml:space="preserve">Year 2000 </w:t>
      </w:r>
    </w:p>
    <w:p w14:paraId="5B259ECE" w14:textId="77777777" w:rsidR="00CE3227" w:rsidRDefault="00000000">
      <w:pPr>
        <w:spacing w:after="285"/>
        <w:ind w:left="850" w:right="113"/>
      </w:pPr>
      <w:r>
        <w:t xml:space="preserve">Market decreased with negative price change -31 </w:t>
      </w:r>
    </w:p>
    <w:p w14:paraId="4D4A3288" w14:textId="77777777" w:rsidR="00CE3227" w:rsidRDefault="00000000">
      <w:pPr>
        <w:numPr>
          <w:ilvl w:val="0"/>
          <w:numId w:val="3"/>
        </w:numPr>
        <w:spacing w:after="251"/>
        <w:ind w:right="113" w:hanging="360"/>
      </w:pPr>
      <w:r>
        <w:rPr>
          <w:b/>
        </w:rPr>
        <w:t xml:space="preserve">Year 2008 </w:t>
      </w:r>
    </w:p>
    <w:p w14:paraId="32816240" w14:textId="77777777" w:rsidR="00CE3227" w:rsidRDefault="00000000">
      <w:pPr>
        <w:spacing w:after="284"/>
        <w:ind w:left="850" w:right="113"/>
      </w:pPr>
      <w:r>
        <w:t xml:space="preserve">Market abruptly decreased with significant negative price change of -556 </w:t>
      </w:r>
    </w:p>
    <w:p w14:paraId="28A2F8BC" w14:textId="77777777" w:rsidR="00CE3227" w:rsidRDefault="00000000">
      <w:pPr>
        <w:numPr>
          <w:ilvl w:val="0"/>
          <w:numId w:val="3"/>
        </w:numPr>
        <w:spacing w:after="251"/>
        <w:ind w:right="113" w:hanging="360"/>
      </w:pPr>
      <w:r>
        <w:rPr>
          <w:b/>
        </w:rPr>
        <w:t xml:space="preserve">Year 2013 </w:t>
      </w:r>
    </w:p>
    <w:p w14:paraId="0F2D02B7" w14:textId="77777777" w:rsidR="00CE3227" w:rsidRDefault="00000000">
      <w:pPr>
        <w:spacing w:after="282"/>
        <w:ind w:left="850" w:right="113"/>
      </w:pPr>
      <w:r>
        <w:t xml:space="preserve">Market increased with positive price change of 140 </w:t>
      </w:r>
    </w:p>
    <w:p w14:paraId="4CCDE5B8" w14:textId="77777777" w:rsidR="00CE3227" w:rsidRDefault="00000000">
      <w:pPr>
        <w:numPr>
          <w:ilvl w:val="0"/>
          <w:numId w:val="3"/>
        </w:numPr>
        <w:spacing w:after="251"/>
        <w:ind w:right="113" w:hanging="360"/>
      </w:pPr>
      <w:r>
        <w:rPr>
          <w:b/>
        </w:rPr>
        <w:t xml:space="preserve">Year 2014 and 2015 </w:t>
      </w:r>
    </w:p>
    <w:p w14:paraId="11F2A960" w14:textId="77777777" w:rsidR="00CE3227" w:rsidRDefault="00000000">
      <w:pPr>
        <w:spacing w:after="289" w:line="259" w:lineRule="auto"/>
        <w:ind w:left="212" w:right="425"/>
        <w:jc w:val="center"/>
      </w:pPr>
      <w:r>
        <w:t xml:space="preserve">Both year experienced decay in market with negative price change of -462 </w:t>
      </w:r>
    </w:p>
    <w:p w14:paraId="25588013" w14:textId="77777777" w:rsidR="00CE3227" w:rsidRDefault="00000000">
      <w:pPr>
        <w:numPr>
          <w:ilvl w:val="0"/>
          <w:numId w:val="3"/>
        </w:numPr>
        <w:spacing w:after="251"/>
        <w:ind w:right="113" w:hanging="360"/>
      </w:pPr>
      <w:r>
        <w:rPr>
          <w:b/>
        </w:rPr>
        <w:t xml:space="preserve">Year 2020 </w:t>
      </w:r>
    </w:p>
    <w:p w14:paraId="4F361538" w14:textId="77777777" w:rsidR="00CE3227" w:rsidRDefault="00000000">
      <w:pPr>
        <w:spacing w:after="288" w:line="259" w:lineRule="auto"/>
        <w:ind w:right="243"/>
        <w:jc w:val="right"/>
      </w:pPr>
      <w:r>
        <w:lastRenderedPageBreak/>
        <w:t xml:space="preserve">Market decreased with negative price change -284, mostly due to global pandemic </w:t>
      </w:r>
    </w:p>
    <w:p w14:paraId="68D8E7A6" w14:textId="77777777" w:rsidR="00CE3227" w:rsidRDefault="00000000">
      <w:pPr>
        <w:numPr>
          <w:ilvl w:val="0"/>
          <w:numId w:val="3"/>
        </w:numPr>
        <w:spacing w:after="251"/>
        <w:ind w:right="113" w:hanging="360"/>
      </w:pPr>
      <w:r>
        <w:rPr>
          <w:b/>
        </w:rPr>
        <w:t xml:space="preserve">Year 2021 </w:t>
      </w:r>
    </w:p>
    <w:p w14:paraId="643BB121" w14:textId="77777777" w:rsidR="00CE3227" w:rsidRDefault="00000000">
      <w:pPr>
        <w:spacing w:after="289" w:line="259" w:lineRule="auto"/>
        <w:ind w:left="212" w:right="0"/>
        <w:jc w:val="center"/>
      </w:pPr>
      <w:r>
        <w:t xml:space="preserve">After pandemic, in 2021 market started getting positive with price change 292 </w:t>
      </w:r>
    </w:p>
    <w:p w14:paraId="6107396B" w14:textId="77777777" w:rsidR="00CE3227" w:rsidRDefault="00000000">
      <w:pPr>
        <w:numPr>
          <w:ilvl w:val="0"/>
          <w:numId w:val="3"/>
        </w:numPr>
        <w:spacing w:after="251"/>
        <w:ind w:right="113" w:hanging="360"/>
      </w:pPr>
      <w:r>
        <w:rPr>
          <w:b/>
        </w:rPr>
        <w:t xml:space="preserve">Year 2023 </w:t>
      </w:r>
    </w:p>
    <w:p w14:paraId="6D32B66E" w14:textId="77777777" w:rsidR="00CE3227" w:rsidRDefault="00000000">
      <w:pPr>
        <w:spacing w:after="178"/>
        <w:ind w:left="850" w:right="113"/>
      </w:pPr>
      <w:r>
        <w:t xml:space="preserve">Market decreased with negative price change -221 </w:t>
      </w:r>
    </w:p>
    <w:p w14:paraId="4D8D7DC4" w14:textId="77777777" w:rsidR="00CE3227" w:rsidRDefault="00000000">
      <w:pPr>
        <w:spacing w:after="217" w:line="259" w:lineRule="auto"/>
        <w:ind w:left="0" w:right="535" w:firstLine="0"/>
        <w:jc w:val="right"/>
      </w:pPr>
      <w:r>
        <w:rPr>
          <w:noProof/>
        </w:rPr>
        <w:drawing>
          <wp:inline distT="0" distB="0" distL="0" distR="0" wp14:anchorId="5EBC3D4B" wp14:editId="76885224">
            <wp:extent cx="4572000" cy="2085975"/>
            <wp:effectExtent l="0" t="0" r="0" b="0"/>
            <wp:docPr id="1639" name="Picture 1639"/>
            <wp:cNvGraphicFramePr/>
            <a:graphic xmlns:a="http://schemas.openxmlformats.org/drawingml/2006/main">
              <a:graphicData uri="http://schemas.openxmlformats.org/drawingml/2006/picture">
                <pic:pic xmlns:pic="http://schemas.openxmlformats.org/drawingml/2006/picture">
                  <pic:nvPicPr>
                    <pic:cNvPr id="1639" name="Picture 1639"/>
                    <pic:cNvPicPr/>
                  </pic:nvPicPr>
                  <pic:blipFill>
                    <a:blip r:embed="rId24"/>
                    <a:stretch>
                      <a:fillRect/>
                    </a:stretch>
                  </pic:blipFill>
                  <pic:spPr>
                    <a:xfrm>
                      <a:off x="0" y="0"/>
                      <a:ext cx="4572000" cy="2085975"/>
                    </a:xfrm>
                    <a:prstGeom prst="rect">
                      <a:avLst/>
                    </a:prstGeom>
                  </pic:spPr>
                </pic:pic>
              </a:graphicData>
            </a:graphic>
          </wp:inline>
        </w:drawing>
      </w:r>
      <w:r>
        <w:rPr>
          <w:b/>
          <w:i/>
          <w:sz w:val="20"/>
        </w:rPr>
        <w:t xml:space="preserve"> </w:t>
      </w:r>
    </w:p>
    <w:p w14:paraId="481E9FF2" w14:textId="77777777" w:rsidR="00CE3227" w:rsidRDefault="00000000">
      <w:pPr>
        <w:spacing w:after="209"/>
        <w:ind w:left="1162" w:right="0"/>
        <w:jc w:val="center"/>
      </w:pPr>
      <w:r>
        <w:rPr>
          <w:b/>
          <w:i/>
          <w:sz w:val="20"/>
        </w:rPr>
        <w:t xml:space="preserve">Figure 3.12.: </w:t>
      </w:r>
      <w:r>
        <w:rPr>
          <w:i/>
          <w:sz w:val="20"/>
        </w:rPr>
        <w:t xml:space="preserve">Annual Daily Price Change </w:t>
      </w:r>
    </w:p>
    <w:p w14:paraId="59EAD54A" w14:textId="77777777" w:rsidR="00CE3227" w:rsidRDefault="00000000">
      <w:pPr>
        <w:spacing w:after="285" w:line="259" w:lineRule="auto"/>
        <w:ind w:left="1201" w:right="0" w:firstLine="0"/>
        <w:jc w:val="center"/>
      </w:pPr>
      <w:r>
        <w:rPr>
          <w:i/>
          <w:sz w:val="20"/>
        </w:rPr>
        <w:t xml:space="preserve"> </w:t>
      </w:r>
    </w:p>
    <w:p w14:paraId="21055193" w14:textId="77777777" w:rsidR="00CE3227" w:rsidRDefault="00000000">
      <w:pPr>
        <w:tabs>
          <w:tab w:val="center" w:pos="1433"/>
          <w:tab w:val="center" w:pos="5456"/>
        </w:tabs>
        <w:spacing w:after="251"/>
        <w:ind w:left="0" w:right="0" w:firstLine="0"/>
        <w:jc w:val="left"/>
      </w:pPr>
      <w:r>
        <w:rPr>
          <w:rFonts w:ascii="Calibri" w:eastAsia="Calibri" w:hAnsi="Calibri" w:cs="Calibri"/>
          <w:sz w:val="22"/>
        </w:rPr>
        <w:tab/>
      </w:r>
      <w:r>
        <w:rPr>
          <w:b/>
        </w:rPr>
        <w:t>3.1.13.</w:t>
      </w:r>
      <w:r>
        <w:rPr>
          <w:rFonts w:ascii="Arial" w:eastAsia="Arial" w:hAnsi="Arial" w:cs="Arial"/>
          <w:b/>
        </w:rPr>
        <w:t xml:space="preserve"> </w:t>
      </w:r>
      <w:r>
        <w:rPr>
          <w:rFonts w:ascii="Arial" w:eastAsia="Arial" w:hAnsi="Arial" w:cs="Arial"/>
          <w:b/>
        </w:rPr>
        <w:tab/>
      </w:r>
      <w:r>
        <w:rPr>
          <w:b/>
        </w:rPr>
        <w:t xml:space="preserve">Filter cards- Max_Volume, Average Daily Close Price, Rolling </w:t>
      </w:r>
    </w:p>
    <w:p w14:paraId="64173823" w14:textId="77777777" w:rsidR="00CE3227" w:rsidRDefault="00000000">
      <w:pPr>
        <w:spacing w:after="280"/>
        <w:ind w:left="2171" w:right="0"/>
        <w:jc w:val="left"/>
      </w:pPr>
      <w:r>
        <w:rPr>
          <w:b/>
        </w:rPr>
        <w:t xml:space="preserve">Average Close Price, Price Volatility </w:t>
      </w:r>
    </w:p>
    <w:p w14:paraId="69D17858" w14:textId="77777777" w:rsidR="00CE3227" w:rsidRDefault="00000000">
      <w:pPr>
        <w:numPr>
          <w:ilvl w:val="0"/>
          <w:numId w:val="3"/>
        </w:numPr>
        <w:spacing w:after="283"/>
        <w:ind w:right="113" w:hanging="360"/>
      </w:pPr>
      <w:r>
        <w:t xml:space="preserve">Max Volume: Maximum of trading volumes recorded </w:t>
      </w:r>
    </w:p>
    <w:p w14:paraId="2402BBCF" w14:textId="77777777" w:rsidR="00CE3227" w:rsidRDefault="00000000">
      <w:pPr>
        <w:numPr>
          <w:ilvl w:val="0"/>
          <w:numId w:val="3"/>
        </w:numPr>
        <w:spacing w:after="281"/>
        <w:ind w:right="113" w:hanging="360"/>
      </w:pPr>
      <w:r>
        <w:t xml:space="preserve">Average Daily Close Price: Average closing price </w:t>
      </w:r>
    </w:p>
    <w:p w14:paraId="17EBC6FF" w14:textId="77777777" w:rsidR="00CE3227" w:rsidRDefault="00000000">
      <w:pPr>
        <w:numPr>
          <w:ilvl w:val="0"/>
          <w:numId w:val="3"/>
        </w:numPr>
        <w:spacing w:after="282"/>
        <w:ind w:right="113" w:hanging="360"/>
      </w:pPr>
      <w:r>
        <w:t xml:space="preserve">Rolling Average Close Price: rolling average closing price in 7 days </w:t>
      </w:r>
    </w:p>
    <w:p w14:paraId="4B3DF376" w14:textId="77777777" w:rsidR="00CE3227" w:rsidRDefault="00000000">
      <w:pPr>
        <w:numPr>
          <w:ilvl w:val="0"/>
          <w:numId w:val="3"/>
        </w:numPr>
        <w:spacing w:after="207"/>
        <w:ind w:right="113" w:hanging="360"/>
      </w:pPr>
      <w:r>
        <w:t xml:space="preserve">Price Volatility: Market fluctuation </w:t>
      </w:r>
    </w:p>
    <w:p w14:paraId="22B1D301" w14:textId="77777777" w:rsidR="00CE3227" w:rsidRDefault="00000000">
      <w:pPr>
        <w:spacing w:after="167" w:line="259" w:lineRule="auto"/>
        <w:ind w:left="0" w:right="245" w:firstLine="0"/>
        <w:jc w:val="right"/>
      </w:pPr>
      <w:r>
        <w:rPr>
          <w:noProof/>
        </w:rPr>
        <w:drawing>
          <wp:inline distT="0" distB="0" distL="0" distR="0" wp14:anchorId="66C41E7F" wp14:editId="0CD2CBE0">
            <wp:extent cx="5382260" cy="695325"/>
            <wp:effectExtent l="0" t="0" r="0" b="0"/>
            <wp:docPr id="1641" name="Picture 1641"/>
            <wp:cNvGraphicFramePr/>
            <a:graphic xmlns:a="http://schemas.openxmlformats.org/drawingml/2006/main">
              <a:graphicData uri="http://schemas.openxmlformats.org/drawingml/2006/picture">
                <pic:pic xmlns:pic="http://schemas.openxmlformats.org/drawingml/2006/picture">
                  <pic:nvPicPr>
                    <pic:cNvPr id="1641" name="Picture 1641"/>
                    <pic:cNvPicPr/>
                  </pic:nvPicPr>
                  <pic:blipFill>
                    <a:blip r:embed="rId25"/>
                    <a:stretch>
                      <a:fillRect/>
                    </a:stretch>
                  </pic:blipFill>
                  <pic:spPr>
                    <a:xfrm>
                      <a:off x="0" y="0"/>
                      <a:ext cx="5382260" cy="695325"/>
                    </a:xfrm>
                    <a:prstGeom prst="rect">
                      <a:avLst/>
                    </a:prstGeom>
                  </pic:spPr>
                </pic:pic>
              </a:graphicData>
            </a:graphic>
          </wp:inline>
        </w:drawing>
      </w:r>
      <w:r>
        <w:t xml:space="preserve"> </w:t>
      </w:r>
    </w:p>
    <w:p w14:paraId="1AF89EBD" w14:textId="77777777" w:rsidR="00CE3227" w:rsidRDefault="00000000">
      <w:pPr>
        <w:spacing w:after="214" w:line="259" w:lineRule="auto"/>
        <w:ind w:left="1163" w:right="0"/>
        <w:jc w:val="center"/>
      </w:pPr>
      <w:r>
        <w:rPr>
          <w:b/>
          <w:i/>
          <w:sz w:val="20"/>
        </w:rPr>
        <w:t xml:space="preserve">Figure 3.13.: </w:t>
      </w:r>
      <w:r>
        <w:rPr>
          <w:i/>
          <w:sz w:val="20"/>
        </w:rPr>
        <w:t xml:space="preserve">Filter cards  </w:t>
      </w:r>
    </w:p>
    <w:p w14:paraId="4EEE762D" w14:textId="77777777" w:rsidR="00CE3227" w:rsidRDefault="00000000">
      <w:pPr>
        <w:spacing w:after="0" w:line="259" w:lineRule="auto"/>
        <w:ind w:left="1201" w:right="0" w:firstLine="0"/>
        <w:jc w:val="center"/>
      </w:pPr>
      <w:r>
        <w:rPr>
          <w:i/>
          <w:sz w:val="20"/>
        </w:rPr>
        <w:t xml:space="preserve"> </w:t>
      </w:r>
    </w:p>
    <w:p w14:paraId="2D387B0F" w14:textId="77777777" w:rsidR="00CE3227" w:rsidRDefault="00000000">
      <w:pPr>
        <w:tabs>
          <w:tab w:val="center" w:pos="1433"/>
          <w:tab w:val="center" w:pos="4403"/>
        </w:tabs>
        <w:spacing w:after="251"/>
        <w:ind w:left="0" w:right="0" w:firstLine="0"/>
        <w:jc w:val="left"/>
      </w:pPr>
      <w:r>
        <w:rPr>
          <w:rFonts w:ascii="Calibri" w:eastAsia="Calibri" w:hAnsi="Calibri" w:cs="Calibri"/>
          <w:sz w:val="22"/>
        </w:rPr>
        <w:lastRenderedPageBreak/>
        <w:tab/>
      </w:r>
      <w:r>
        <w:rPr>
          <w:b/>
        </w:rPr>
        <w:t>3.1.14.</w:t>
      </w:r>
      <w:r>
        <w:rPr>
          <w:rFonts w:ascii="Arial" w:eastAsia="Arial" w:hAnsi="Arial" w:cs="Arial"/>
          <w:b/>
        </w:rPr>
        <w:t xml:space="preserve"> </w:t>
      </w:r>
      <w:r>
        <w:rPr>
          <w:rFonts w:ascii="Arial" w:eastAsia="Arial" w:hAnsi="Arial" w:cs="Arial"/>
          <w:b/>
        </w:rPr>
        <w:tab/>
      </w:r>
      <w:r>
        <w:rPr>
          <w:b/>
        </w:rPr>
        <w:t xml:space="preserve">Close Price Comparison among fuel type: </w:t>
      </w:r>
    </w:p>
    <w:p w14:paraId="6AD5B8B3" w14:textId="77777777" w:rsidR="00CE3227" w:rsidRDefault="00000000">
      <w:pPr>
        <w:spacing w:after="0" w:line="478" w:lineRule="auto"/>
        <w:ind w:left="-5" w:right="113"/>
      </w:pPr>
      <w:r>
        <w:t xml:space="preserve">This analysis will provide insights on various kinds of fuel and help in comparing them through market value. </w:t>
      </w:r>
    </w:p>
    <w:p w14:paraId="241BAB75" w14:textId="77777777" w:rsidR="00CE3227" w:rsidRDefault="00000000">
      <w:pPr>
        <w:spacing w:after="196" w:line="259" w:lineRule="auto"/>
        <w:ind w:left="0" w:right="1575" w:firstLine="0"/>
        <w:jc w:val="right"/>
      </w:pPr>
      <w:r>
        <w:rPr>
          <w:noProof/>
        </w:rPr>
        <w:drawing>
          <wp:inline distT="0" distB="0" distL="0" distR="0" wp14:anchorId="0DE40CC5" wp14:editId="00CAA47B">
            <wp:extent cx="3457575" cy="1743075"/>
            <wp:effectExtent l="0" t="0" r="0" b="0"/>
            <wp:docPr id="1705" name="Picture 1705"/>
            <wp:cNvGraphicFramePr/>
            <a:graphic xmlns:a="http://schemas.openxmlformats.org/drawingml/2006/main">
              <a:graphicData uri="http://schemas.openxmlformats.org/drawingml/2006/picture">
                <pic:pic xmlns:pic="http://schemas.openxmlformats.org/drawingml/2006/picture">
                  <pic:nvPicPr>
                    <pic:cNvPr id="1705" name="Picture 1705"/>
                    <pic:cNvPicPr/>
                  </pic:nvPicPr>
                  <pic:blipFill>
                    <a:blip r:embed="rId26"/>
                    <a:stretch>
                      <a:fillRect/>
                    </a:stretch>
                  </pic:blipFill>
                  <pic:spPr>
                    <a:xfrm>
                      <a:off x="0" y="0"/>
                      <a:ext cx="3457575" cy="1743075"/>
                    </a:xfrm>
                    <a:prstGeom prst="rect">
                      <a:avLst/>
                    </a:prstGeom>
                  </pic:spPr>
                </pic:pic>
              </a:graphicData>
            </a:graphic>
          </wp:inline>
        </w:drawing>
      </w:r>
      <w:r>
        <w:t xml:space="preserve"> </w:t>
      </w:r>
    </w:p>
    <w:p w14:paraId="548D67DE" w14:textId="77777777" w:rsidR="00CE3227" w:rsidRDefault="00000000">
      <w:pPr>
        <w:spacing w:after="236"/>
        <w:ind w:left="1162" w:right="0"/>
        <w:jc w:val="center"/>
      </w:pPr>
      <w:r>
        <w:rPr>
          <w:b/>
          <w:i/>
          <w:sz w:val="20"/>
        </w:rPr>
        <w:t xml:space="preserve">Figure 3.14.: </w:t>
      </w:r>
      <w:r>
        <w:rPr>
          <w:i/>
          <w:sz w:val="20"/>
        </w:rPr>
        <w:t>Fuel type closing price</w:t>
      </w:r>
      <w:r>
        <w:t xml:space="preserve"> </w:t>
      </w:r>
    </w:p>
    <w:p w14:paraId="4FD68A9C" w14:textId="77777777" w:rsidR="00CE3227" w:rsidRDefault="00000000">
      <w:pPr>
        <w:numPr>
          <w:ilvl w:val="0"/>
          <w:numId w:val="3"/>
        </w:numPr>
        <w:ind w:right="113" w:hanging="360"/>
      </w:pPr>
      <w:r>
        <w:t xml:space="preserve">Closing Price is approximately the same for all 4 fuels with a very small difference. </w:t>
      </w:r>
    </w:p>
    <w:p w14:paraId="74907024" w14:textId="77777777" w:rsidR="00CE3227" w:rsidRDefault="00000000">
      <w:pPr>
        <w:ind w:left="850" w:right="113"/>
      </w:pPr>
      <w:r>
        <w:t xml:space="preserve">Crude Oil: 20.53% </w:t>
      </w:r>
    </w:p>
    <w:p w14:paraId="642AFD60" w14:textId="77777777" w:rsidR="00CE3227" w:rsidRDefault="00000000">
      <w:pPr>
        <w:ind w:left="850" w:right="113"/>
      </w:pPr>
      <w:r>
        <w:t xml:space="preserve">Natural Gas: 20.52% </w:t>
      </w:r>
    </w:p>
    <w:p w14:paraId="60474615" w14:textId="77777777" w:rsidR="00CE3227" w:rsidRDefault="00000000">
      <w:pPr>
        <w:ind w:left="850" w:right="113"/>
      </w:pPr>
      <w:r>
        <w:t xml:space="preserve">Heating Oil: 20.52% </w:t>
      </w:r>
    </w:p>
    <w:p w14:paraId="29587749" w14:textId="77777777" w:rsidR="00CE3227" w:rsidRDefault="00000000">
      <w:pPr>
        <w:spacing w:after="282"/>
        <w:ind w:left="850" w:right="113"/>
      </w:pPr>
      <w:r>
        <w:t xml:space="preserve">RBOB Gasoline: 20.47% </w:t>
      </w:r>
    </w:p>
    <w:p w14:paraId="41E4F553" w14:textId="77777777" w:rsidR="00CE3227" w:rsidRDefault="00000000">
      <w:pPr>
        <w:numPr>
          <w:ilvl w:val="0"/>
          <w:numId w:val="3"/>
        </w:numPr>
        <w:spacing w:after="212"/>
        <w:ind w:right="113" w:hanging="360"/>
      </w:pPr>
      <w:r>
        <w:t xml:space="preserve">Brent Crude oil has a minimum closing price of 17.96%. </w:t>
      </w:r>
    </w:p>
    <w:p w14:paraId="07A447C6" w14:textId="77777777" w:rsidR="00CE3227" w:rsidRDefault="00000000">
      <w:pPr>
        <w:spacing w:after="282" w:line="259" w:lineRule="auto"/>
        <w:ind w:left="1201" w:right="0" w:firstLine="0"/>
        <w:jc w:val="center"/>
      </w:pPr>
      <w:r>
        <w:rPr>
          <w:i/>
          <w:sz w:val="20"/>
        </w:rPr>
        <w:t xml:space="preserve"> </w:t>
      </w:r>
    </w:p>
    <w:p w14:paraId="44622982" w14:textId="77777777" w:rsidR="00CE3227" w:rsidRDefault="00000000">
      <w:pPr>
        <w:tabs>
          <w:tab w:val="center" w:pos="1433"/>
          <w:tab w:val="center" w:pos="4221"/>
        </w:tabs>
        <w:spacing w:after="251"/>
        <w:ind w:left="0" w:right="0" w:firstLine="0"/>
        <w:jc w:val="left"/>
      </w:pPr>
      <w:r>
        <w:rPr>
          <w:rFonts w:ascii="Calibri" w:eastAsia="Calibri" w:hAnsi="Calibri" w:cs="Calibri"/>
          <w:sz w:val="22"/>
        </w:rPr>
        <w:tab/>
      </w:r>
      <w:r>
        <w:rPr>
          <w:b/>
        </w:rPr>
        <w:t>3.1.15.</w:t>
      </w:r>
      <w:r>
        <w:rPr>
          <w:rFonts w:ascii="Arial" w:eastAsia="Arial" w:hAnsi="Arial" w:cs="Arial"/>
          <w:b/>
        </w:rPr>
        <w:t xml:space="preserve"> </w:t>
      </w:r>
      <w:r>
        <w:rPr>
          <w:rFonts w:ascii="Arial" w:eastAsia="Arial" w:hAnsi="Arial" w:cs="Arial"/>
          <w:b/>
        </w:rPr>
        <w:tab/>
      </w:r>
      <w:r>
        <w:rPr>
          <w:b/>
        </w:rPr>
        <w:t xml:space="preserve">Volume Comparison among fuel type: </w:t>
      </w:r>
    </w:p>
    <w:p w14:paraId="04DF2B02" w14:textId="77777777" w:rsidR="00CE3227" w:rsidRDefault="00000000">
      <w:pPr>
        <w:spacing w:after="35" w:line="476" w:lineRule="auto"/>
        <w:ind w:left="-5" w:right="113"/>
      </w:pPr>
      <w:r>
        <w:t xml:space="preserve">The trading volume analysis of various fuel type helps in analysing the size of market in different fuel types. </w:t>
      </w:r>
    </w:p>
    <w:p w14:paraId="0081A9D9" w14:textId="77777777" w:rsidR="00CE3227" w:rsidRDefault="00000000">
      <w:pPr>
        <w:numPr>
          <w:ilvl w:val="0"/>
          <w:numId w:val="3"/>
        </w:numPr>
        <w:spacing w:after="22" w:line="485" w:lineRule="auto"/>
        <w:ind w:right="113" w:hanging="360"/>
      </w:pPr>
      <w:r>
        <w:t xml:space="preserve">Crude Oil: With Volume of 2,902,657,537, crude oil has the highest volume and is very significant in the market. </w:t>
      </w:r>
    </w:p>
    <w:p w14:paraId="095D8D34" w14:textId="77777777" w:rsidR="00CE3227" w:rsidRDefault="00000000">
      <w:pPr>
        <w:numPr>
          <w:ilvl w:val="0"/>
          <w:numId w:val="3"/>
        </w:numPr>
        <w:ind w:right="113" w:hanging="360"/>
      </w:pPr>
      <w:r>
        <w:t xml:space="preserve">Natural Gas: Closely follow the crude oil market, it has volume of 2,902,381,986 </w:t>
      </w:r>
    </w:p>
    <w:p w14:paraId="64FEAD2D" w14:textId="77777777" w:rsidR="00CE3227" w:rsidRDefault="00000000">
      <w:pPr>
        <w:numPr>
          <w:ilvl w:val="0"/>
          <w:numId w:val="3"/>
        </w:numPr>
        <w:ind w:right="113" w:hanging="360"/>
      </w:pPr>
      <w:r>
        <w:t xml:space="preserve">Heating Oil: Heating oil is behind crude oil and natural gas but with volume of </w:t>
      </w:r>
    </w:p>
    <w:p w14:paraId="19467FEA" w14:textId="77777777" w:rsidR="00CE3227" w:rsidRDefault="00000000">
      <w:pPr>
        <w:spacing w:after="282"/>
        <w:ind w:left="910" w:right="113"/>
      </w:pPr>
      <w:r>
        <w:lastRenderedPageBreak/>
        <w:t xml:space="preserve">2,901,807,037 it dominates large part of market </w:t>
      </w:r>
    </w:p>
    <w:p w14:paraId="40A5E6A9" w14:textId="77777777" w:rsidR="00CE3227" w:rsidRDefault="00000000">
      <w:pPr>
        <w:numPr>
          <w:ilvl w:val="0"/>
          <w:numId w:val="3"/>
        </w:numPr>
        <w:spacing w:after="283"/>
        <w:ind w:right="113" w:hanging="360"/>
      </w:pPr>
      <w:r>
        <w:t xml:space="preserve">RBOB Gasoline: It has volume of 2,896,549,859 </w:t>
      </w:r>
    </w:p>
    <w:p w14:paraId="378EB324" w14:textId="77777777" w:rsidR="00CE3227" w:rsidRDefault="00000000">
      <w:pPr>
        <w:numPr>
          <w:ilvl w:val="0"/>
          <w:numId w:val="3"/>
        </w:numPr>
        <w:spacing w:after="207"/>
        <w:ind w:right="113" w:hanging="360"/>
      </w:pPr>
      <w:r>
        <w:t xml:space="preserve">Brent Crude Oil: Lower in volume of 2,563,187,406 as compared to other fuels. </w:t>
      </w:r>
    </w:p>
    <w:p w14:paraId="787B4C6F" w14:textId="77777777" w:rsidR="00CE3227" w:rsidRDefault="00000000">
      <w:pPr>
        <w:spacing w:after="397" w:line="259" w:lineRule="auto"/>
        <w:ind w:left="2179" w:right="0" w:firstLine="0"/>
        <w:jc w:val="left"/>
      </w:pPr>
      <w:r>
        <w:rPr>
          <w:noProof/>
        </w:rPr>
        <w:drawing>
          <wp:inline distT="0" distB="0" distL="0" distR="0" wp14:anchorId="7914BE06" wp14:editId="2BCAE6FD">
            <wp:extent cx="3514725" cy="1600200"/>
            <wp:effectExtent l="0" t="0" r="0" b="0"/>
            <wp:docPr id="1762" name="Picture 1762"/>
            <wp:cNvGraphicFramePr/>
            <a:graphic xmlns:a="http://schemas.openxmlformats.org/drawingml/2006/main">
              <a:graphicData uri="http://schemas.openxmlformats.org/drawingml/2006/picture">
                <pic:pic xmlns:pic="http://schemas.openxmlformats.org/drawingml/2006/picture">
                  <pic:nvPicPr>
                    <pic:cNvPr id="1762" name="Picture 1762"/>
                    <pic:cNvPicPr/>
                  </pic:nvPicPr>
                  <pic:blipFill>
                    <a:blip r:embed="rId27"/>
                    <a:stretch>
                      <a:fillRect/>
                    </a:stretch>
                  </pic:blipFill>
                  <pic:spPr>
                    <a:xfrm>
                      <a:off x="0" y="0"/>
                      <a:ext cx="3514725" cy="1600200"/>
                    </a:xfrm>
                    <a:prstGeom prst="rect">
                      <a:avLst/>
                    </a:prstGeom>
                  </pic:spPr>
                </pic:pic>
              </a:graphicData>
            </a:graphic>
          </wp:inline>
        </w:drawing>
      </w:r>
      <w:r>
        <w:t xml:space="preserve"> </w:t>
      </w:r>
    </w:p>
    <w:p w14:paraId="2D302ECB" w14:textId="77777777" w:rsidR="00CE3227" w:rsidRDefault="00000000">
      <w:pPr>
        <w:spacing w:after="436"/>
        <w:ind w:left="1162" w:right="1274"/>
        <w:jc w:val="center"/>
      </w:pPr>
      <w:r>
        <w:rPr>
          <w:b/>
          <w:i/>
          <w:sz w:val="20"/>
        </w:rPr>
        <w:t xml:space="preserve">Figure 3.15.: </w:t>
      </w:r>
      <w:r>
        <w:rPr>
          <w:i/>
          <w:sz w:val="20"/>
        </w:rPr>
        <w:t>Fuel type volatility</w:t>
      </w:r>
      <w:r>
        <w:rPr>
          <w:b/>
        </w:rPr>
        <w:t xml:space="preserve"> </w:t>
      </w:r>
    </w:p>
    <w:p w14:paraId="2C7FEDF3" w14:textId="77777777" w:rsidR="00CE3227" w:rsidRDefault="00000000">
      <w:pPr>
        <w:tabs>
          <w:tab w:val="center" w:pos="1433"/>
          <w:tab w:val="center" w:pos="4402"/>
        </w:tabs>
        <w:spacing w:after="251"/>
        <w:ind w:left="0" w:right="0" w:firstLine="0"/>
        <w:jc w:val="left"/>
      </w:pPr>
      <w:r>
        <w:rPr>
          <w:rFonts w:ascii="Calibri" w:eastAsia="Calibri" w:hAnsi="Calibri" w:cs="Calibri"/>
          <w:sz w:val="22"/>
        </w:rPr>
        <w:tab/>
      </w:r>
      <w:r>
        <w:rPr>
          <w:b/>
        </w:rPr>
        <w:t>3.1.16.</w:t>
      </w:r>
      <w:r>
        <w:rPr>
          <w:rFonts w:ascii="Arial" w:eastAsia="Arial" w:hAnsi="Arial" w:cs="Arial"/>
          <w:b/>
        </w:rPr>
        <w:t xml:space="preserve"> </w:t>
      </w:r>
      <w:r>
        <w:rPr>
          <w:rFonts w:ascii="Arial" w:eastAsia="Arial" w:hAnsi="Arial" w:cs="Arial"/>
          <w:b/>
        </w:rPr>
        <w:tab/>
      </w:r>
      <w:r>
        <w:rPr>
          <w:b/>
        </w:rPr>
        <w:t xml:space="preserve">Open Price Comparison among fuel type: </w:t>
      </w:r>
    </w:p>
    <w:p w14:paraId="42D852B4" w14:textId="77777777" w:rsidR="00CE3227" w:rsidRDefault="00000000">
      <w:pPr>
        <w:spacing w:after="30" w:line="478" w:lineRule="auto"/>
        <w:ind w:left="-5" w:right="113"/>
      </w:pPr>
      <w:r>
        <w:t xml:space="preserve">This analysis will provide insights on various kinds of fuel and help in comparing them through market value. </w:t>
      </w:r>
    </w:p>
    <w:p w14:paraId="7FE98B8B" w14:textId="77777777" w:rsidR="00CE3227" w:rsidRDefault="00000000">
      <w:pPr>
        <w:numPr>
          <w:ilvl w:val="0"/>
          <w:numId w:val="3"/>
        </w:numPr>
        <w:spacing w:after="283"/>
        <w:ind w:right="113" w:hanging="360"/>
      </w:pPr>
      <w:r>
        <w:t xml:space="preserve">Crude Oil: Crude Oil lead the market with opening price of 745498.7  </w:t>
      </w:r>
    </w:p>
    <w:p w14:paraId="3D9B50A0" w14:textId="77777777" w:rsidR="00CE3227" w:rsidRDefault="00000000">
      <w:pPr>
        <w:numPr>
          <w:ilvl w:val="0"/>
          <w:numId w:val="3"/>
        </w:numPr>
        <w:ind w:right="113" w:hanging="360"/>
      </w:pPr>
      <w:r>
        <w:t xml:space="preserve">Natural Gas: Closely follow the crude oil market, opening price of natural gas is </w:t>
      </w:r>
    </w:p>
    <w:p w14:paraId="0A70F128" w14:textId="77777777" w:rsidR="00CE3227" w:rsidRDefault="00000000">
      <w:pPr>
        <w:spacing w:after="283"/>
        <w:ind w:left="910" w:right="113"/>
      </w:pPr>
      <w:r>
        <w:t xml:space="preserve">745341.4 </w:t>
      </w:r>
    </w:p>
    <w:p w14:paraId="29E035A5" w14:textId="77777777" w:rsidR="00CE3227" w:rsidRDefault="00000000">
      <w:pPr>
        <w:numPr>
          <w:ilvl w:val="0"/>
          <w:numId w:val="3"/>
        </w:numPr>
        <w:spacing w:after="22" w:line="485" w:lineRule="auto"/>
        <w:ind w:right="113" w:hanging="360"/>
      </w:pPr>
      <w:r>
        <w:t xml:space="preserve">Heating Oil: Heating oil is slightly behind crude oil and natural gas with opening price of 745053.6 </w:t>
      </w:r>
    </w:p>
    <w:p w14:paraId="1976B191" w14:textId="77777777" w:rsidR="00CE3227" w:rsidRDefault="00000000">
      <w:pPr>
        <w:numPr>
          <w:ilvl w:val="0"/>
          <w:numId w:val="3"/>
        </w:numPr>
        <w:spacing w:after="283"/>
        <w:ind w:right="113" w:hanging="360"/>
      </w:pPr>
      <w:r>
        <w:t xml:space="preserve">RBOB Gasoline: It has opening price of 743398.5 </w:t>
      </w:r>
    </w:p>
    <w:p w14:paraId="7986CB1C" w14:textId="77777777" w:rsidR="00CE3227" w:rsidRDefault="00000000">
      <w:pPr>
        <w:numPr>
          <w:ilvl w:val="0"/>
          <w:numId w:val="3"/>
        </w:numPr>
        <w:ind w:right="113" w:hanging="360"/>
      </w:pPr>
      <w:r>
        <w:t xml:space="preserve">Brent Crude Oil: Brent crude oil has lowest opening price with 652369.3 </w:t>
      </w:r>
    </w:p>
    <w:p w14:paraId="432ADD4B" w14:textId="77777777" w:rsidR="00CE3227" w:rsidRDefault="00000000">
      <w:pPr>
        <w:spacing w:after="366" w:line="259" w:lineRule="auto"/>
        <w:ind w:left="18" w:right="0" w:firstLine="0"/>
        <w:jc w:val="center"/>
      </w:pPr>
      <w:r>
        <w:rPr>
          <w:noProof/>
        </w:rPr>
        <w:lastRenderedPageBreak/>
        <w:drawing>
          <wp:inline distT="0" distB="0" distL="0" distR="0" wp14:anchorId="220C5233" wp14:editId="4DBA43A5">
            <wp:extent cx="2133600" cy="2524125"/>
            <wp:effectExtent l="0" t="0" r="0" b="0"/>
            <wp:docPr id="1802" name="Picture 1802"/>
            <wp:cNvGraphicFramePr/>
            <a:graphic xmlns:a="http://schemas.openxmlformats.org/drawingml/2006/main">
              <a:graphicData uri="http://schemas.openxmlformats.org/drawingml/2006/picture">
                <pic:pic xmlns:pic="http://schemas.openxmlformats.org/drawingml/2006/picture">
                  <pic:nvPicPr>
                    <pic:cNvPr id="1802" name="Picture 1802"/>
                    <pic:cNvPicPr/>
                  </pic:nvPicPr>
                  <pic:blipFill>
                    <a:blip r:embed="rId28"/>
                    <a:stretch>
                      <a:fillRect/>
                    </a:stretch>
                  </pic:blipFill>
                  <pic:spPr>
                    <a:xfrm>
                      <a:off x="0" y="0"/>
                      <a:ext cx="2133600" cy="2524125"/>
                    </a:xfrm>
                    <a:prstGeom prst="rect">
                      <a:avLst/>
                    </a:prstGeom>
                  </pic:spPr>
                </pic:pic>
              </a:graphicData>
            </a:graphic>
          </wp:inline>
        </w:drawing>
      </w:r>
      <w:r>
        <w:rPr>
          <w:b/>
        </w:rPr>
        <w:t xml:space="preserve"> </w:t>
      </w:r>
    </w:p>
    <w:p w14:paraId="5E786448" w14:textId="77777777" w:rsidR="00CE3227" w:rsidRDefault="00000000">
      <w:pPr>
        <w:spacing w:after="209"/>
        <w:ind w:left="1162" w:right="718"/>
        <w:jc w:val="center"/>
      </w:pPr>
      <w:r>
        <w:rPr>
          <w:b/>
          <w:i/>
          <w:sz w:val="20"/>
        </w:rPr>
        <w:t xml:space="preserve">Figure 3.16.: </w:t>
      </w:r>
      <w:r>
        <w:rPr>
          <w:i/>
          <w:sz w:val="20"/>
        </w:rPr>
        <w:t xml:space="preserve">Fuel type open prices </w:t>
      </w:r>
    </w:p>
    <w:p w14:paraId="4BABF66C" w14:textId="77777777" w:rsidR="00CE3227" w:rsidRDefault="00000000">
      <w:pPr>
        <w:spacing w:after="285" w:line="259" w:lineRule="auto"/>
        <w:ind w:left="1201" w:right="0" w:firstLine="0"/>
        <w:jc w:val="center"/>
      </w:pPr>
      <w:r>
        <w:rPr>
          <w:i/>
          <w:sz w:val="20"/>
        </w:rPr>
        <w:t xml:space="preserve"> </w:t>
      </w:r>
    </w:p>
    <w:p w14:paraId="1F196607" w14:textId="77777777" w:rsidR="00CE3227" w:rsidRDefault="00000000">
      <w:pPr>
        <w:tabs>
          <w:tab w:val="center" w:pos="1433"/>
          <w:tab w:val="center" w:pos="4395"/>
        </w:tabs>
        <w:spacing w:after="251"/>
        <w:ind w:left="0" w:right="0" w:firstLine="0"/>
        <w:jc w:val="left"/>
      </w:pPr>
      <w:r>
        <w:rPr>
          <w:rFonts w:ascii="Calibri" w:eastAsia="Calibri" w:hAnsi="Calibri" w:cs="Calibri"/>
          <w:sz w:val="22"/>
        </w:rPr>
        <w:tab/>
      </w:r>
      <w:r>
        <w:rPr>
          <w:b/>
        </w:rPr>
        <w:t>3.1.17.</w:t>
      </w:r>
      <w:r>
        <w:rPr>
          <w:rFonts w:ascii="Arial" w:eastAsia="Arial" w:hAnsi="Arial" w:cs="Arial"/>
          <w:b/>
        </w:rPr>
        <w:t xml:space="preserve"> </w:t>
      </w:r>
      <w:r>
        <w:rPr>
          <w:rFonts w:ascii="Arial" w:eastAsia="Arial" w:hAnsi="Arial" w:cs="Arial"/>
          <w:b/>
        </w:rPr>
        <w:tab/>
      </w:r>
      <w:r>
        <w:rPr>
          <w:b/>
        </w:rPr>
        <w:t xml:space="preserve">High Value Comparison among fuel type:   </w:t>
      </w:r>
    </w:p>
    <w:p w14:paraId="2C6BD763" w14:textId="77777777" w:rsidR="00CE3227" w:rsidRDefault="00000000">
      <w:pPr>
        <w:spacing w:after="0" w:line="478" w:lineRule="auto"/>
        <w:ind w:left="-5" w:right="113"/>
      </w:pPr>
      <w:r>
        <w:t xml:space="preserve">This analysis will provide insights on various kinds of fuel and help in comparing them through market value. </w:t>
      </w:r>
    </w:p>
    <w:p w14:paraId="4032B753" w14:textId="77777777" w:rsidR="00CE3227" w:rsidRDefault="00000000">
      <w:pPr>
        <w:spacing w:after="196" w:line="259" w:lineRule="auto"/>
        <w:ind w:left="917" w:right="0" w:firstLine="0"/>
        <w:jc w:val="center"/>
      </w:pPr>
      <w:r>
        <w:rPr>
          <w:noProof/>
        </w:rPr>
        <w:drawing>
          <wp:inline distT="0" distB="0" distL="0" distR="0" wp14:anchorId="7DC1F7F7" wp14:editId="1552B592">
            <wp:extent cx="2247900" cy="1743075"/>
            <wp:effectExtent l="0" t="0" r="0" b="0"/>
            <wp:docPr id="1804" name="Picture 1804"/>
            <wp:cNvGraphicFramePr/>
            <a:graphic xmlns:a="http://schemas.openxmlformats.org/drawingml/2006/main">
              <a:graphicData uri="http://schemas.openxmlformats.org/drawingml/2006/picture">
                <pic:pic xmlns:pic="http://schemas.openxmlformats.org/drawingml/2006/picture">
                  <pic:nvPicPr>
                    <pic:cNvPr id="1804" name="Picture 1804"/>
                    <pic:cNvPicPr/>
                  </pic:nvPicPr>
                  <pic:blipFill>
                    <a:blip r:embed="rId29"/>
                    <a:stretch>
                      <a:fillRect/>
                    </a:stretch>
                  </pic:blipFill>
                  <pic:spPr>
                    <a:xfrm>
                      <a:off x="0" y="0"/>
                      <a:ext cx="2247900" cy="1743075"/>
                    </a:xfrm>
                    <a:prstGeom prst="rect">
                      <a:avLst/>
                    </a:prstGeom>
                  </pic:spPr>
                </pic:pic>
              </a:graphicData>
            </a:graphic>
          </wp:inline>
        </w:drawing>
      </w:r>
      <w:r>
        <w:rPr>
          <w:b/>
        </w:rPr>
        <w:t xml:space="preserve"> </w:t>
      </w:r>
    </w:p>
    <w:p w14:paraId="74AFB421" w14:textId="77777777" w:rsidR="00CE3227" w:rsidRDefault="00000000">
      <w:pPr>
        <w:spacing w:after="236"/>
        <w:ind w:left="1162" w:right="658"/>
        <w:jc w:val="center"/>
      </w:pPr>
      <w:r>
        <w:rPr>
          <w:b/>
          <w:i/>
          <w:sz w:val="20"/>
        </w:rPr>
        <w:t xml:space="preserve">      Figure 3.16.: </w:t>
      </w:r>
      <w:r>
        <w:rPr>
          <w:i/>
          <w:sz w:val="20"/>
        </w:rPr>
        <w:t>Fuel type high values</w:t>
      </w:r>
      <w:r>
        <w:t xml:space="preserve"> </w:t>
      </w:r>
    </w:p>
    <w:p w14:paraId="139E530C" w14:textId="77777777" w:rsidR="00CE3227" w:rsidRDefault="00000000">
      <w:pPr>
        <w:numPr>
          <w:ilvl w:val="0"/>
          <w:numId w:val="3"/>
        </w:numPr>
        <w:spacing w:after="283"/>
        <w:ind w:right="113" w:hanging="360"/>
      </w:pPr>
      <w:r>
        <w:t xml:space="preserve">Crude Oil: Crude Oil lead the market with highest high value of 756238 </w:t>
      </w:r>
    </w:p>
    <w:p w14:paraId="3BE4ACFB" w14:textId="77777777" w:rsidR="00CE3227" w:rsidRDefault="00000000">
      <w:pPr>
        <w:numPr>
          <w:ilvl w:val="0"/>
          <w:numId w:val="3"/>
        </w:numPr>
        <w:spacing w:after="288" w:line="259" w:lineRule="auto"/>
        <w:ind w:right="113" w:hanging="360"/>
      </w:pPr>
      <w:r>
        <w:t xml:space="preserve">Natural Gas: Closely follow the crude oil market, high value of natural gas is 756078 </w:t>
      </w:r>
    </w:p>
    <w:p w14:paraId="4ECCE6CF" w14:textId="77777777" w:rsidR="00CE3227" w:rsidRDefault="00000000">
      <w:pPr>
        <w:numPr>
          <w:ilvl w:val="0"/>
          <w:numId w:val="3"/>
        </w:numPr>
        <w:spacing w:line="483" w:lineRule="auto"/>
        <w:ind w:right="113" w:hanging="360"/>
      </w:pPr>
      <w:r>
        <w:t xml:space="preserve">Heating Oil: Heating oil is slightly behind crude oil and natural gas with high value of 755788 </w:t>
      </w:r>
    </w:p>
    <w:p w14:paraId="25BF73EF" w14:textId="77777777" w:rsidR="00CE3227" w:rsidRDefault="00000000">
      <w:pPr>
        <w:numPr>
          <w:ilvl w:val="0"/>
          <w:numId w:val="3"/>
        </w:numPr>
        <w:spacing w:after="283"/>
        <w:ind w:right="113" w:hanging="360"/>
      </w:pPr>
      <w:r>
        <w:lastRenderedPageBreak/>
        <w:t xml:space="preserve">RBOB Gasoline: It has high value of 754104 </w:t>
      </w:r>
    </w:p>
    <w:p w14:paraId="3CCF5E68" w14:textId="77777777" w:rsidR="00CE3227" w:rsidRDefault="00000000">
      <w:pPr>
        <w:numPr>
          <w:ilvl w:val="0"/>
          <w:numId w:val="3"/>
        </w:numPr>
        <w:spacing w:after="254" w:line="259" w:lineRule="auto"/>
        <w:ind w:right="113" w:hanging="360"/>
      </w:pPr>
      <w:r>
        <w:t xml:space="preserve">Brent Crude Oil: Brent crude oil has lowest high value among various fuels with </w:t>
      </w:r>
    </w:p>
    <w:p w14:paraId="7A6599AA" w14:textId="77777777" w:rsidR="00CE3227" w:rsidRDefault="00000000">
      <w:pPr>
        <w:ind w:left="1001" w:right="113"/>
      </w:pPr>
      <w:r>
        <w:t xml:space="preserve">661596 </w:t>
      </w:r>
    </w:p>
    <w:p w14:paraId="26C4FF74" w14:textId="77777777" w:rsidR="00CE3227" w:rsidRDefault="00000000">
      <w:pPr>
        <w:spacing w:after="286" w:line="259" w:lineRule="auto"/>
        <w:ind w:left="2161" w:right="0" w:firstLine="0"/>
        <w:jc w:val="left"/>
      </w:pPr>
      <w:r>
        <w:rPr>
          <w:b/>
        </w:rPr>
        <w:t xml:space="preserve"> </w:t>
      </w:r>
    </w:p>
    <w:p w14:paraId="6E88BFCF" w14:textId="77777777" w:rsidR="00CE3227" w:rsidRDefault="00000000">
      <w:pPr>
        <w:tabs>
          <w:tab w:val="center" w:pos="1433"/>
          <w:tab w:val="center" w:pos="4366"/>
        </w:tabs>
        <w:spacing w:after="251"/>
        <w:ind w:left="0" w:right="0" w:firstLine="0"/>
        <w:jc w:val="left"/>
      </w:pPr>
      <w:r>
        <w:rPr>
          <w:rFonts w:ascii="Calibri" w:eastAsia="Calibri" w:hAnsi="Calibri" w:cs="Calibri"/>
          <w:sz w:val="22"/>
        </w:rPr>
        <w:tab/>
      </w:r>
      <w:r>
        <w:rPr>
          <w:b/>
        </w:rPr>
        <w:t>3.1.18.</w:t>
      </w:r>
      <w:r>
        <w:rPr>
          <w:rFonts w:ascii="Arial" w:eastAsia="Arial" w:hAnsi="Arial" w:cs="Arial"/>
          <w:b/>
        </w:rPr>
        <w:t xml:space="preserve"> </w:t>
      </w:r>
      <w:r>
        <w:rPr>
          <w:rFonts w:ascii="Arial" w:eastAsia="Arial" w:hAnsi="Arial" w:cs="Arial"/>
          <w:b/>
        </w:rPr>
        <w:tab/>
      </w:r>
      <w:r>
        <w:rPr>
          <w:b/>
        </w:rPr>
        <w:t xml:space="preserve">Low Value Comparison among fuel type: </w:t>
      </w:r>
    </w:p>
    <w:p w14:paraId="0F334AA9" w14:textId="77777777" w:rsidR="00CE3227" w:rsidRDefault="00000000">
      <w:pPr>
        <w:spacing w:after="0" w:line="476" w:lineRule="auto"/>
        <w:ind w:left="-5" w:right="113"/>
      </w:pPr>
      <w:r>
        <w:t xml:space="preserve">This analysis will provide insights on various kinds of fuel and help in comparing them through market value. </w:t>
      </w:r>
    </w:p>
    <w:p w14:paraId="3DC3DC95" w14:textId="77777777" w:rsidR="00CE3227" w:rsidRDefault="00000000">
      <w:pPr>
        <w:spacing w:after="196" w:line="259" w:lineRule="auto"/>
        <w:ind w:left="886" w:right="0" w:firstLine="0"/>
        <w:jc w:val="center"/>
      </w:pPr>
      <w:r>
        <w:rPr>
          <w:noProof/>
        </w:rPr>
        <w:drawing>
          <wp:inline distT="0" distB="0" distL="0" distR="0" wp14:anchorId="210C58D0" wp14:editId="71B7F4EF">
            <wp:extent cx="2228850" cy="1647825"/>
            <wp:effectExtent l="0" t="0" r="0" b="0"/>
            <wp:docPr id="1860" name="Picture 1860"/>
            <wp:cNvGraphicFramePr/>
            <a:graphic xmlns:a="http://schemas.openxmlformats.org/drawingml/2006/main">
              <a:graphicData uri="http://schemas.openxmlformats.org/drawingml/2006/picture">
                <pic:pic xmlns:pic="http://schemas.openxmlformats.org/drawingml/2006/picture">
                  <pic:nvPicPr>
                    <pic:cNvPr id="1860" name="Picture 1860"/>
                    <pic:cNvPicPr/>
                  </pic:nvPicPr>
                  <pic:blipFill>
                    <a:blip r:embed="rId30"/>
                    <a:stretch>
                      <a:fillRect/>
                    </a:stretch>
                  </pic:blipFill>
                  <pic:spPr>
                    <a:xfrm>
                      <a:off x="0" y="0"/>
                      <a:ext cx="2228850" cy="1647825"/>
                    </a:xfrm>
                    <a:prstGeom prst="rect">
                      <a:avLst/>
                    </a:prstGeom>
                  </pic:spPr>
                </pic:pic>
              </a:graphicData>
            </a:graphic>
          </wp:inline>
        </w:drawing>
      </w:r>
      <w:r>
        <w:rPr>
          <w:b/>
        </w:rPr>
        <w:t xml:space="preserve"> </w:t>
      </w:r>
    </w:p>
    <w:p w14:paraId="1DF219E5" w14:textId="77777777" w:rsidR="00CE3227" w:rsidRDefault="00000000">
      <w:pPr>
        <w:spacing w:after="236"/>
        <w:ind w:left="1162" w:right="634"/>
        <w:jc w:val="center"/>
      </w:pPr>
      <w:r>
        <w:rPr>
          <w:b/>
          <w:i/>
          <w:sz w:val="20"/>
        </w:rPr>
        <w:t xml:space="preserve">       Figure 3.16.: </w:t>
      </w:r>
      <w:r>
        <w:rPr>
          <w:i/>
          <w:sz w:val="20"/>
        </w:rPr>
        <w:t>Fuel type Low values</w:t>
      </w:r>
      <w:r>
        <w:t xml:space="preserve"> </w:t>
      </w:r>
    </w:p>
    <w:p w14:paraId="6BD830E4" w14:textId="77777777" w:rsidR="00CE3227" w:rsidRDefault="00000000">
      <w:pPr>
        <w:numPr>
          <w:ilvl w:val="0"/>
          <w:numId w:val="3"/>
        </w:numPr>
        <w:spacing w:after="254" w:line="259" w:lineRule="auto"/>
        <w:ind w:right="113" w:hanging="360"/>
      </w:pPr>
      <w:r>
        <w:t xml:space="preserve">Low value is approximately the same for all 4 fuels with a very small difference. </w:t>
      </w:r>
    </w:p>
    <w:p w14:paraId="5FD89EB3" w14:textId="77777777" w:rsidR="00CE3227" w:rsidRDefault="00000000">
      <w:pPr>
        <w:ind w:left="850" w:right="113"/>
      </w:pPr>
      <w:r>
        <w:t xml:space="preserve">Crude Oil: 734079 </w:t>
      </w:r>
    </w:p>
    <w:p w14:paraId="144D2D3E" w14:textId="77777777" w:rsidR="00CE3227" w:rsidRDefault="00000000">
      <w:pPr>
        <w:ind w:left="850" w:right="113"/>
      </w:pPr>
      <w:r>
        <w:t xml:space="preserve">Natural Gas: 733923 </w:t>
      </w:r>
    </w:p>
    <w:p w14:paraId="6FCD72CC" w14:textId="77777777" w:rsidR="00CE3227" w:rsidRDefault="00000000">
      <w:pPr>
        <w:ind w:left="850" w:right="113"/>
      </w:pPr>
      <w:r>
        <w:t xml:space="preserve">Heating Oil: 733638 </w:t>
      </w:r>
    </w:p>
    <w:p w14:paraId="37B9DCB1" w14:textId="77777777" w:rsidR="00CE3227" w:rsidRDefault="00000000">
      <w:pPr>
        <w:spacing w:after="282"/>
        <w:ind w:left="850" w:right="113"/>
      </w:pPr>
      <w:r>
        <w:t xml:space="preserve">RBOB Gasoline: 732012 </w:t>
      </w:r>
    </w:p>
    <w:p w14:paraId="70545162" w14:textId="77777777" w:rsidR="00CE3227" w:rsidRDefault="00000000">
      <w:pPr>
        <w:numPr>
          <w:ilvl w:val="0"/>
          <w:numId w:val="3"/>
        </w:numPr>
        <w:spacing w:after="279"/>
        <w:ind w:right="113" w:hanging="360"/>
      </w:pPr>
      <w:r>
        <w:t xml:space="preserve">Brent Crude oil have lowest low value with 642459 </w:t>
      </w:r>
    </w:p>
    <w:p w14:paraId="6DC309B2" w14:textId="77777777" w:rsidR="00CE3227" w:rsidRDefault="00000000">
      <w:pPr>
        <w:tabs>
          <w:tab w:val="center" w:pos="1433"/>
          <w:tab w:val="center" w:pos="2505"/>
        </w:tabs>
        <w:spacing w:after="251"/>
        <w:ind w:left="0" w:right="0" w:firstLine="0"/>
        <w:jc w:val="left"/>
      </w:pPr>
      <w:r>
        <w:rPr>
          <w:rFonts w:ascii="Calibri" w:eastAsia="Calibri" w:hAnsi="Calibri" w:cs="Calibri"/>
          <w:sz w:val="22"/>
        </w:rPr>
        <w:tab/>
      </w:r>
      <w:r>
        <w:rPr>
          <w:b/>
        </w:rPr>
        <w:t>3.1.19.</w:t>
      </w:r>
      <w:r>
        <w:rPr>
          <w:rFonts w:ascii="Arial" w:eastAsia="Arial" w:hAnsi="Arial" w:cs="Arial"/>
          <w:b/>
        </w:rPr>
        <w:t xml:space="preserve"> </w:t>
      </w:r>
      <w:r>
        <w:rPr>
          <w:rFonts w:ascii="Arial" w:eastAsia="Arial" w:hAnsi="Arial" w:cs="Arial"/>
          <w:b/>
        </w:rPr>
        <w:tab/>
      </w:r>
      <w:r>
        <w:rPr>
          <w:b/>
        </w:rPr>
        <w:t xml:space="preserve">Slicer: </w:t>
      </w:r>
    </w:p>
    <w:p w14:paraId="6E57DD7C" w14:textId="77777777" w:rsidR="00CE3227" w:rsidRDefault="00000000">
      <w:pPr>
        <w:spacing w:line="478" w:lineRule="auto"/>
        <w:ind w:left="-5" w:right="113"/>
      </w:pPr>
      <w:r>
        <w:t xml:space="preserve">Date slicer make the dashboard </w:t>
      </w:r>
      <w:proofErr w:type="gramStart"/>
      <w:r>
        <w:t>more preferable</w:t>
      </w:r>
      <w:proofErr w:type="gramEnd"/>
      <w:r>
        <w:t xml:space="preserve"> and give easy access to any date data that have to be analysed.</w:t>
      </w:r>
      <w:r>
        <w:rPr>
          <w:b/>
        </w:rPr>
        <w:t xml:space="preserve"> </w:t>
      </w:r>
    </w:p>
    <w:p w14:paraId="3BD8C693" w14:textId="77777777" w:rsidR="00CE3227" w:rsidRDefault="00000000">
      <w:pPr>
        <w:spacing w:after="204" w:line="259" w:lineRule="auto"/>
        <w:ind w:left="0" w:right="286" w:firstLine="0"/>
        <w:jc w:val="right"/>
      </w:pPr>
      <w:r>
        <w:rPr>
          <w:noProof/>
        </w:rPr>
        <w:lastRenderedPageBreak/>
        <w:drawing>
          <wp:inline distT="0" distB="0" distL="0" distR="0" wp14:anchorId="393C58B4" wp14:editId="5B23D02C">
            <wp:extent cx="5314951" cy="404495"/>
            <wp:effectExtent l="0" t="0" r="0" b="0"/>
            <wp:docPr id="1918" name="Picture 1918"/>
            <wp:cNvGraphicFramePr/>
            <a:graphic xmlns:a="http://schemas.openxmlformats.org/drawingml/2006/main">
              <a:graphicData uri="http://schemas.openxmlformats.org/drawingml/2006/picture">
                <pic:pic xmlns:pic="http://schemas.openxmlformats.org/drawingml/2006/picture">
                  <pic:nvPicPr>
                    <pic:cNvPr id="1918" name="Picture 1918"/>
                    <pic:cNvPicPr/>
                  </pic:nvPicPr>
                  <pic:blipFill>
                    <a:blip r:embed="rId31"/>
                    <a:stretch>
                      <a:fillRect/>
                    </a:stretch>
                  </pic:blipFill>
                  <pic:spPr>
                    <a:xfrm>
                      <a:off x="0" y="0"/>
                      <a:ext cx="5314951" cy="404495"/>
                    </a:xfrm>
                    <a:prstGeom prst="rect">
                      <a:avLst/>
                    </a:prstGeom>
                  </pic:spPr>
                </pic:pic>
              </a:graphicData>
            </a:graphic>
          </wp:inline>
        </w:drawing>
      </w:r>
      <w:r>
        <w:rPr>
          <w:b/>
        </w:rPr>
        <w:t xml:space="preserve"> </w:t>
      </w:r>
    </w:p>
    <w:p w14:paraId="0646B7DE" w14:textId="77777777" w:rsidR="00CE3227" w:rsidRDefault="00000000">
      <w:pPr>
        <w:tabs>
          <w:tab w:val="center" w:pos="4763"/>
          <w:tab w:val="center" w:pos="6121"/>
        </w:tabs>
        <w:spacing w:after="288" w:line="259" w:lineRule="auto"/>
        <w:ind w:left="0" w:right="0" w:firstLine="0"/>
        <w:jc w:val="left"/>
      </w:pPr>
      <w:r>
        <w:rPr>
          <w:rFonts w:ascii="Calibri" w:eastAsia="Calibri" w:hAnsi="Calibri" w:cs="Calibri"/>
          <w:sz w:val="22"/>
        </w:rPr>
        <w:tab/>
      </w:r>
      <w:r>
        <w:rPr>
          <w:b/>
          <w:i/>
          <w:sz w:val="20"/>
        </w:rPr>
        <w:t xml:space="preserve">Figure 3.19.: </w:t>
      </w:r>
      <w:r>
        <w:rPr>
          <w:i/>
          <w:sz w:val="20"/>
        </w:rPr>
        <w:t>Slicer</w:t>
      </w:r>
      <w:r>
        <w:rPr>
          <w:b/>
          <w:i/>
        </w:rPr>
        <w:t xml:space="preserve"> </w:t>
      </w:r>
      <w:r>
        <w:rPr>
          <w:b/>
          <w:i/>
        </w:rPr>
        <w:tab/>
      </w:r>
      <w:r>
        <w:rPr>
          <w:b/>
          <w:i/>
          <w:sz w:val="20"/>
        </w:rPr>
        <w:t xml:space="preserve"> </w:t>
      </w:r>
    </w:p>
    <w:p w14:paraId="6208778B" w14:textId="77777777" w:rsidR="00CE3227" w:rsidRDefault="00000000">
      <w:pPr>
        <w:pStyle w:val="Heading2"/>
        <w:tabs>
          <w:tab w:val="center" w:pos="3001"/>
        </w:tabs>
        <w:ind w:left="0" w:firstLine="0"/>
      </w:pPr>
      <w:bookmarkStart w:id="16" w:name="_Toc24479"/>
      <w:r>
        <w:t>4.</w:t>
      </w:r>
      <w:r>
        <w:rPr>
          <w:rFonts w:ascii="Arial" w:eastAsia="Arial" w:hAnsi="Arial" w:cs="Arial"/>
        </w:rPr>
        <w:t xml:space="preserve"> </w:t>
      </w:r>
      <w:r>
        <w:rPr>
          <w:rFonts w:ascii="Arial" w:eastAsia="Arial" w:hAnsi="Arial" w:cs="Arial"/>
        </w:rPr>
        <w:tab/>
      </w:r>
      <w:r>
        <w:t xml:space="preserve">Conclusions and Recommendations </w:t>
      </w:r>
      <w:bookmarkEnd w:id="16"/>
    </w:p>
    <w:p w14:paraId="79DEFCAA" w14:textId="77777777" w:rsidR="00CE3227" w:rsidRDefault="00000000">
      <w:pPr>
        <w:spacing w:after="0" w:line="477" w:lineRule="auto"/>
        <w:ind w:left="370" w:right="113"/>
      </w:pPr>
      <w:r>
        <w:t xml:space="preserve">The analysis provided important information into the fuel-energy market. The data brief about historical price behaviour, market volatility and different trends. This also provides insights in the relationship among various types of fuels as well as global fluctuation and events for businesses and traders helping them in risk taking and critical markets. </w:t>
      </w:r>
    </w:p>
    <w:p w14:paraId="7A8FF88B" w14:textId="77777777" w:rsidR="00CE3227" w:rsidRDefault="00000000">
      <w:pPr>
        <w:spacing w:after="258" w:line="259" w:lineRule="auto"/>
        <w:ind w:left="360" w:right="0" w:firstLine="0"/>
        <w:jc w:val="left"/>
      </w:pPr>
      <w:r>
        <w:t xml:space="preserve"> </w:t>
      </w:r>
    </w:p>
    <w:p w14:paraId="003EF731" w14:textId="77777777" w:rsidR="00CE3227" w:rsidRDefault="00000000">
      <w:pPr>
        <w:spacing w:after="0" w:line="477" w:lineRule="auto"/>
        <w:ind w:left="293" w:right="113"/>
      </w:pPr>
      <w:r>
        <w:rPr>
          <w:b/>
        </w:rPr>
        <w:t xml:space="preserve">Risk Management Strategies: </w:t>
      </w:r>
      <w:r>
        <w:t xml:space="preserve">Risk management strategies makes it possible to discover how to make money </w:t>
      </w:r>
      <w:proofErr w:type="gramStart"/>
      <w:r>
        <w:t>and also</w:t>
      </w:r>
      <w:proofErr w:type="gramEnd"/>
      <w:r>
        <w:t xml:space="preserve"> prevent market risk especially during tricky times. It also affects global fuel price fluctuation, which makes it possible to determine when the price can be high and when it can be low. Pre-Planned strategies should be made according to the analysis identified.  </w:t>
      </w:r>
    </w:p>
    <w:p w14:paraId="0A9DCEAC" w14:textId="77777777" w:rsidR="00CE3227" w:rsidRDefault="00000000">
      <w:pPr>
        <w:spacing w:after="258" w:line="259" w:lineRule="auto"/>
        <w:ind w:left="283" w:right="0" w:firstLine="0"/>
        <w:jc w:val="left"/>
      </w:pPr>
      <w:r>
        <w:t xml:space="preserve"> </w:t>
      </w:r>
    </w:p>
    <w:p w14:paraId="630E54FB" w14:textId="77777777" w:rsidR="00CE3227" w:rsidRDefault="00000000">
      <w:pPr>
        <w:spacing w:after="0" w:line="476" w:lineRule="auto"/>
        <w:ind w:left="293" w:right="113"/>
      </w:pPr>
      <w:r>
        <w:rPr>
          <w:b/>
        </w:rPr>
        <w:t>Data Driven Decision making:</w:t>
      </w:r>
      <w:r>
        <w:t xml:space="preserve"> Data-centric segmentation strategy results in good and effective impact. Dataset plays a vital role in the market as planning according to the insights can give better results and prevent risk. Marketing strategies planned according to data-driven insights can provide value and loyalty. </w:t>
      </w:r>
    </w:p>
    <w:p w14:paraId="37DF07C0" w14:textId="77777777" w:rsidR="00CE3227" w:rsidRDefault="00000000">
      <w:pPr>
        <w:spacing w:after="2" w:line="478" w:lineRule="auto"/>
        <w:ind w:left="293" w:right="113"/>
      </w:pPr>
      <w:r>
        <w:rPr>
          <w:b/>
        </w:rPr>
        <w:t>Diversification of Portfolios:</w:t>
      </w:r>
      <w:r>
        <w:t xml:space="preserve"> It is </w:t>
      </w:r>
      <w:proofErr w:type="gramStart"/>
      <w:r>
        <w:t>really important</w:t>
      </w:r>
      <w:proofErr w:type="gramEnd"/>
      <w:r>
        <w:t xml:space="preserve"> to find market scenarios according to various fuel types. By analysing the historical data and market, the right choice should be made and accordingly the focus should be set. Also investing in different fuel type can minimize the risk. By right analysis and insights good results can be achieved. </w:t>
      </w:r>
    </w:p>
    <w:p w14:paraId="023934DC" w14:textId="77777777" w:rsidR="00CE3227" w:rsidRDefault="00000000">
      <w:pPr>
        <w:spacing w:after="256" w:line="259" w:lineRule="auto"/>
        <w:ind w:left="283" w:right="0" w:firstLine="0"/>
        <w:jc w:val="left"/>
      </w:pPr>
      <w:r>
        <w:lastRenderedPageBreak/>
        <w:t xml:space="preserve"> </w:t>
      </w:r>
    </w:p>
    <w:p w14:paraId="67AD82CF" w14:textId="77777777" w:rsidR="00CE3227" w:rsidRDefault="00000000">
      <w:pPr>
        <w:spacing w:after="0" w:line="477" w:lineRule="auto"/>
        <w:ind w:left="293" w:right="113"/>
      </w:pPr>
      <w:r>
        <w:rPr>
          <w:b/>
        </w:rPr>
        <w:t xml:space="preserve">Monitoring Key indicator: </w:t>
      </w:r>
      <w:r>
        <w:t xml:space="preserve">It is more efficient to analyse the market dimensions in accordance to historical price behaviour such as profit, loss, trading volume, daily price change, opening positions, market trends and global events which will eventually help in discovering potential opportunities. </w:t>
      </w:r>
    </w:p>
    <w:p w14:paraId="06802376" w14:textId="77777777" w:rsidR="00CE3227" w:rsidRDefault="00000000">
      <w:pPr>
        <w:spacing w:after="258" w:line="259" w:lineRule="auto"/>
        <w:ind w:left="283" w:right="0" w:firstLine="0"/>
        <w:jc w:val="left"/>
      </w:pPr>
      <w:r>
        <w:t xml:space="preserve">  </w:t>
      </w:r>
    </w:p>
    <w:p w14:paraId="7CDD0B54" w14:textId="77777777" w:rsidR="00CE3227" w:rsidRDefault="00000000">
      <w:pPr>
        <w:spacing w:line="487" w:lineRule="auto"/>
        <w:ind w:left="293" w:right="113"/>
      </w:pPr>
      <w:r>
        <w:rPr>
          <w:b/>
        </w:rPr>
        <w:t xml:space="preserve">Strategic Adaptation: </w:t>
      </w:r>
      <w:r>
        <w:t xml:space="preserve">It is important to adapt the changing dynamics and scenario in the market </w:t>
      </w:r>
      <w:proofErr w:type="gramStart"/>
      <w:r>
        <w:t>and also</w:t>
      </w:r>
      <w:proofErr w:type="gramEnd"/>
      <w:r>
        <w:t xml:space="preserve"> to stay alert with a proactive response to critical situations.</w:t>
      </w:r>
      <w:r>
        <w:rPr>
          <w:rFonts w:ascii="Arial" w:eastAsia="Arial" w:hAnsi="Arial" w:cs="Arial"/>
          <w:sz w:val="22"/>
        </w:rPr>
        <w:t xml:space="preserve"> </w:t>
      </w:r>
      <w:r>
        <w:br w:type="page"/>
      </w:r>
    </w:p>
    <w:p w14:paraId="47088ED3" w14:textId="77777777" w:rsidR="00CE3227" w:rsidRDefault="00000000">
      <w:pPr>
        <w:pStyle w:val="Heading1"/>
        <w:tabs>
          <w:tab w:val="center" w:pos="2017"/>
        </w:tabs>
        <w:spacing w:after="489"/>
        <w:ind w:left="0" w:firstLine="0"/>
      </w:pPr>
      <w:bookmarkStart w:id="17" w:name="_Toc24480"/>
      <w:r>
        <w:lastRenderedPageBreak/>
        <w:t>5.</w:t>
      </w:r>
      <w:r>
        <w:rPr>
          <w:rFonts w:ascii="Arial" w:eastAsia="Arial" w:hAnsi="Arial" w:cs="Arial"/>
        </w:rPr>
        <w:t xml:space="preserve"> </w:t>
      </w:r>
      <w:r>
        <w:rPr>
          <w:rFonts w:ascii="Arial" w:eastAsia="Arial" w:hAnsi="Arial" w:cs="Arial"/>
        </w:rPr>
        <w:tab/>
      </w:r>
      <w:r>
        <w:t xml:space="preserve">Appendix: BI Design </w:t>
      </w:r>
      <w:bookmarkEnd w:id="17"/>
    </w:p>
    <w:p w14:paraId="2E5C117D" w14:textId="77777777" w:rsidR="00CE3227" w:rsidRDefault="00000000">
      <w:pPr>
        <w:pStyle w:val="Heading3"/>
        <w:tabs>
          <w:tab w:val="center" w:pos="881"/>
          <w:tab w:val="center" w:pos="2512"/>
        </w:tabs>
        <w:spacing w:after="456"/>
        <w:ind w:left="0" w:firstLine="0"/>
      </w:pPr>
      <w:bookmarkStart w:id="18" w:name="_Toc24481"/>
      <w:r>
        <w:rPr>
          <w:rFonts w:ascii="Calibri" w:eastAsia="Calibri" w:hAnsi="Calibri" w:cs="Calibri"/>
          <w:b w:val="0"/>
          <w:sz w:val="22"/>
        </w:rPr>
        <w:tab/>
      </w:r>
      <w:r>
        <w:t>5.1.</w:t>
      </w:r>
      <w:r>
        <w:rPr>
          <w:rFonts w:ascii="Arial" w:eastAsia="Arial" w:hAnsi="Arial" w:cs="Arial"/>
        </w:rPr>
        <w:t xml:space="preserve"> </w:t>
      </w:r>
      <w:r>
        <w:rPr>
          <w:rFonts w:ascii="Arial" w:eastAsia="Arial" w:hAnsi="Arial" w:cs="Arial"/>
        </w:rPr>
        <w:tab/>
      </w:r>
      <w:r>
        <w:t xml:space="preserve">Data preprocessing </w:t>
      </w:r>
      <w:bookmarkEnd w:id="18"/>
    </w:p>
    <w:p w14:paraId="1D17C446" w14:textId="77777777" w:rsidR="00CE3227" w:rsidRDefault="00000000">
      <w:pPr>
        <w:spacing w:after="0" w:line="476" w:lineRule="auto"/>
        <w:ind w:left="-5" w:right="113"/>
      </w:pPr>
      <w:r>
        <w:t xml:space="preserve">The data is recorded in different tables according to fuel type, so in the first step all the table data was appended to one table. </w:t>
      </w:r>
    </w:p>
    <w:p w14:paraId="33D17F6E" w14:textId="77777777" w:rsidR="00CE3227" w:rsidRDefault="00000000">
      <w:pPr>
        <w:spacing w:after="477" w:line="259" w:lineRule="auto"/>
        <w:ind w:left="719" w:right="-10" w:firstLine="0"/>
        <w:jc w:val="left"/>
      </w:pPr>
      <w:r>
        <w:rPr>
          <w:rFonts w:ascii="Calibri" w:eastAsia="Calibri" w:hAnsi="Calibri" w:cs="Calibri"/>
          <w:noProof/>
          <w:sz w:val="22"/>
        </w:rPr>
        <mc:AlternateContent>
          <mc:Choice Requires="wpg">
            <w:drawing>
              <wp:inline distT="0" distB="0" distL="0" distR="0" wp14:anchorId="07F61F93" wp14:editId="0825F9FC">
                <wp:extent cx="5570856" cy="2789210"/>
                <wp:effectExtent l="0" t="0" r="0" b="0"/>
                <wp:docPr id="22542" name="Group 22542"/>
                <wp:cNvGraphicFramePr/>
                <a:graphic xmlns:a="http://schemas.openxmlformats.org/drawingml/2006/main">
                  <a:graphicData uri="http://schemas.microsoft.com/office/word/2010/wordprocessingGroup">
                    <wpg:wgp>
                      <wpg:cNvGrpSpPr/>
                      <wpg:grpSpPr>
                        <a:xfrm>
                          <a:off x="0" y="0"/>
                          <a:ext cx="5570856" cy="2789210"/>
                          <a:chOff x="0" y="0"/>
                          <a:chExt cx="5570856" cy="2789210"/>
                        </a:xfrm>
                      </wpg:grpSpPr>
                      <wps:wsp>
                        <wps:cNvPr id="1964" name="Rectangle 1964"/>
                        <wps:cNvSpPr/>
                        <wps:spPr>
                          <a:xfrm>
                            <a:off x="5537327" y="2343862"/>
                            <a:ext cx="44592" cy="202692"/>
                          </a:xfrm>
                          <a:prstGeom prst="rect">
                            <a:avLst/>
                          </a:prstGeom>
                          <a:ln>
                            <a:noFill/>
                          </a:ln>
                        </wps:spPr>
                        <wps:txbx>
                          <w:txbxContent>
                            <w:p w14:paraId="6C05FBD4" w14:textId="77777777" w:rsidR="00CE3227"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965" name="Rectangle 1965"/>
                        <wps:cNvSpPr/>
                        <wps:spPr>
                          <a:xfrm>
                            <a:off x="1147318" y="2662718"/>
                            <a:ext cx="887100" cy="168234"/>
                          </a:xfrm>
                          <a:prstGeom prst="rect">
                            <a:avLst/>
                          </a:prstGeom>
                          <a:ln>
                            <a:noFill/>
                          </a:ln>
                        </wps:spPr>
                        <wps:txbx>
                          <w:txbxContent>
                            <w:p w14:paraId="1AE37035" w14:textId="77777777" w:rsidR="00CE3227" w:rsidRDefault="00000000">
                              <w:pPr>
                                <w:spacing w:after="160" w:line="259" w:lineRule="auto"/>
                                <w:ind w:left="0" w:right="0" w:firstLine="0"/>
                                <w:jc w:val="left"/>
                              </w:pPr>
                              <w:r>
                                <w:rPr>
                                  <w:b/>
                                  <w:i/>
                                  <w:sz w:val="20"/>
                                </w:rPr>
                                <w:t xml:space="preserve">Figure 5.1.: </w:t>
                              </w:r>
                            </w:p>
                          </w:txbxContent>
                        </wps:txbx>
                        <wps:bodyPr horzOverflow="overflow" vert="horz" lIns="0" tIns="0" rIns="0" bIns="0" rtlCol="0">
                          <a:noAutofit/>
                        </wps:bodyPr>
                      </wps:wsp>
                      <wps:wsp>
                        <wps:cNvPr id="1966" name="Rectangle 1966"/>
                        <wps:cNvSpPr/>
                        <wps:spPr>
                          <a:xfrm>
                            <a:off x="1814830" y="2662718"/>
                            <a:ext cx="2748950" cy="168234"/>
                          </a:xfrm>
                          <a:prstGeom prst="rect">
                            <a:avLst/>
                          </a:prstGeom>
                          <a:ln>
                            <a:noFill/>
                          </a:ln>
                        </wps:spPr>
                        <wps:txbx>
                          <w:txbxContent>
                            <w:p w14:paraId="18407BBD" w14:textId="77777777" w:rsidR="00CE3227" w:rsidRDefault="00000000">
                              <w:pPr>
                                <w:spacing w:after="160" w:line="259" w:lineRule="auto"/>
                                <w:ind w:left="0" w:right="0" w:firstLine="0"/>
                                <w:jc w:val="left"/>
                              </w:pPr>
                              <w:r>
                                <w:rPr>
                                  <w:i/>
                                  <w:sz w:val="20"/>
                                </w:rPr>
                                <w:t>Preprocessing step to combine datasets</w:t>
                              </w:r>
                            </w:p>
                          </w:txbxContent>
                        </wps:txbx>
                        <wps:bodyPr horzOverflow="overflow" vert="horz" lIns="0" tIns="0" rIns="0" bIns="0" rtlCol="0">
                          <a:noAutofit/>
                        </wps:bodyPr>
                      </wps:wsp>
                      <wps:wsp>
                        <wps:cNvPr id="1967" name="Rectangle 1967"/>
                        <wps:cNvSpPr/>
                        <wps:spPr>
                          <a:xfrm>
                            <a:off x="3883533" y="2662718"/>
                            <a:ext cx="37011" cy="168234"/>
                          </a:xfrm>
                          <a:prstGeom prst="rect">
                            <a:avLst/>
                          </a:prstGeom>
                          <a:ln>
                            <a:noFill/>
                          </a:ln>
                        </wps:spPr>
                        <wps:txbx>
                          <w:txbxContent>
                            <w:p w14:paraId="7AD9AB0C" w14:textId="77777777" w:rsidR="00CE3227" w:rsidRDefault="00000000">
                              <w:pPr>
                                <w:spacing w:after="160" w:line="259" w:lineRule="auto"/>
                                <w:ind w:left="0" w:right="0" w:firstLine="0"/>
                                <w:jc w:val="left"/>
                              </w:pPr>
                              <w:r>
                                <w:rPr>
                                  <w:i/>
                                  <w:sz w:val="20"/>
                                </w:rPr>
                                <w:t xml:space="preserve"> </w:t>
                              </w:r>
                            </w:p>
                          </w:txbxContent>
                        </wps:txbx>
                        <wps:bodyPr horzOverflow="overflow" vert="horz" lIns="0" tIns="0" rIns="0" bIns="0" rtlCol="0">
                          <a:noAutofit/>
                        </wps:bodyPr>
                      </wps:wsp>
                      <pic:pic xmlns:pic="http://schemas.openxmlformats.org/drawingml/2006/picture">
                        <pic:nvPicPr>
                          <pic:cNvPr id="1973" name="Picture 1973"/>
                          <pic:cNvPicPr/>
                        </pic:nvPicPr>
                        <pic:blipFill>
                          <a:blip r:embed="rId32"/>
                          <a:stretch>
                            <a:fillRect/>
                          </a:stretch>
                        </pic:blipFill>
                        <pic:spPr>
                          <a:xfrm>
                            <a:off x="6350" y="6350"/>
                            <a:ext cx="5517896" cy="2442210"/>
                          </a:xfrm>
                          <a:prstGeom prst="rect">
                            <a:avLst/>
                          </a:prstGeom>
                        </pic:spPr>
                      </pic:pic>
                      <wps:wsp>
                        <wps:cNvPr id="1974" name="Shape 1974"/>
                        <wps:cNvSpPr/>
                        <wps:spPr>
                          <a:xfrm>
                            <a:off x="0" y="0"/>
                            <a:ext cx="5530596" cy="2454910"/>
                          </a:xfrm>
                          <a:custGeom>
                            <a:avLst/>
                            <a:gdLst/>
                            <a:ahLst/>
                            <a:cxnLst/>
                            <a:rect l="0" t="0" r="0" b="0"/>
                            <a:pathLst>
                              <a:path w="5530596" h="2454910">
                                <a:moveTo>
                                  <a:pt x="0" y="2454910"/>
                                </a:moveTo>
                                <a:lnTo>
                                  <a:pt x="5530596" y="2454910"/>
                                </a:lnTo>
                                <a:lnTo>
                                  <a:pt x="5530596"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542" style="width:438.65pt;height:219.623pt;mso-position-horizontal-relative:char;mso-position-vertical-relative:line" coordsize="55708,27892">
                <v:rect id="Rectangle 1964" style="position:absolute;width:445;height:2026;left:55373;top:23438;" filled="f" stroked="f">
                  <v:textbox inset="0,0,0,0">
                    <w:txbxContent>
                      <w:p>
                        <w:pPr>
                          <w:spacing w:before="0" w:after="160" w:line="259" w:lineRule="auto"/>
                          <w:ind w:left="0" w:right="0" w:firstLine="0"/>
                          <w:jc w:val="left"/>
                        </w:pPr>
                        <w:r>
                          <w:rPr/>
                          <w:t xml:space="preserve"> </w:t>
                        </w:r>
                      </w:p>
                    </w:txbxContent>
                  </v:textbox>
                </v:rect>
                <v:rect id="Rectangle 1965" style="position:absolute;width:8871;height:1682;left:11473;top:26627;" filled="f" stroked="f">
                  <v:textbox inset="0,0,0,0">
                    <w:txbxContent>
                      <w:p>
                        <w:pPr>
                          <w:spacing w:before="0" w:after="160" w:line="259" w:lineRule="auto"/>
                          <w:ind w:left="0" w:right="0" w:firstLine="0"/>
                          <w:jc w:val="left"/>
                        </w:pPr>
                        <w:r>
                          <w:rPr>
                            <w:rFonts w:cs="Cambria" w:hAnsi="Cambria" w:eastAsia="Cambria" w:ascii="Cambria"/>
                            <w:b w:val="1"/>
                            <w:i w:val="1"/>
                            <w:sz w:val="20"/>
                          </w:rPr>
                          <w:t xml:space="preserve">Figure 5.1.: </w:t>
                        </w:r>
                      </w:p>
                    </w:txbxContent>
                  </v:textbox>
                </v:rect>
                <v:rect id="Rectangle 1966" style="position:absolute;width:27489;height:1682;left:18148;top:26627;" filled="f" stroked="f">
                  <v:textbox inset="0,0,0,0">
                    <w:txbxContent>
                      <w:p>
                        <w:pPr>
                          <w:spacing w:before="0" w:after="160" w:line="259" w:lineRule="auto"/>
                          <w:ind w:left="0" w:right="0" w:firstLine="0"/>
                          <w:jc w:val="left"/>
                        </w:pPr>
                        <w:r>
                          <w:rPr>
                            <w:rFonts w:cs="Cambria" w:hAnsi="Cambria" w:eastAsia="Cambria" w:ascii="Cambria"/>
                            <w:i w:val="1"/>
                            <w:sz w:val="20"/>
                          </w:rPr>
                          <w:t xml:space="preserve">Preprocessing step to combine datasets</w:t>
                        </w:r>
                      </w:p>
                    </w:txbxContent>
                  </v:textbox>
                </v:rect>
                <v:rect id="Rectangle 1967" style="position:absolute;width:370;height:1682;left:38835;top:26627;" filled="f" stroked="f">
                  <v:textbox inset="0,0,0,0">
                    <w:txbxContent>
                      <w:p>
                        <w:pPr>
                          <w:spacing w:before="0" w:after="160" w:line="259" w:lineRule="auto"/>
                          <w:ind w:left="0" w:right="0" w:firstLine="0"/>
                          <w:jc w:val="left"/>
                        </w:pPr>
                        <w:r>
                          <w:rPr>
                            <w:rFonts w:cs="Cambria" w:hAnsi="Cambria" w:eastAsia="Cambria" w:ascii="Cambria"/>
                            <w:i w:val="1"/>
                            <w:sz w:val="20"/>
                          </w:rPr>
                          <w:t xml:space="preserve"> </w:t>
                        </w:r>
                      </w:p>
                    </w:txbxContent>
                  </v:textbox>
                </v:rect>
                <v:shape id="Picture 1973" style="position:absolute;width:55178;height:24422;left:63;top:63;" filled="f">
                  <v:imagedata r:id="rId33"/>
                </v:shape>
                <v:shape id="Shape 1974" style="position:absolute;width:55305;height:24549;left:0;top:0;" coordsize="5530596,2454910" path="m0,2454910l5530596,2454910l5530596,0l0,0x">
                  <v:stroke weight="1pt" endcap="flat" joinstyle="round" on="true" color="#000000"/>
                  <v:fill on="false" color="#000000" opacity="0"/>
                </v:shape>
              </v:group>
            </w:pict>
          </mc:Fallback>
        </mc:AlternateContent>
      </w:r>
    </w:p>
    <w:p w14:paraId="07127C2D" w14:textId="77777777" w:rsidR="00CE3227" w:rsidRDefault="00000000">
      <w:pPr>
        <w:spacing w:after="4" w:line="479" w:lineRule="auto"/>
        <w:ind w:left="0" w:right="0" w:firstLine="0"/>
        <w:jc w:val="left"/>
      </w:pPr>
      <w:r>
        <w:t xml:space="preserve">Then the fuel type column was merged with the append table from the fuel type table. This step helps in distinguishing data according to fuel type as well which further helps with the insights.  </w:t>
      </w:r>
    </w:p>
    <w:p w14:paraId="6B327C53" w14:textId="77777777" w:rsidR="00CE3227" w:rsidRDefault="00000000">
      <w:pPr>
        <w:spacing w:after="461" w:line="259" w:lineRule="auto"/>
        <w:ind w:left="283" w:right="0" w:firstLine="0"/>
        <w:jc w:val="left"/>
      </w:pPr>
      <w:r>
        <w:rPr>
          <w:rFonts w:ascii="Calibri" w:eastAsia="Calibri" w:hAnsi="Calibri" w:cs="Calibri"/>
          <w:noProof/>
          <w:sz w:val="22"/>
        </w:rPr>
        <w:lastRenderedPageBreak/>
        <mc:AlternateContent>
          <mc:Choice Requires="wpg">
            <w:drawing>
              <wp:inline distT="0" distB="0" distL="0" distR="0" wp14:anchorId="33F3F923" wp14:editId="31A97D38">
                <wp:extent cx="5736464" cy="2734768"/>
                <wp:effectExtent l="0" t="0" r="0" b="0"/>
                <wp:docPr id="22013" name="Group 22013"/>
                <wp:cNvGraphicFramePr/>
                <a:graphic xmlns:a="http://schemas.openxmlformats.org/drawingml/2006/main">
                  <a:graphicData uri="http://schemas.microsoft.com/office/word/2010/wordprocessingGroup">
                    <wpg:wgp>
                      <wpg:cNvGrpSpPr/>
                      <wpg:grpSpPr>
                        <a:xfrm>
                          <a:off x="0" y="0"/>
                          <a:ext cx="5736464" cy="2734768"/>
                          <a:chOff x="0" y="0"/>
                          <a:chExt cx="5736464" cy="2734768"/>
                        </a:xfrm>
                      </wpg:grpSpPr>
                      <wps:wsp>
                        <wps:cNvPr id="1979" name="Rectangle 1979"/>
                        <wps:cNvSpPr/>
                        <wps:spPr>
                          <a:xfrm>
                            <a:off x="5702935" y="2582368"/>
                            <a:ext cx="44592" cy="202691"/>
                          </a:xfrm>
                          <a:prstGeom prst="rect">
                            <a:avLst/>
                          </a:prstGeom>
                          <a:ln>
                            <a:noFill/>
                          </a:ln>
                        </wps:spPr>
                        <wps:txbx>
                          <w:txbxContent>
                            <w:p w14:paraId="5D5E572A" w14:textId="77777777" w:rsidR="00CE3227"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996" name="Picture 1996"/>
                          <pic:cNvPicPr/>
                        </pic:nvPicPr>
                        <pic:blipFill>
                          <a:blip r:embed="rId34"/>
                          <a:stretch>
                            <a:fillRect/>
                          </a:stretch>
                        </pic:blipFill>
                        <pic:spPr>
                          <a:xfrm>
                            <a:off x="6350" y="6350"/>
                            <a:ext cx="5681600" cy="2680970"/>
                          </a:xfrm>
                          <a:prstGeom prst="rect">
                            <a:avLst/>
                          </a:prstGeom>
                        </pic:spPr>
                      </pic:pic>
                      <wps:wsp>
                        <wps:cNvPr id="1997" name="Shape 1997"/>
                        <wps:cNvSpPr/>
                        <wps:spPr>
                          <a:xfrm>
                            <a:off x="0" y="0"/>
                            <a:ext cx="5694300" cy="2693670"/>
                          </a:xfrm>
                          <a:custGeom>
                            <a:avLst/>
                            <a:gdLst/>
                            <a:ahLst/>
                            <a:cxnLst/>
                            <a:rect l="0" t="0" r="0" b="0"/>
                            <a:pathLst>
                              <a:path w="5694300" h="2693670">
                                <a:moveTo>
                                  <a:pt x="0" y="2693670"/>
                                </a:moveTo>
                                <a:lnTo>
                                  <a:pt x="5694300" y="2693670"/>
                                </a:lnTo>
                                <a:lnTo>
                                  <a:pt x="569430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013" style="width:451.69pt;height:215.336pt;mso-position-horizontal-relative:char;mso-position-vertical-relative:line" coordsize="57364,27347">
                <v:rect id="Rectangle 1979" style="position:absolute;width:445;height:2026;left:57029;top:25823;" filled="f" stroked="f">
                  <v:textbox inset="0,0,0,0">
                    <w:txbxContent>
                      <w:p>
                        <w:pPr>
                          <w:spacing w:before="0" w:after="160" w:line="259" w:lineRule="auto"/>
                          <w:ind w:left="0" w:right="0" w:firstLine="0"/>
                          <w:jc w:val="left"/>
                        </w:pPr>
                        <w:r>
                          <w:rPr/>
                          <w:t xml:space="preserve"> </w:t>
                        </w:r>
                      </w:p>
                    </w:txbxContent>
                  </v:textbox>
                </v:rect>
                <v:shape id="Picture 1996" style="position:absolute;width:56816;height:26809;left:63;top:63;" filled="f">
                  <v:imagedata r:id="rId35"/>
                </v:shape>
                <v:shape id="Shape 1997" style="position:absolute;width:56943;height:26936;left:0;top:0;" coordsize="5694300,2693670" path="m0,2693670l5694300,2693670l5694300,0l0,0x">
                  <v:stroke weight="1pt" endcap="flat" joinstyle="round" on="true" color="#000000"/>
                  <v:fill on="false" color="#000000" opacity="0"/>
                </v:shape>
              </v:group>
            </w:pict>
          </mc:Fallback>
        </mc:AlternateContent>
      </w:r>
    </w:p>
    <w:p w14:paraId="0AD85BEA" w14:textId="77777777" w:rsidR="00CE3227" w:rsidRDefault="00000000">
      <w:pPr>
        <w:spacing w:after="479"/>
        <w:ind w:left="1162" w:right="1277"/>
        <w:jc w:val="center"/>
      </w:pPr>
      <w:r>
        <w:rPr>
          <w:b/>
          <w:i/>
          <w:sz w:val="20"/>
        </w:rPr>
        <w:t xml:space="preserve">Figure 5.2.: </w:t>
      </w:r>
      <w:r>
        <w:rPr>
          <w:i/>
          <w:sz w:val="20"/>
        </w:rPr>
        <w:t xml:space="preserve">Merging Fuel_type </w:t>
      </w:r>
    </w:p>
    <w:p w14:paraId="294AD8E1" w14:textId="77777777" w:rsidR="00CE3227" w:rsidRDefault="00000000">
      <w:pPr>
        <w:pStyle w:val="Heading3"/>
        <w:tabs>
          <w:tab w:val="center" w:pos="881"/>
          <w:tab w:val="center" w:pos="2274"/>
        </w:tabs>
        <w:spacing w:after="179"/>
        <w:ind w:left="0" w:firstLine="0"/>
      </w:pPr>
      <w:bookmarkStart w:id="19" w:name="_Toc24482"/>
      <w:r>
        <w:rPr>
          <w:rFonts w:ascii="Calibri" w:eastAsia="Calibri" w:hAnsi="Calibri" w:cs="Calibri"/>
          <w:b w:val="0"/>
          <w:sz w:val="22"/>
        </w:rPr>
        <w:tab/>
      </w:r>
      <w:r>
        <w:t>5.2.</w:t>
      </w:r>
      <w:r>
        <w:rPr>
          <w:rFonts w:ascii="Arial" w:eastAsia="Arial" w:hAnsi="Arial" w:cs="Arial"/>
        </w:rPr>
        <w:t xml:space="preserve"> </w:t>
      </w:r>
      <w:r>
        <w:rPr>
          <w:rFonts w:ascii="Arial" w:eastAsia="Arial" w:hAnsi="Arial" w:cs="Arial"/>
        </w:rPr>
        <w:tab/>
      </w:r>
      <w:r>
        <w:t xml:space="preserve">Data Modelling </w:t>
      </w:r>
      <w:bookmarkEnd w:id="19"/>
    </w:p>
    <w:p w14:paraId="376F0468" w14:textId="77777777" w:rsidR="00CE3227" w:rsidRDefault="00000000">
      <w:pPr>
        <w:spacing w:after="468" w:line="259" w:lineRule="auto"/>
        <w:ind w:left="294" w:right="0" w:firstLine="0"/>
        <w:jc w:val="left"/>
      </w:pPr>
      <w:r>
        <w:rPr>
          <w:rFonts w:ascii="Calibri" w:eastAsia="Calibri" w:hAnsi="Calibri" w:cs="Calibri"/>
          <w:noProof/>
          <w:sz w:val="22"/>
        </w:rPr>
        <mc:AlternateContent>
          <mc:Choice Requires="wpg">
            <w:drawing>
              <wp:inline distT="0" distB="0" distL="0" distR="0" wp14:anchorId="4E35AE73" wp14:editId="7C725B33">
                <wp:extent cx="5717651" cy="2785822"/>
                <wp:effectExtent l="0" t="0" r="0" b="0"/>
                <wp:docPr id="22014" name="Group 22014"/>
                <wp:cNvGraphicFramePr/>
                <a:graphic xmlns:a="http://schemas.openxmlformats.org/drawingml/2006/main">
                  <a:graphicData uri="http://schemas.microsoft.com/office/word/2010/wordprocessingGroup">
                    <wpg:wgp>
                      <wpg:cNvGrpSpPr/>
                      <wpg:grpSpPr>
                        <a:xfrm>
                          <a:off x="0" y="0"/>
                          <a:ext cx="5717651" cy="2785822"/>
                          <a:chOff x="0" y="0"/>
                          <a:chExt cx="5717651" cy="2785822"/>
                        </a:xfrm>
                      </wpg:grpSpPr>
                      <wps:wsp>
                        <wps:cNvPr id="1987" name="Rectangle 1987"/>
                        <wps:cNvSpPr/>
                        <wps:spPr>
                          <a:xfrm>
                            <a:off x="5686806" y="2359441"/>
                            <a:ext cx="41024" cy="186477"/>
                          </a:xfrm>
                          <a:prstGeom prst="rect">
                            <a:avLst/>
                          </a:prstGeom>
                          <a:ln>
                            <a:noFill/>
                          </a:ln>
                        </wps:spPr>
                        <wps:txbx>
                          <w:txbxContent>
                            <w:p w14:paraId="2803E2EB" w14:textId="77777777" w:rsidR="00CE3227"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988" name="Rectangle 1988"/>
                        <wps:cNvSpPr/>
                        <wps:spPr>
                          <a:xfrm>
                            <a:off x="1674749" y="2653574"/>
                            <a:ext cx="887100" cy="168235"/>
                          </a:xfrm>
                          <a:prstGeom prst="rect">
                            <a:avLst/>
                          </a:prstGeom>
                          <a:ln>
                            <a:noFill/>
                          </a:ln>
                        </wps:spPr>
                        <wps:txbx>
                          <w:txbxContent>
                            <w:p w14:paraId="020F09CA" w14:textId="77777777" w:rsidR="00CE3227" w:rsidRDefault="00000000">
                              <w:pPr>
                                <w:spacing w:after="160" w:line="259" w:lineRule="auto"/>
                                <w:ind w:left="0" w:right="0" w:firstLine="0"/>
                                <w:jc w:val="left"/>
                              </w:pPr>
                              <w:r>
                                <w:rPr>
                                  <w:b/>
                                  <w:i/>
                                  <w:sz w:val="20"/>
                                </w:rPr>
                                <w:t xml:space="preserve">Figure 5.3.: </w:t>
                              </w:r>
                            </w:p>
                          </w:txbxContent>
                        </wps:txbx>
                        <wps:bodyPr horzOverflow="overflow" vert="horz" lIns="0" tIns="0" rIns="0" bIns="0" rtlCol="0">
                          <a:noAutofit/>
                        </wps:bodyPr>
                      </wps:wsp>
                      <wps:wsp>
                        <wps:cNvPr id="1989" name="Rectangle 1989"/>
                        <wps:cNvSpPr/>
                        <wps:spPr>
                          <a:xfrm>
                            <a:off x="2342261" y="2653574"/>
                            <a:ext cx="2062049" cy="168235"/>
                          </a:xfrm>
                          <a:prstGeom prst="rect">
                            <a:avLst/>
                          </a:prstGeom>
                          <a:ln>
                            <a:noFill/>
                          </a:ln>
                        </wps:spPr>
                        <wps:txbx>
                          <w:txbxContent>
                            <w:p w14:paraId="47F61F24" w14:textId="77777777" w:rsidR="00CE3227" w:rsidRDefault="00000000">
                              <w:pPr>
                                <w:spacing w:after="160" w:line="259" w:lineRule="auto"/>
                                <w:ind w:left="0" w:right="0" w:firstLine="0"/>
                                <w:jc w:val="left"/>
                              </w:pPr>
                              <w:r>
                                <w:rPr>
                                  <w:i/>
                                  <w:sz w:val="20"/>
                                </w:rPr>
                                <w:t>Dataset after combining data</w:t>
                              </w:r>
                            </w:p>
                          </w:txbxContent>
                        </wps:txbx>
                        <wps:bodyPr horzOverflow="overflow" vert="horz" lIns="0" tIns="0" rIns="0" bIns="0" rtlCol="0">
                          <a:noAutofit/>
                        </wps:bodyPr>
                      </wps:wsp>
                      <wps:wsp>
                        <wps:cNvPr id="1990" name="Rectangle 1990"/>
                        <wps:cNvSpPr/>
                        <wps:spPr>
                          <a:xfrm>
                            <a:off x="3895852" y="2633422"/>
                            <a:ext cx="44592" cy="202692"/>
                          </a:xfrm>
                          <a:prstGeom prst="rect">
                            <a:avLst/>
                          </a:prstGeom>
                          <a:ln>
                            <a:noFill/>
                          </a:ln>
                        </wps:spPr>
                        <wps:txbx>
                          <w:txbxContent>
                            <w:p w14:paraId="7C316586" w14:textId="77777777" w:rsidR="00CE3227"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999" name="Picture 1999"/>
                          <pic:cNvPicPr/>
                        </pic:nvPicPr>
                        <pic:blipFill>
                          <a:blip r:embed="rId36"/>
                          <a:stretch>
                            <a:fillRect/>
                          </a:stretch>
                        </pic:blipFill>
                        <pic:spPr>
                          <a:xfrm>
                            <a:off x="6350" y="6350"/>
                            <a:ext cx="5667375" cy="2447925"/>
                          </a:xfrm>
                          <a:prstGeom prst="rect">
                            <a:avLst/>
                          </a:prstGeom>
                        </pic:spPr>
                      </pic:pic>
                      <wps:wsp>
                        <wps:cNvPr id="2000" name="Shape 2000"/>
                        <wps:cNvSpPr/>
                        <wps:spPr>
                          <a:xfrm>
                            <a:off x="0" y="0"/>
                            <a:ext cx="5680075" cy="2460625"/>
                          </a:xfrm>
                          <a:custGeom>
                            <a:avLst/>
                            <a:gdLst/>
                            <a:ahLst/>
                            <a:cxnLst/>
                            <a:rect l="0" t="0" r="0" b="0"/>
                            <a:pathLst>
                              <a:path w="5680075" h="2460625">
                                <a:moveTo>
                                  <a:pt x="0" y="2460625"/>
                                </a:moveTo>
                                <a:lnTo>
                                  <a:pt x="5680075" y="2460625"/>
                                </a:lnTo>
                                <a:lnTo>
                                  <a:pt x="5680075"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014" style="width:450.209pt;height:219.356pt;mso-position-horizontal-relative:char;mso-position-vertical-relative:line" coordsize="57176,27858">
                <v:rect id="Rectangle 1987" style="position:absolute;width:410;height:1864;left:56868;top:23594;" filled="f" stroked="f">
                  <v:textbox inset="0,0,0,0">
                    <w:txbxContent>
                      <w:p>
                        <w:pPr>
                          <w:spacing w:before="0" w:after="160" w:line="259" w:lineRule="auto"/>
                          <w:ind w:left="0" w:right="0" w:firstLine="0"/>
                          <w:jc w:val="left"/>
                        </w:pPr>
                        <w:r>
                          <w:rPr>
                            <w:sz w:val="22"/>
                          </w:rPr>
                          <w:t xml:space="preserve"> </w:t>
                        </w:r>
                      </w:p>
                    </w:txbxContent>
                  </v:textbox>
                </v:rect>
                <v:rect id="Rectangle 1988" style="position:absolute;width:8871;height:1682;left:16747;top:26535;" filled="f" stroked="f">
                  <v:textbox inset="0,0,0,0">
                    <w:txbxContent>
                      <w:p>
                        <w:pPr>
                          <w:spacing w:before="0" w:after="160" w:line="259" w:lineRule="auto"/>
                          <w:ind w:left="0" w:right="0" w:firstLine="0"/>
                          <w:jc w:val="left"/>
                        </w:pPr>
                        <w:r>
                          <w:rPr>
                            <w:rFonts w:cs="Cambria" w:hAnsi="Cambria" w:eastAsia="Cambria" w:ascii="Cambria"/>
                            <w:b w:val="1"/>
                            <w:i w:val="1"/>
                            <w:sz w:val="20"/>
                          </w:rPr>
                          <w:t xml:space="preserve">Figure 5.3.: </w:t>
                        </w:r>
                      </w:p>
                    </w:txbxContent>
                  </v:textbox>
                </v:rect>
                <v:rect id="Rectangle 1989" style="position:absolute;width:20620;height:1682;left:23422;top:26535;" filled="f" stroked="f">
                  <v:textbox inset="0,0,0,0">
                    <w:txbxContent>
                      <w:p>
                        <w:pPr>
                          <w:spacing w:before="0" w:after="160" w:line="259" w:lineRule="auto"/>
                          <w:ind w:left="0" w:right="0" w:firstLine="0"/>
                          <w:jc w:val="left"/>
                        </w:pPr>
                        <w:r>
                          <w:rPr>
                            <w:rFonts w:cs="Cambria" w:hAnsi="Cambria" w:eastAsia="Cambria" w:ascii="Cambria"/>
                            <w:i w:val="1"/>
                            <w:sz w:val="20"/>
                          </w:rPr>
                          <w:t xml:space="preserve">Dataset after combining data</w:t>
                        </w:r>
                      </w:p>
                    </w:txbxContent>
                  </v:textbox>
                </v:rect>
                <v:rect id="Rectangle 1990" style="position:absolute;width:445;height:2026;left:38958;top:26334;" filled="f" stroked="f">
                  <v:textbox inset="0,0,0,0">
                    <w:txbxContent>
                      <w:p>
                        <w:pPr>
                          <w:spacing w:before="0" w:after="160" w:line="259" w:lineRule="auto"/>
                          <w:ind w:left="0" w:right="0" w:firstLine="0"/>
                          <w:jc w:val="left"/>
                        </w:pPr>
                        <w:r>
                          <w:rPr/>
                          <w:t xml:space="preserve"> </w:t>
                        </w:r>
                      </w:p>
                    </w:txbxContent>
                  </v:textbox>
                </v:rect>
                <v:shape id="Picture 1999" style="position:absolute;width:56673;height:24479;left:63;top:63;" filled="f">
                  <v:imagedata r:id="rId37"/>
                </v:shape>
                <v:shape id="Shape 2000" style="position:absolute;width:56800;height:24606;left:0;top:0;" coordsize="5680075,2460625" path="m0,2460625l5680075,2460625l5680075,0l0,0x">
                  <v:stroke weight="1pt" endcap="flat" joinstyle="round" on="true" color="#000000"/>
                  <v:fill on="false" color="#000000" opacity="0"/>
                </v:shape>
              </v:group>
            </w:pict>
          </mc:Fallback>
        </mc:AlternateContent>
      </w:r>
    </w:p>
    <w:p w14:paraId="3908ED5D" w14:textId="77777777" w:rsidR="00CE3227" w:rsidRDefault="00000000">
      <w:pPr>
        <w:spacing w:line="477" w:lineRule="auto"/>
        <w:ind w:left="-5" w:right="113"/>
      </w:pPr>
      <w:r>
        <w:t xml:space="preserve">Appended dataset was created by combining all the data in one table establishing a relationship with the primary dataset to enable efficient fuel type analysis and grouping of close, high, low, open, volume by date. </w:t>
      </w:r>
    </w:p>
    <w:p w14:paraId="2686CBA0" w14:textId="77777777" w:rsidR="00CE3227" w:rsidRDefault="00000000">
      <w:pPr>
        <w:pStyle w:val="Heading3"/>
        <w:tabs>
          <w:tab w:val="center" w:pos="881"/>
          <w:tab w:val="center" w:pos="2855"/>
        </w:tabs>
        <w:spacing w:after="486"/>
        <w:ind w:left="0" w:firstLine="0"/>
      </w:pPr>
      <w:bookmarkStart w:id="20" w:name="_Toc24483"/>
      <w:r>
        <w:rPr>
          <w:rFonts w:ascii="Calibri" w:eastAsia="Calibri" w:hAnsi="Calibri" w:cs="Calibri"/>
          <w:b w:val="0"/>
          <w:sz w:val="22"/>
        </w:rPr>
        <w:lastRenderedPageBreak/>
        <w:tab/>
      </w:r>
      <w:r>
        <w:t>5.3.</w:t>
      </w:r>
      <w:r>
        <w:rPr>
          <w:rFonts w:ascii="Arial" w:eastAsia="Arial" w:hAnsi="Arial" w:cs="Arial"/>
        </w:rPr>
        <w:t xml:space="preserve"> </w:t>
      </w:r>
      <w:r>
        <w:rPr>
          <w:rFonts w:ascii="Arial" w:eastAsia="Arial" w:hAnsi="Arial" w:cs="Arial"/>
        </w:rPr>
        <w:tab/>
      </w:r>
      <w:r>
        <w:t xml:space="preserve">DAX Functions &amp; M Query </w:t>
      </w:r>
      <w:bookmarkEnd w:id="20"/>
    </w:p>
    <w:p w14:paraId="1C3E6D81" w14:textId="77777777" w:rsidR="00CE3227" w:rsidRDefault="00000000">
      <w:pPr>
        <w:pStyle w:val="Heading4"/>
        <w:tabs>
          <w:tab w:val="center" w:pos="1503"/>
          <w:tab w:val="center" w:pos="2967"/>
        </w:tabs>
        <w:spacing w:after="456"/>
        <w:ind w:left="0" w:firstLine="0"/>
      </w:pPr>
      <w:bookmarkStart w:id="21" w:name="_Toc24484"/>
      <w:r>
        <w:rPr>
          <w:rFonts w:ascii="Calibri" w:eastAsia="Calibri" w:hAnsi="Calibri" w:cs="Calibri"/>
          <w:b w:val="0"/>
          <w:sz w:val="22"/>
        </w:rPr>
        <w:tab/>
      </w:r>
      <w:r>
        <w:t>5.3.1.</w:t>
      </w:r>
      <w:r>
        <w:rPr>
          <w:rFonts w:ascii="Arial" w:eastAsia="Arial" w:hAnsi="Arial" w:cs="Arial"/>
        </w:rPr>
        <w:t xml:space="preserve"> </w:t>
      </w:r>
      <w:r>
        <w:rPr>
          <w:rFonts w:ascii="Arial" w:eastAsia="Arial" w:hAnsi="Arial" w:cs="Arial"/>
        </w:rPr>
        <w:tab/>
      </w:r>
      <w:r>
        <w:t xml:space="preserve">DAX Functions </w:t>
      </w:r>
      <w:bookmarkEnd w:id="21"/>
    </w:p>
    <w:p w14:paraId="21FBA011" w14:textId="77777777" w:rsidR="00CE3227" w:rsidRDefault="00000000">
      <w:pPr>
        <w:spacing w:after="1" w:line="476" w:lineRule="auto"/>
        <w:ind w:left="-5" w:right="113"/>
      </w:pPr>
      <w:r>
        <w:t xml:space="preserve">DAX stands for Data Analysis Expression, is a library of functions used to create formulae and expressions in Power BI, Analysis Services, and Power Pivot in Excel data models. It can also create calculated columns, and custom tables. These tables are columns created using values within a specified dataset. </w:t>
      </w:r>
    </w:p>
    <w:p w14:paraId="4D387A7A" w14:textId="77777777" w:rsidR="00CE3227" w:rsidRDefault="00000000">
      <w:pPr>
        <w:ind w:left="684" w:right="113"/>
      </w:pPr>
      <w:r>
        <w:t xml:space="preserve">Total_Close_Positions =  </w:t>
      </w:r>
    </w:p>
    <w:p w14:paraId="0ABF6D0B" w14:textId="77777777" w:rsidR="00CE3227" w:rsidRDefault="00000000">
      <w:pPr>
        <w:spacing w:after="257" w:line="259" w:lineRule="auto"/>
        <w:ind w:left="681" w:right="0"/>
        <w:jc w:val="left"/>
      </w:pPr>
      <w:r>
        <w:rPr>
          <w:color w:val="3165BB"/>
        </w:rPr>
        <w:t>SUMX</w:t>
      </w:r>
      <w:r>
        <w:t xml:space="preserve"> ( </w:t>
      </w:r>
    </w:p>
    <w:p w14:paraId="6CC706DA" w14:textId="77777777" w:rsidR="00CE3227" w:rsidRDefault="00000000">
      <w:pPr>
        <w:spacing w:after="257" w:line="259" w:lineRule="auto"/>
        <w:ind w:left="669" w:right="0"/>
        <w:jc w:val="left"/>
      </w:pPr>
      <w:r>
        <w:rPr>
          <w:color w:val="001080"/>
        </w:rPr>
        <w:t>'Append</w:t>
      </w:r>
      <w:proofErr w:type="gramStart"/>
      <w:r>
        <w:rPr>
          <w:color w:val="001080"/>
        </w:rPr>
        <w:t>’</w:t>
      </w:r>
      <w:r>
        <w:t>,</w:t>
      </w:r>
      <w:proofErr w:type="gramEnd"/>
      <w:r>
        <w:rPr>
          <w:color w:val="001080"/>
        </w:rPr>
        <w:t xml:space="preserve"> ‘Append'[close]</w:t>
      </w:r>
      <w:r>
        <w:t xml:space="preserve"> * </w:t>
      </w:r>
      <w:r>
        <w:rPr>
          <w:color w:val="001080"/>
        </w:rPr>
        <w:t>'Append'[volume]</w:t>
      </w:r>
      <w:r>
        <w:t xml:space="preserve"> </w:t>
      </w:r>
    </w:p>
    <w:p w14:paraId="2A5EBA74" w14:textId="77777777" w:rsidR="00CE3227" w:rsidRDefault="00000000">
      <w:pPr>
        <w:ind w:left="684" w:right="113"/>
      </w:pPr>
      <w:r>
        <w:t xml:space="preserve">) </w:t>
      </w:r>
    </w:p>
    <w:p w14:paraId="0F23C54B" w14:textId="77777777" w:rsidR="00CE3227" w:rsidRDefault="00000000">
      <w:pPr>
        <w:spacing w:after="258" w:line="259" w:lineRule="auto"/>
        <w:ind w:left="674" w:right="0" w:firstLine="0"/>
        <w:jc w:val="left"/>
      </w:pPr>
      <w:r>
        <w:t xml:space="preserve"> </w:t>
      </w:r>
    </w:p>
    <w:p w14:paraId="6A5476DB" w14:textId="77777777" w:rsidR="00CE3227" w:rsidRDefault="00000000">
      <w:pPr>
        <w:ind w:left="684" w:right="113"/>
      </w:pPr>
      <w:r>
        <w:t xml:space="preserve">Total_Open_Positions =  </w:t>
      </w:r>
    </w:p>
    <w:p w14:paraId="45609AA2" w14:textId="77777777" w:rsidR="00CE3227" w:rsidRDefault="00000000">
      <w:pPr>
        <w:spacing w:after="257" w:line="259" w:lineRule="auto"/>
        <w:ind w:left="681" w:right="0"/>
        <w:jc w:val="left"/>
      </w:pPr>
      <w:r>
        <w:rPr>
          <w:color w:val="3165BB"/>
        </w:rPr>
        <w:t>SUMX</w:t>
      </w:r>
      <w:r>
        <w:t xml:space="preserve"> ( </w:t>
      </w:r>
    </w:p>
    <w:p w14:paraId="261901FC" w14:textId="77777777" w:rsidR="00CE3227" w:rsidRDefault="00000000">
      <w:pPr>
        <w:spacing w:after="257" w:line="259" w:lineRule="auto"/>
        <w:ind w:left="669" w:right="0"/>
        <w:jc w:val="left"/>
      </w:pPr>
      <w:r>
        <w:rPr>
          <w:color w:val="001080"/>
        </w:rPr>
        <w:t>'Append</w:t>
      </w:r>
      <w:proofErr w:type="gramStart"/>
      <w:r>
        <w:rPr>
          <w:color w:val="001080"/>
        </w:rPr>
        <w:t>’</w:t>
      </w:r>
      <w:r>
        <w:t>,</w:t>
      </w:r>
      <w:proofErr w:type="gramEnd"/>
      <w:r>
        <w:rPr>
          <w:color w:val="001080"/>
        </w:rPr>
        <w:t xml:space="preserve"> ‘Append'[open]</w:t>
      </w:r>
      <w:r>
        <w:t xml:space="preserve"> * </w:t>
      </w:r>
      <w:r>
        <w:rPr>
          <w:color w:val="001080"/>
        </w:rPr>
        <w:t>'Append'[volume]</w:t>
      </w:r>
      <w:r>
        <w:t xml:space="preserve"> </w:t>
      </w:r>
    </w:p>
    <w:p w14:paraId="286DDED0" w14:textId="77777777" w:rsidR="00CE3227" w:rsidRDefault="00000000">
      <w:pPr>
        <w:ind w:left="684" w:right="113"/>
      </w:pPr>
      <w:r>
        <w:t xml:space="preserve">) </w:t>
      </w:r>
    </w:p>
    <w:p w14:paraId="1A09A93B" w14:textId="77777777" w:rsidR="00CE3227" w:rsidRDefault="00000000">
      <w:pPr>
        <w:spacing w:after="256" w:line="259" w:lineRule="auto"/>
        <w:ind w:left="674" w:right="0" w:firstLine="0"/>
        <w:jc w:val="left"/>
      </w:pPr>
      <w:r>
        <w:t xml:space="preserve"> </w:t>
      </w:r>
    </w:p>
    <w:p w14:paraId="7FAE03D6" w14:textId="77777777" w:rsidR="00CE3227" w:rsidRDefault="00000000">
      <w:pPr>
        <w:ind w:left="684" w:right="113"/>
      </w:pPr>
      <w:r>
        <w:t xml:space="preserve">Total Volume =  </w:t>
      </w:r>
    </w:p>
    <w:p w14:paraId="51D62CEA" w14:textId="77777777" w:rsidR="00CE3227" w:rsidRDefault="00000000">
      <w:pPr>
        <w:spacing w:after="257" w:line="259" w:lineRule="auto"/>
        <w:ind w:left="684" w:right="0"/>
        <w:jc w:val="left"/>
      </w:pPr>
      <w:r>
        <w:rPr>
          <w:color w:val="3165BB"/>
        </w:rPr>
        <w:t>SUM</w:t>
      </w:r>
      <w:r>
        <w:t>(</w:t>
      </w:r>
      <w:r>
        <w:rPr>
          <w:color w:val="001080"/>
        </w:rPr>
        <w:t>'Append'[volume]</w:t>
      </w:r>
      <w:r>
        <w:t xml:space="preserve">) </w:t>
      </w:r>
    </w:p>
    <w:p w14:paraId="2085F6BC" w14:textId="77777777" w:rsidR="00CE3227" w:rsidRDefault="00000000">
      <w:pPr>
        <w:spacing w:after="258" w:line="259" w:lineRule="auto"/>
        <w:ind w:left="674" w:right="0" w:firstLine="0"/>
        <w:jc w:val="left"/>
      </w:pPr>
      <w:r>
        <w:t xml:space="preserve"> </w:t>
      </w:r>
    </w:p>
    <w:p w14:paraId="4E574916" w14:textId="77777777" w:rsidR="00CE3227" w:rsidRDefault="00000000">
      <w:pPr>
        <w:spacing w:after="0" w:line="476" w:lineRule="auto"/>
        <w:ind w:left="684" w:right="5192"/>
      </w:pPr>
      <w:r>
        <w:t xml:space="preserve">Total Open </w:t>
      </w:r>
      <w:proofErr w:type="gramStart"/>
      <w:r>
        <w:t xml:space="preserve">=  </w:t>
      </w:r>
      <w:r>
        <w:rPr>
          <w:color w:val="3165BB"/>
        </w:rPr>
        <w:t>SUM</w:t>
      </w:r>
      <w:proofErr w:type="gramEnd"/>
      <w:r>
        <w:t>(</w:t>
      </w:r>
      <w:r>
        <w:rPr>
          <w:color w:val="001080"/>
        </w:rPr>
        <w:t>'Append'[open]</w:t>
      </w:r>
      <w:r>
        <w:t xml:space="preserve">) </w:t>
      </w:r>
    </w:p>
    <w:p w14:paraId="059BB314" w14:textId="77777777" w:rsidR="00CE3227" w:rsidRDefault="00000000">
      <w:pPr>
        <w:spacing w:after="248" w:line="259" w:lineRule="auto"/>
        <w:ind w:left="2835" w:right="0" w:firstLine="0"/>
        <w:jc w:val="left"/>
      </w:pPr>
      <w:r>
        <w:rPr>
          <w:sz w:val="18"/>
        </w:rPr>
        <w:t xml:space="preserve"> </w:t>
      </w:r>
    </w:p>
    <w:p w14:paraId="4131B0D3" w14:textId="77777777" w:rsidR="00CE3227" w:rsidRDefault="00000000">
      <w:pPr>
        <w:ind w:left="684" w:right="113"/>
      </w:pPr>
      <w:r>
        <w:t xml:space="preserve">TotalPriceChanges =  </w:t>
      </w:r>
    </w:p>
    <w:p w14:paraId="2A596F16" w14:textId="77777777" w:rsidR="00CE3227" w:rsidRDefault="00000000">
      <w:pPr>
        <w:spacing w:after="257" w:line="259" w:lineRule="auto"/>
        <w:ind w:left="681" w:right="0"/>
        <w:jc w:val="left"/>
      </w:pPr>
      <w:r>
        <w:rPr>
          <w:color w:val="3165BB"/>
        </w:rPr>
        <w:lastRenderedPageBreak/>
        <w:t>SUMX</w:t>
      </w:r>
      <w:r>
        <w:t xml:space="preserve"> ( </w:t>
      </w:r>
    </w:p>
    <w:p w14:paraId="44077011" w14:textId="77777777" w:rsidR="00CE3227" w:rsidRDefault="00000000">
      <w:pPr>
        <w:spacing w:after="257" w:line="259" w:lineRule="auto"/>
        <w:ind w:left="669" w:right="0"/>
        <w:jc w:val="left"/>
      </w:pPr>
      <w:r>
        <w:rPr>
          <w:color w:val="001080"/>
        </w:rPr>
        <w:t>'Append</w:t>
      </w:r>
      <w:proofErr w:type="gramStart"/>
      <w:r>
        <w:rPr>
          <w:color w:val="001080"/>
        </w:rPr>
        <w:t>’</w:t>
      </w:r>
      <w:r>
        <w:t>,</w:t>
      </w:r>
      <w:proofErr w:type="gramEnd"/>
      <w:r>
        <w:rPr>
          <w:color w:val="001080"/>
        </w:rPr>
        <w:t xml:space="preserve"> ‘Append'[close]</w:t>
      </w:r>
      <w:r>
        <w:t xml:space="preserve"> - </w:t>
      </w:r>
      <w:r>
        <w:rPr>
          <w:color w:val="001080"/>
        </w:rPr>
        <w:t xml:space="preserve">'Append'[open] </w:t>
      </w:r>
    </w:p>
    <w:p w14:paraId="6C63042E" w14:textId="77777777" w:rsidR="00CE3227" w:rsidRDefault="00000000">
      <w:pPr>
        <w:spacing w:after="192"/>
        <w:ind w:left="684" w:right="113"/>
      </w:pPr>
      <w:r>
        <w:t xml:space="preserve">) </w:t>
      </w:r>
    </w:p>
    <w:p w14:paraId="2DA447E8" w14:textId="77777777" w:rsidR="00CE3227" w:rsidRDefault="00000000">
      <w:pPr>
        <w:spacing w:after="250" w:line="259" w:lineRule="auto"/>
        <w:ind w:left="2835" w:right="0" w:firstLine="0"/>
        <w:jc w:val="left"/>
      </w:pPr>
      <w:r>
        <w:rPr>
          <w:sz w:val="18"/>
        </w:rPr>
        <w:t xml:space="preserve"> </w:t>
      </w:r>
    </w:p>
    <w:p w14:paraId="1267580A" w14:textId="77777777" w:rsidR="00CE3227" w:rsidRDefault="00000000">
      <w:pPr>
        <w:spacing w:after="31" w:line="477" w:lineRule="auto"/>
        <w:ind w:left="-5" w:right="113"/>
      </w:pPr>
      <w:r>
        <w:t xml:space="preserve">The above DAX functions computes the total values for different metrics within a specified dataset (‘Fuels Future Data’). Each function calculates the total value for specific columns or measures. </w:t>
      </w:r>
    </w:p>
    <w:p w14:paraId="21A9396C" w14:textId="77777777" w:rsidR="00CE3227" w:rsidRDefault="00000000">
      <w:pPr>
        <w:numPr>
          <w:ilvl w:val="0"/>
          <w:numId w:val="4"/>
        </w:numPr>
        <w:spacing w:after="280"/>
        <w:ind w:right="113" w:hanging="360"/>
      </w:pPr>
      <w:r>
        <w:t xml:space="preserve">Total close position represents total closing positions. </w:t>
      </w:r>
    </w:p>
    <w:p w14:paraId="740CAA24" w14:textId="77777777" w:rsidR="00CE3227" w:rsidRDefault="00000000">
      <w:pPr>
        <w:numPr>
          <w:ilvl w:val="0"/>
          <w:numId w:val="4"/>
        </w:numPr>
        <w:spacing w:after="283"/>
        <w:ind w:right="113" w:hanging="360"/>
      </w:pPr>
      <w:r>
        <w:t xml:space="preserve">Total open position represents total opening positions. </w:t>
      </w:r>
    </w:p>
    <w:p w14:paraId="24E812FA" w14:textId="77777777" w:rsidR="00CE3227" w:rsidRDefault="00000000">
      <w:pPr>
        <w:numPr>
          <w:ilvl w:val="0"/>
          <w:numId w:val="4"/>
        </w:numPr>
        <w:spacing w:after="280"/>
        <w:ind w:right="113" w:hanging="360"/>
      </w:pPr>
      <w:r>
        <w:t xml:space="preserve">Total volume represents total trading volume. </w:t>
      </w:r>
    </w:p>
    <w:p w14:paraId="762CC9DF" w14:textId="77777777" w:rsidR="00CE3227" w:rsidRDefault="00000000">
      <w:pPr>
        <w:numPr>
          <w:ilvl w:val="0"/>
          <w:numId w:val="4"/>
        </w:numPr>
        <w:spacing w:after="283"/>
        <w:ind w:right="113" w:hanging="360"/>
      </w:pPr>
      <w:r>
        <w:t xml:space="preserve">Total Open represents total open prices </w:t>
      </w:r>
    </w:p>
    <w:p w14:paraId="2F497409" w14:textId="77777777" w:rsidR="00CE3227" w:rsidRDefault="00000000">
      <w:pPr>
        <w:numPr>
          <w:ilvl w:val="0"/>
          <w:numId w:val="4"/>
        </w:numPr>
        <w:ind w:right="113" w:hanging="360"/>
      </w:pPr>
      <w:r>
        <w:t xml:space="preserve">Total Price Change represents the sum of price change for each row. </w:t>
      </w:r>
    </w:p>
    <w:p w14:paraId="2FF55935" w14:textId="77777777" w:rsidR="00CE3227" w:rsidRDefault="00000000">
      <w:pPr>
        <w:ind w:left="555" w:right="113"/>
      </w:pPr>
      <w:r>
        <w:t xml:space="preserve">Avg Daily Close Price =  </w:t>
      </w:r>
    </w:p>
    <w:p w14:paraId="726C1B38" w14:textId="77777777" w:rsidR="00CE3227" w:rsidRDefault="00000000">
      <w:pPr>
        <w:spacing w:after="257" w:line="259" w:lineRule="auto"/>
        <w:ind w:left="555" w:right="0"/>
        <w:jc w:val="left"/>
      </w:pPr>
      <w:r>
        <w:rPr>
          <w:color w:val="3165BB"/>
        </w:rPr>
        <w:t>AVERAGE</w:t>
      </w:r>
      <w:r>
        <w:t>(</w:t>
      </w:r>
      <w:r>
        <w:rPr>
          <w:color w:val="001080"/>
        </w:rPr>
        <w:t>'Append'[close]</w:t>
      </w:r>
      <w:r>
        <w:t xml:space="preserve">) </w:t>
      </w:r>
    </w:p>
    <w:p w14:paraId="385D32CC" w14:textId="77777777" w:rsidR="00CE3227" w:rsidRDefault="00000000">
      <w:pPr>
        <w:spacing w:after="256" w:line="259" w:lineRule="auto"/>
        <w:ind w:left="545" w:right="0" w:firstLine="0"/>
        <w:jc w:val="left"/>
      </w:pPr>
      <w:r>
        <w:t xml:space="preserve"> </w:t>
      </w:r>
    </w:p>
    <w:p w14:paraId="6A7294E6" w14:textId="77777777" w:rsidR="00CE3227" w:rsidRDefault="00000000">
      <w:pPr>
        <w:ind w:left="555" w:right="113"/>
      </w:pPr>
      <w:r>
        <w:t xml:space="preserve">Rolling Average Close Price =  </w:t>
      </w:r>
    </w:p>
    <w:p w14:paraId="48C71EC2" w14:textId="77777777" w:rsidR="00CE3227" w:rsidRDefault="00000000">
      <w:pPr>
        <w:spacing w:after="257" w:line="259" w:lineRule="auto"/>
        <w:ind w:left="540" w:right="0"/>
        <w:jc w:val="left"/>
      </w:pPr>
      <w:r>
        <w:rPr>
          <w:color w:val="0000FF"/>
        </w:rPr>
        <w:t>VAR</w:t>
      </w:r>
      <w:r>
        <w:t xml:space="preserve"> </w:t>
      </w:r>
      <w:r>
        <w:rPr>
          <w:color w:val="008080"/>
        </w:rPr>
        <w:t>Numdays</w:t>
      </w:r>
      <w:r>
        <w:t>=</w:t>
      </w:r>
      <w:r>
        <w:rPr>
          <w:color w:val="098658"/>
        </w:rPr>
        <w:t>7</w:t>
      </w:r>
      <w:r>
        <w:t xml:space="preserve">  </w:t>
      </w:r>
    </w:p>
    <w:p w14:paraId="19F3E533" w14:textId="77777777" w:rsidR="00CE3227" w:rsidRDefault="00000000">
      <w:pPr>
        <w:spacing w:after="257" w:line="259" w:lineRule="auto"/>
        <w:ind w:left="540" w:right="0"/>
        <w:jc w:val="left"/>
      </w:pPr>
      <w:r>
        <w:rPr>
          <w:color w:val="0000FF"/>
        </w:rPr>
        <w:t>VAR</w:t>
      </w:r>
      <w:r>
        <w:t xml:space="preserve"> </w:t>
      </w:r>
      <w:r>
        <w:rPr>
          <w:color w:val="008080"/>
        </w:rPr>
        <w:t>RollingAverage</w:t>
      </w:r>
      <w:r>
        <w:t xml:space="preserve">= </w:t>
      </w:r>
    </w:p>
    <w:p w14:paraId="3CAC9E82" w14:textId="77777777" w:rsidR="00CE3227" w:rsidRDefault="00000000">
      <w:pPr>
        <w:spacing w:after="257" w:line="259" w:lineRule="auto"/>
        <w:ind w:left="555" w:right="0"/>
        <w:jc w:val="left"/>
      </w:pPr>
      <w:r>
        <w:rPr>
          <w:color w:val="3165BB"/>
        </w:rPr>
        <w:t>CALCULATE</w:t>
      </w:r>
      <w:r>
        <w:t>(</w:t>
      </w:r>
      <w:r>
        <w:rPr>
          <w:color w:val="3165BB"/>
        </w:rPr>
        <w:t>AVERAGE</w:t>
      </w:r>
      <w:r>
        <w:t>(</w:t>
      </w:r>
      <w:r>
        <w:rPr>
          <w:color w:val="001080"/>
        </w:rPr>
        <w:t>'Append'[close]</w:t>
      </w:r>
      <w:r>
        <w:t xml:space="preserve">),  </w:t>
      </w:r>
    </w:p>
    <w:p w14:paraId="4549B7EB" w14:textId="77777777" w:rsidR="00CE3227" w:rsidRDefault="00000000">
      <w:pPr>
        <w:spacing w:after="257" w:line="259" w:lineRule="auto"/>
        <w:ind w:left="555" w:right="0"/>
        <w:jc w:val="left"/>
      </w:pPr>
      <w:r>
        <w:rPr>
          <w:color w:val="3165BB"/>
        </w:rPr>
        <w:t>DATESINPERIOD</w:t>
      </w:r>
      <w:r>
        <w:t>(</w:t>
      </w:r>
      <w:r>
        <w:rPr>
          <w:color w:val="001080"/>
        </w:rPr>
        <w:t>'Append'[date]</w:t>
      </w:r>
      <w:r>
        <w:t>,</w:t>
      </w:r>
      <w:r>
        <w:rPr>
          <w:color w:val="3165BB"/>
        </w:rPr>
        <w:t xml:space="preserve"> LASTDATE</w:t>
      </w:r>
      <w:r>
        <w:t>(</w:t>
      </w:r>
      <w:r>
        <w:rPr>
          <w:color w:val="001080"/>
        </w:rPr>
        <w:t>'Append'[date]</w:t>
      </w:r>
      <w:r>
        <w:t>), -</w:t>
      </w:r>
      <w:r>
        <w:rPr>
          <w:color w:val="008080"/>
        </w:rPr>
        <w:t>Numdays</w:t>
      </w:r>
      <w:r>
        <w:t>,</w:t>
      </w:r>
      <w:r>
        <w:rPr>
          <w:color w:val="3165BB"/>
        </w:rPr>
        <w:t xml:space="preserve"> DAY</w:t>
      </w:r>
      <w:r>
        <w:t xml:space="preserve">) </w:t>
      </w:r>
    </w:p>
    <w:p w14:paraId="38219248" w14:textId="77777777" w:rsidR="00CE3227" w:rsidRDefault="00000000">
      <w:pPr>
        <w:ind w:left="555" w:right="113"/>
      </w:pPr>
      <w:r>
        <w:t xml:space="preserve"> )  </w:t>
      </w:r>
    </w:p>
    <w:p w14:paraId="7AF59ACF" w14:textId="77777777" w:rsidR="00CE3227" w:rsidRDefault="00000000">
      <w:pPr>
        <w:spacing w:after="257" w:line="259" w:lineRule="auto"/>
        <w:ind w:left="540" w:right="0"/>
        <w:jc w:val="left"/>
      </w:pPr>
      <w:r>
        <w:rPr>
          <w:color w:val="0000FF"/>
        </w:rPr>
        <w:t>RETURN</w:t>
      </w:r>
      <w:r>
        <w:t xml:space="preserve"> </w:t>
      </w:r>
      <w:r>
        <w:rPr>
          <w:color w:val="008080"/>
        </w:rPr>
        <w:t>RollingAverage</w:t>
      </w:r>
      <w:r>
        <w:t xml:space="preserve"> </w:t>
      </w:r>
    </w:p>
    <w:p w14:paraId="3B41026B" w14:textId="77777777" w:rsidR="00CE3227" w:rsidRDefault="00000000">
      <w:pPr>
        <w:spacing w:after="0" w:line="477" w:lineRule="auto"/>
        <w:ind w:left="-5" w:right="113"/>
      </w:pPr>
      <w:r>
        <w:lastRenderedPageBreak/>
        <w:t xml:space="preserve">The above DAX functions computes the average values for different metrics within a specified dataset (‘Fuels Future Data’). Each function calculates the average for specific columns or measures. </w:t>
      </w:r>
    </w:p>
    <w:p w14:paraId="4806893B" w14:textId="77777777" w:rsidR="00CE3227" w:rsidRDefault="00000000">
      <w:pPr>
        <w:ind w:left="-5" w:right="113"/>
      </w:pPr>
      <w:r>
        <w:t xml:space="preserve">Average Daily Close Price represents the average closing price across all days. </w:t>
      </w:r>
    </w:p>
    <w:p w14:paraId="3DCB656A" w14:textId="77777777" w:rsidR="00CE3227" w:rsidRDefault="00000000">
      <w:pPr>
        <w:spacing w:after="3" w:line="476" w:lineRule="auto"/>
        <w:ind w:left="-5" w:right="113"/>
      </w:pPr>
      <w:r>
        <w:t xml:space="preserve">Rolling Average Close Price represents the integrated sum of 7 days closing price since the numdays value is assigned as 7. </w:t>
      </w:r>
    </w:p>
    <w:p w14:paraId="3EFE6A33" w14:textId="77777777" w:rsidR="00CE3227" w:rsidRDefault="00000000">
      <w:pPr>
        <w:ind w:left="555" w:right="113"/>
      </w:pPr>
      <w:r>
        <w:t xml:space="preserve">Max_volume =  </w:t>
      </w:r>
    </w:p>
    <w:p w14:paraId="413D0670" w14:textId="77777777" w:rsidR="00CE3227" w:rsidRDefault="00000000">
      <w:pPr>
        <w:spacing w:after="200" w:line="259" w:lineRule="auto"/>
        <w:ind w:left="555" w:right="0"/>
        <w:jc w:val="left"/>
      </w:pPr>
      <w:r>
        <w:rPr>
          <w:color w:val="3165BB"/>
        </w:rPr>
        <w:t>Max</w:t>
      </w:r>
      <w:r>
        <w:t>(</w:t>
      </w:r>
      <w:r>
        <w:rPr>
          <w:color w:val="001080"/>
        </w:rPr>
        <w:t>'Append'[volume]</w:t>
      </w:r>
      <w:r>
        <w:t xml:space="preserve">) </w:t>
      </w:r>
    </w:p>
    <w:p w14:paraId="5D2CBD58" w14:textId="77777777" w:rsidR="00CE3227" w:rsidRDefault="00000000">
      <w:pPr>
        <w:spacing w:after="250" w:line="259" w:lineRule="auto"/>
        <w:ind w:left="1985" w:right="0" w:firstLine="0"/>
        <w:jc w:val="left"/>
      </w:pPr>
      <w:r>
        <w:rPr>
          <w:sz w:val="18"/>
        </w:rPr>
        <w:t xml:space="preserve"> </w:t>
      </w:r>
    </w:p>
    <w:p w14:paraId="1868BDD3" w14:textId="77777777" w:rsidR="00CE3227" w:rsidRDefault="00000000">
      <w:pPr>
        <w:spacing w:after="0" w:line="477" w:lineRule="auto"/>
        <w:ind w:left="-5" w:right="113"/>
      </w:pPr>
      <w:r>
        <w:t xml:space="preserve">The above DAX functions compute the maximum values within a specified dataset (‘Fuels Future Data’). Max function calculates the maximum of a specific column. Max_Volume represents the maximum trading volume across all days. </w:t>
      </w:r>
    </w:p>
    <w:p w14:paraId="05470DDD" w14:textId="77777777" w:rsidR="00CE3227" w:rsidRDefault="00000000">
      <w:pPr>
        <w:spacing w:after="250" w:line="259" w:lineRule="auto"/>
        <w:ind w:left="1560" w:right="0" w:firstLine="0"/>
        <w:jc w:val="left"/>
      </w:pPr>
      <w:r>
        <w:rPr>
          <w:sz w:val="18"/>
        </w:rPr>
        <w:t xml:space="preserve"> </w:t>
      </w:r>
    </w:p>
    <w:p w14:paraId="11EB9255" w14:textId="77777777" w:rsidR="00CE3227" w:rsidRDefault="00000000">
      <w:pPr>
        <w:ind w:left="555" w:right="113"/>
      </w:pPr>
      <w:r>
        <w:t xml:space="preserve">NegativePriceChanges = </w:t>
      </w:r>
    </w:p>
    <w:p w14:paraId="15597F74" w14:textId="77777777" w:rsidR="00CE3227" w:rsidRDefault="00000000">
      <w:pPr>
        <w:spacing w:after="257" w:line="259" w:lineRule="auto"/>
        <w:ind w:left="555" w:right="0"/>
        <w:jc w:val="left"/>
      </w:pPr>
      <w:r>
        <w:t xml:space="preserve"> </w:t>
      </w:r>
      <w:r>
        <w:rPr>
          <w:color w:val="3165BB"/>
        </w:rPr>
        <w:t>CALCULATE</w:t>
      </w:r>
      <w:r>
        <w:t xml:space="preserve"> ( </w:t>
      </w:r>
    </w:p>
    <w:p w14:paraId="257B3DF0" w14:textId="77777777" w:rsidR="00CE3227" w:rsidRDefault="00000000">
      <w:pPr>
        <w:spacing w:after="257" w:line="259" w:lineRule="auto"/>
        <w:ind w:left="555" w:right="0"/>
        <w:jc w:val="left"/>
      </w:pPr>
      <w:r>
        <w:t xml:space="preserve"> </w:t>
      </w:r>
      <w:r>
        <w:rPr>
          <w:color w:val="3165BB"/>
        </w:rPr>
        <w:t>SUMX</w:t>
      </w:r>
      <w:r>
        <w:t xml:space="preserve"> ( </w:t>
      </w:r>
    </w:p>
    <w:p w14:paraId="0403EDE4" w14:textId="77777777" w:rsidR="00CE3227" w:rsidRDefault="00000000">
      <w:pPr>
        <w:spacing w:after="257" w:line="259" w:lineRule="auto"/>
        <w:ind w:left="555" w:right="0"/>
        <w:jc w:val="left"/>
      </w:pPr>
      <w:r>
        <w:rPr>
          <w:color w:val="001080"/>
        </w:rPr>
        <w:t>'Append</w:t>
      </w:r>
      <w:proofErr w:type="gramStart"/>
      <w:r>
        <w:rPr>
          <w:color w:val="001080"/>
        </w:rPr>
        <w:t>’</w:t>
      </w:r>
      <w:r>
        <w:t>,</w:t>
      </w:r>
      <w:r>
        <w:rPr>
          <w:color w:val="3165BB"/>
        </w:rPr>
        <w:t>IF</w:t>
      </w:r>
      <w:proofErr w:type="gramEnd"/>
      <w:r>
        <w:t>(</w:t>
      </w:r>
      <w:r>
        <w:rPr>
          <w:color w:val="001080"/>
        </w:rPr>
        <w:t>'Append'[Close]</w:t>
      </w:r>
      <w:r>
        <w:t>&lt;</w:t>
      </w:r>
      <w:r>
        <w:rPr>
          <w:color w:val="001080"/>
        </w:rPr>
        <w:t>'Append'[Open]</w:t>
      </w:r>
      <w:r>
        <w:t>,</w:t>
      </w:r>
      <w:r>
        <w:rPr>
          <w:color w:val="001080"/>
        </w:rPr>
        <w:t>'Append'[Close]</w:t>
      </w:r>
      <w:r>
        <w:t xml:space="preserve"> - </w:t>
      </w:r>
      <w:r>
        <w:rPr>
          <w:color w:val="001080"/>
        </w:rPr>
        <w:t>'Append'[Open]</w:t>
      </w:r>
      <w:r>
        <w:t xml:space="preserve">, </w:t>
      </w:r>
      <w:r>
        <w:rPr>
          <w:color w:val="098658"/>
        </w:rPr>
        <w:t>0</w:t>
      </w:r>
      <w:r>
        <w:t xml:space="preserve">)) </w:t>
      </w:r>
    </w:p>
    <w:p w14:paraId="25CA052B" w14:textId="77777777" w:rsidR="00CE3227" w:rsidRDefault="00000000">
      <w:pPr>
        <w:ind w:left="555" w:right="113"/>
      </w:pPr>
      <w:r>
        <w:t xml:space="preserve">) </w:t>
      </w:r>
    </w:p>
    <w:p w14:paraId="52350515" w14:textId="77777777" w:rsidR="00CE3227" w:rsidRDefault="00000000">
      <w:pPr>
        <w:spacing w:after="258" w:line="259" w:lineRule="auto"/>
        <w:ind w:left="545" w:right="0" w:firstLine="0"/>
        <w:jc w:val="left"/>
      </w:pPr>
      <w:r>
        <w:t xml:space="preserve"> </w:t>
      </w:r>
    </w:p>
    <w:p w14:paraId="5710D4E3" w14:textId="77777777" w:rsidR="00CE3227" w:rsidRDefault="00000000">
      <w:pPr>
        <w:ind w:left="555" w:right="113"/>
      </w:pPr>
      <w:r>
        <w:t xml:space="preserve">PositivePriceChanges = </w:t>
      </w:r>
    </w:p>
    <w:p w14:paraId="3BC3F5A3" w14:textId="77777777" w:rsidR="00CE3227" w:rsidRDefault="00000000">
      <w:pPr>
        <w:spacing w:after="257" w:line="259" w:lineRule="auto"/>
        <w:ind w:left="555" w:right="0"/>
        <w:jc w:val="left"/>
      </w:pPr>
      <w:r>
        <w:t xml:space="preserve"> </w:t>
      </w:r>
      <w:r>
        <w:rPr>
          <w:color w:val="3165BB"/>
        </w:rPr>
        <w:t>CALCULATE</w:t>
      </w:r>
      <w:r>
        <w:t xml:space="preserve"> ( </w:t>
      </w:r>
    </w:p>
    <w:p w14:paraId="67B33AA4" w14:textId="77777777" w:rsidR="00CE3227" w:rsidRDefault="00000000">
      <w:pPr>
        <w:spacing w:after="257" w:line="259" w:lineRule="auto"/>
        <w:ind w:left="555" w:right="0"/>
        <w:jc w:val="left"/>
      </w:pPr>
      <w:r>
        <w:t xml:space="preserve"> </w:t>
      </w:r>
      <w:r>
        <w:rPr>
          <w:color w:val="3165BB"/>
        </w:rPr>
        <w:t>SUMX</w:t>
      </w:r>
      <w:r>
        <w:t xml:space="preserve"> ( </w:t>
      </w:r>
    </w:p>
    <w:p w14:paraId="61DD89E8" w14:textId="77777777" w:rsidR="00CE3227" w:rsidRDefault="00000000">
      <w:pPr>
        <w:spacing w:after="257" w:line="259" w:lineRule="auto"/>
        <w:ind w:left="555" w:right="0"/>
        <w:jc w:val="left"/>
      </w:pPr>
      <w:r>
        <w:rPr>
          <w:color w:val="001080"/>
        </w:rPr>
        <w:t>'Append</w:t>
      </w:r>
      <w:proofErr w:type="gramStart"/>
      <w:r>
        <w:rPr>
          <w:color w:val="001080"/>
        </w:rPr>
        <w:t>'</w:t>
      </w:r>
      <w:r>
        <w:t>,</w:t>
      </w:r>
      <w:r>
        <w:rPr>
          <w:color w:val="3165BB"/>
        </w:rPr>
        <w:t>IF</w:t>
      </w:r>
      <w:proofErr w:type="gramEnd"/>
      <w:r>
        <w:t>(</w:t>
      </w:r>
      <w:r>
        <w:rPr>
          <w:color w:val="001080"/>
        </w:rPr>
        <w:t>'Append'[Close]</w:t>
      </w:r>
      <w:r>
        <w:t>&gt;</w:t>
      </w:r>
      <w:r>
        <w:rPr>
          <w:color w:val="001080"/>
        </w:rPr>
        <w:t>'Append'[Open]</w:t>
      </w:r>
      <w:r>
        <w:t>,</w:t>
      </w:r>
      <w:r>
        <w:rPr>
          <w:color w:val="001080"/>
        </w:rPr>
        <w:t>'Append'[Close]</w:t>
      </w:r>
      <w:r>
        <w:t xml:space="preserve"> - </w:t>
      </w:r>
      <w:r>
        <w:rPr>
          <w:color w:val="001080"/>
        </w:rPr>
        <w:t>'Append'[Open]</w:t>
      </w:r>
      <w:r>
        <w:t xml:space="preserve">, </w:t>
      </w:r>
      <w:r>
        <w:rPr>
          <w:color w:val="098658"/>
        </w:rPr>
        <w:t>0</w:t>
      </w:r>
      <w:r>
        <w:t xml:space="preserve">)) </w:t>
      </w:r>
    </w:p>
    <w:p w14:paraId="0B006B71" w14:textId="77777777" w:rsidR="00CE3227" w:rsidRDefault="00000000">
      <w:pPr>
        <w:ind w:left="555" w:right="113"/>
      </w:pPr>
      <w:r>
        <w:lastRenderedPageBreak/>
        <w:t xml:space="preserve"> ) </w:t>
      </w:r>
    </w:p>
    <w:p w14:paraId="2A267F94" w14:textId="77777777" w:rsidR="00CE3227" w:rsidRDefault="00000000">
      <w:pPr>
        <w:ind w:left="696" w:right="113"/>
      </w:pPr>
      <w:r>
        <w:t xml:space="preserve">PercentageNegativeChange =  </w:t>
      </w:r>
    </w:p>
    <w:p w14:paraId="21F92D14" w14:textId="77777777" w:rsidR="00CE3227" w:rsidRDefault="00000000">
      <w:pPr>
        <w:spacing w:after="257" w:line="259" w:lineRule="auto"/>
        <w:ind w:left="681" w:right="0"/>
        <w:jc w:val="left"/>
      </w:pPr>
      <w:r>
        <w:rPr>
          <w:color w:val="3165BB"/>
        </w:rPr>
        <w:t>DIVIDE</w:t>
      </w:r>
      <w:r>
        <w:t xml:space="preserve"> ( </w:t>
      </w:r>
    </w:p>
    <w:p w14:paraId="6F4329B6" w14:textId="77777777" w:rsidR="00CE3227" w:rsidRDefault="00000000">
      <w:pPr>
        <w:spacing w:after="257" w:line="259" w:lineRule="auto"/>
        <w:ind w:left="681" w:right="0"/>
        <w:jc w:val="left"/>
      </w:pPr>
      <w:r>
        <w:rPr>
          <w:color w:val="68349C"/>
        </w:rPr>
        <w:t>[NegativePriceChanges]</w:t>
      </w:r>
      <w:r>
        <w:t xml:space="preserve">, </w:t>
      </w:r>
      <w:r>
        <w:rPr>
          <w:color w:val="68349C"/>
        </w:rPr>
        <w:t>[TotalPriceChanges]</w:t>
      </w:r>
      <w:r>
        <w:t xml:space="preserve">, </w:t>
      </w:r>
      <w:r>
        <w:rPr>
          <w:color w:val="098658"/>
        </w:rPr>
        <w:t xml:space="preserve">0 </w:t>
      </w:r>
    </w:p>
    <w:p w14:paraId="7EA415F6" w14:textId="77777777" w:rsidR="00CE3227" w:rsidRDefault="00000000">
      <w:pPr>
        <w:ind w:left="696" w:right="113"/>
      </w:pPr>
      <w:r>
        <w:t xml:space="preserve">) </w:t>
      </w:r>
    </w:p>
    <w:p w14:paraId="77EB7F77" w14:textId="77777777" w:rsidR="00CE3227" w:rsidRDefault="00000000">
      <w:pPr>
        <w:spacing w:after="256" w:line="259" w:lineRule="auto"/>
        <w:ind w:left="686" w:right="0" w:firstLine="0"/>
        <w:jc w:val="left"/>
      </w:pPr>
      <w:r>
        <w:t xml:space="preserve"> </w:t>
      </w:r>
    </w:p>
    <w:p w14:paraId="2085F73C" w14:textId="77777777" w:rsidR="00CE3227" w:rsidRDefault="00000000">
      <w:pPr>
        <w:ind w:left="696" w:right="113"/>
      </w:pPr>
      <w:r>
        <w:t xml:space="preserve">PercentagePositiveChange = </w:t>
      </w:r>
    </w:p>
    <w:p w14:paraId="4E6A8E24" w14:textId="77777777" w:rsidR="00CE3227" w:rsidRDefault="00000000">
      <w:pPr>
        <w:spacing w:after="257" w:line="259" w:lineRule="auto"/>
        <w:ind w:left="681" w:right="0"/>
        <w:jc w:val="left"/>
      </w:pPr>
      <w:r>
        <w:t xml:space="preserve"> </w:t>
      </w:r>
      <w:r>
        <w:rPr>
          <w:color w:val="3165BB"/>
        </w:rPr>
        <w:t>DIVIDE</w:t>
      </w:r>
      <w:r>
        <w:t xml:space="preserve"> ( </w:t>
      </w:r>
    </w:p>
    <w:p w14:paraId="68DBD0A5" w14:textId="77777777" w:rsidR="00CE3227" w:rsidRDefault="00000000">
      <w:pPr>
        <w:spacing w:after="257" w:line="259" w:lineRule="auto"/>
        <w:ind w:left="681" w:right="0"/>
        <w:jc w:val="left"/>
      </w:pPr>
      <w:r>
        <w:rPr>
          <w:color w:val="68349C"/>
        </w:rPr>
        <w:t>[PositivePriceChanges]</w:t>
      </w:r>
      <w:r>
        <w:t xml:space="preserve">, </w:t>
      </w:r>
      <w:r>
        <w:rPr>
          <w:color w:val="68349C"/>
        </w:rPr>
        <w:t>[TotalPriceChanges]</w:t>
      </w:r>
      <w:r>
        <w:t xml:space="preserve">, </w:t>
      </w:r>
      <w:r>
        <w:rPr>
          <w:color w:val="098658"/>
        </w:rPr>
        <w:t xml:space="preserve">0 </w:t>
      </w:r>
    </w:p>
    <w:p w14:paraId="53E0346A" w14:textId="77777777" w:rsidR="00CE3227" w:rsidRDefault="00000000">
      <w:pPr>
        <w:ind w:left="696" w:right="113"/>
      </w:pPr>
      <w:r>
        <w:t xml:space="preserve">) </w:t>
      </w:r>
    </w:p>
    <w:p w14:paraId="5B47A49E" w14:textId="77777777" w:rsidR="00CE3227" w:rsidRDefault="00000000">
      <w:pPr>
        <w:spacing w:after="258" w:line="259" w:lineRule="auto"/>
        <w:ind w:left="686" w:right="0" w:firstLine="0"/>
        <w:jc w:val="left"/>
      </w:pPr>
      <w:r>
        <w:t xml:space="preserve"> </w:t>
      </w:r>
    </w:p>
    <w:p w14:paraId="668320A1" w14:textId="77777777" w:rsidR="00CE3227" w:rsidRDefault="00000000">
      <w:pPr>
        <w:ind w:left="696" w:right="113"/>
      </w:pPr>
      <w:r>
        <w:t xml:space="preserve">OverallPercentageChange =  </w:t>
      </w:r>
    </w:p>
    <w:p w14:paraId="4F87BB85" w14:textId="77777777" w:rsidR="00CE3227" w:rsidRDefault="00000000">
      <w:pPr>
        <w:spacing w:after="257" w:line="259" w:lineRule="auto"/>
        <w:ind w:left="681" w:right="0"/>
        <w:jc w:val="left"/>
      </w:pPr>
      <w:r>
        <w:rPr>
          <w:color w:val="3165BB"/>
        </w:rPr>
        <w:t>DIVIDE</w:t>
      </w:r>
      <w:r>
        <w:t xml:space="preserve"> ( </w:t>
      </w:r>
    </w:p>
    <w:p w14:paraId="2531C0E6" w14:textId="77777777" w:rsidR="00CE3227" w:rsidRDefault="00000000">
      <w:pPr>
        <w:spacing w:after="257" w:line="259" w:lineRule="auto"/>
        <w:ind w:left="696" w:right="0"/>
        <w:jc w:val="left"/>
      </w:pPr>
      <w:r>
        <w:t xml:space="preserve">    </w:t>
      </w:r>
      <w:r>
        <w:rPr>
          <w:color w:val="3165BB"/>
        </w:rPr>
        <w:t>SUMX</w:t>
      </w:r>
      <w:r>
        <w:t xml:space="preserve"> (</w:t>
      </w:r>
      <w:r>
        <w:rPr>
          <w:color w:val="001080"/>
        </w:rPr>
        <w:t>'Append'</w:t>
      </w:r>
      <w:r>
        <w:t xml:space="preserve">, </w:t>
      </w:r>
      <w:r>
        <w:rPr>
          <w:color w:val="001080"/>
        </w:rPr>
        <w:t>'Append'[close]</w:t>
      </w:r>
      <w:r>
        <w:t xml:space="preserve"> - </w:t>
      </w:r>
      <w:r>
        <w:rPr>
          <w:color w:val="001080"/>
        </w:rPr>
        <w:t>'Append'[open]</w:t>
      </w:r>
      <w:r>
        <w:t xml:space="preserve">), </w:t>
      </w:r>
    </w:p>
    <w:p w14:paraId="00C1FA65" w14:textId="77777777" w:rsidR="00CE3227" w:rsidRDefault="00000000">
      <w:pPr>
        <w:spacing w:after="257" w:line="259" w:lineRule="auto"/>
        <w:ind w:left="696" w:right="0"/>
        <w:jc w:val="left"/>
      </w:pPr>
      <w:r>
        <w:t xml:space="preserve">    </w:t>
      </w:r>
      <w:r>
        <w:rPr>
          <w:color w:val="3165BB"/>
        </w:rPr>
        <w:t>CALCULATE</w:t>
      </w:r>
      <w:r>
        <w:t xml:space="preserve"> (</w:t>
      </w:r>
      <w:r>
        <w:rPr>
          <w:color w:val="3165BB"/>
        </w:rPr>
        <w:t>SUMX</w:t>
      </w:r>
      <w:r>
        <w:t xml:space="preserve"> (</w:t>
      </w:r>
      <w:r>
        <w:rPr>
          <w:color w:val="001080"/>
        </w:rPr>
        <w:t>'Append'</w:t>
      </w:r>
      <w:r>
        <w:t xml:space="preserve">, </w:t>
      </w:r>
      <w:r>
        <w:rPr>
          <w:color w:val="001080"/>
        </w:rPr>
        <w:t>'Append'[open]</w:t>
      </w:r>
      <w:r>
        <w:t xml:space="preserve">)) </w:t>
      </w:r>
    </w:p>
    <w:p w14:paraId="2CAFA911" w14:textId="77777777" w:rsidR="00CE3227" w:rsidRDefault="00000000">
      <w:pPr>
        <w:spacing w:after="192"/>
        <w:ind w:left="696" w:right="113"/>
      </w:pPr>
      <w:r>
        <w:t xml:space="preserve">) * </w:t>
      </w:r>
      <w:r>
        <w:rPr>
          <w:color w:val="098658"/>
        </w:rPr>
        <w:t xml:space="preserve">100 </w:t>
      </w:r>
    </w:p>
    <w:p w14:paraId="69F5C9BD" w14:textId="77777777" w:rsidR="00CE3227" w:rsidRDefault="00000000">
      <w:pPr>
        <w:spacing w:after="250" w:line="259" w:lineRule="auto"/>
        <w:ind w:left="1560" w:right="0" w:firstLine="0"/>
        <w:jc w:val="left"/>
      </w:pPr>
      <w:r>
        <w:rPr>
          <w:color w:val="098658"/>
          <w:sz w:val="18"/>
        </w:rPr>
        <w:t xml:space="preserve"> </w:t>
      </w:r>
    </w:p>
    <w:p w14:paraId="154957D4" w14:textId="77777777" w:rsidR="00CE3227" w:rsidRDefault="00000000">
      <w:pPr>
        <w:spacing w:after="0" w:line="477" w:lineRule="auto"/>
        <w:ind w:left="-5" w:right="113"/>
      </w:pPr>
      <w:r>
        <w:t xml:space="preserve">The above DAX functions computes the percentage change for different metrics within a specified dataset (‘Fuels Future Data’). Each function calculates the total value for specific columns or measures. </w:t>
      </w:r>
    </w:p>
    <w:p w14:paraId="39BB1B0F" w14:textId="77777777" w:rsidR="00CE3227" w:rsidRDefault="00000000">
      <w:pPr>
        <w:spacing w:after="0" w:line="478" w:lineRule="auto"/>
        <w:ind w:left="-5" w:right="113"/>
      </w:pPr>
      <w:r>
        <w:t xml:space="preserve">Negative Price Change represents the price change whose closing price is less than opening price. </w:t>
      </w:r>
    </w:p>
    <w:p w14:paraId="5A09ED62" w14:textId="77777777" w:rsidR="00CE3227" w:rsidRDefault="00000000">
      <w:pPr>
        <w:spacing w:line="478" w:lineRule="auto"/>
        <w:ind w:left="-5" w:right="113"/>
      </w:pPr>
      <w:r>
        <w:lastRenderedPageBreak/>
        <w:t xml:space="preserve">Position Price Change represents the price change whose opening price is less than closing price. </w:t>
      </w:r>
    </w:p>
    <w:p w14:paraId="49E4A7C3" w14:textId="77777777" w:rsidR="00CE3227" w:rsidRDefault="00000000">
      <w:pPr>
        <w:spacing w:after="2" w:line="476" w:lineRule="auto"/>
        <w:ind w:left="-5" w:right="113"/>
      </w:pPr>
      <w:r>
        <w:t xml:space="preserve">Percentage Negative Change represents the negative price change in respect to total price change  </w:t>
      </w:r>
    </w:p>
    <w:p w14:paraId="6404B18A" w14:textId="77777777" w:rsidR="00CE3227" w:rsidRDefault="00000000">
      <w:pPr>
        <w:spacing w:after="2" w:line="476" w:lineRule="auto"/>
        <w:ind w:left="-5" w:right="113"/>
      </w:pPr>
      <w:r>
        <w:t xml:space="preserve">Percentage Positive Change represents the positive price change in respect to total price change  </w:t>
      </w:r>
    </w:p>
    <w:p w14:paraId="231BE2D6" w14:textId="77777777" w:rsidR="00CE3227" w:rsidRDefault="00000000">
      <w:pPr>
        <w:ind w:left="-5" w:right="113"/>
      </w:pPr>
      <w:r>
        <w:t xml:space="preserve">Overall Percentage Change represents the percentage change. </w:t>
      </w:r>
    </w:p>
    <w:p w14:paraId="7FD9EE33" w14:textId="77777777" w:rsidR="00CE3227" w:rsidRDefault="00000000">
      <w:pPr>
        <w:ind w:left="838" w:right="113"/>
      </w:pPr>
      <w:r>
        <w:t xml:space="preserve">Price Volatility =  </w:t>
      </w:r>
    </w:p>
    <w:p w14:paraId="66941F26" w14:textId="77777777" w:rsidR="00CE3227" w:rsidRDefault="00000000">
      <w:pPr>
        <w:spacing w:after="257" w:line="259" w:lineRule="auto"/>
        <w:ind w:left="823" w:right="0"/>
        <w:jc w:val="left"/>
      </w:pPr>
      <w:r>
        <w:rPr>
          <w:color w:val="3165BB"/>
        </w:rPr>
        <w:t>AVERAGEX</w:t>
      </w:r>
      <w:r>
        <w:t xml:space="preserve"> (</w:t>
      </w:r>
      <w:r>
        <w:rPr>
          <w:color w:val="001080"/>
        </w:rPr>
        <w:t>'Append'</w:t>
      </w:r>
      <w:r>
        <w:t xml:space="preserve">, </w:t>
      </w:r>
      <w:r>
        <w:rPr>
          <w:color w:val="3165BB"/>
        </w:rPr>
        <w:t>ABS</w:t>
      </w:r>
      <w:r>
        <w:t>(</w:t>
      </w:r>
      <w:r>
        <w:rPr>
          <w:color w:val="001080"/>
        </w:rPr>
        <w:t>'Append'[close]</w:t>
      </w:r>
      <w:r>
        <w:t xml:space="preserve"> - </w:t>
      </w:r>
      <w:r>
        <w:rPr>
          <w:color w:val="001080"/>
        </w:rPr>
        <w:t>'Append'[open]</w:t>
      </w:r>
      <w:r>
        <w:t xml:space="preserve">) </w:t>
      </w:r>
    </w:p>
    <w:p w14:paraId="5B7BE220" w14:textId="77777777" w:rsidR="00CE3227" w:rsidRDefault="00000000">
      <w:pPr>
        <w:ind w:left="838" w:right="113"/>
      </w:pPr>
      <w:r>
        <w:t xml:space="preserve">) </w:t>
      </w:r>
    </w:p>
    <w:p w14:paraId="3A9EBFFD" w14:textId="77777777" w:rsidR="00CE3227" w:rsidRDefault="00000000">
      <w:pPr>
        <w:spacing w:after="0" w:line="476" w:lineRule="auto"/>
        <w:ind w:left="-5" w:right="113"/>
      </w:pPr>
      <w:r>
        <w:t xml:space="preserve">The above DAX functions computes the average absolute price change for different metrics within a specified dataset (‘Fuels Future Data’) </w:t>
      </w:r>
    </w:p>
    <w:p w14:paraId="773828FE" w14:textId="77777777" w:rsidR="00CE3227" w:rsidRDefault="00000000">
      <w:pPr>
        <w:spacing w:after="251" w:line="259" w:lineRule="auto"/>
        <w:ind w:left="2269" w:right="0" w:firstLine="0"/>
        <w:jc w:val="left"/>
      </w:pPr>
      <w:r>
        <w:rPr>
          <w:sz w:val="18"/>
        </w:rPr>
        <w:t xml:space="preserve"> </w:t>
      </w:r>
    </w:p>
    <w:p w14:paraId="4089A18B" w14:textId="77777777" w:rsidR="00CE3227" w:rsidRDefault="00000000">
      <w:pPr>
        <w:ind w:left="838" w:right="113"/>
      </w:pPr>
      <w:r>
        <w:t xml:space="preserve">Year = </w:t>
      </w:r>
    </w:p>
    <w:p w14:paraId="7B072257" w14:textId="77777777" w:rsidR="00CE3227" w:rsidRDefault="00000000">
      <w:pPr>
        <w:spacing w:after="257" w:line="259" w:lineRule="auto"/>
        <w:ind w:left="823" w:right="0"/>
        <w:jc w:val="left"/>
      </w:pPr>
      <w:r>
        <w:t xml:space="preserve"> </w:t>
      </w:r>
      <w:r>
        <w:rPr>
          <w:color w:val="3165BB"/>
        </w:rPr>
        <w:t>YEAR</w:t>
      </w:r>
      <w:r>
        <w:t>(</w:t>
      </w:r>
      <w:r>
        <w:rPr>
          <w:color w:val="001080"/>
        </w:rPr>
        <w:t>'Append'[date]</w:t>
      </w:r>
      <w:r>
        <w:t xml:space="preserve">) </w:t>
      </w:r>
    </w:p>
    <w:p w14:paraId="5BBD636F" w14:textId="77777777" w:rsidR="00CE3227" w:rsidRDefault="00000000">
      <w:pPr>
        <w:ind w:left="838" w:right="113"/>
      </w:pPr>
      <w:r>
        <w:t xml:space="preserve">Month =  </w:t>
      </w:r>
    </w:p>
    <w:p w14:paraId="0B9C6EAC" w14:textId="77777777" w:rsidR="00CE3227" w:rsidRDefault="00000000">
      <w:pPr>
        <w:spacing w:after="257" w:line="259" w:lineRule="auto"/>
        <w:ind w:left="823" w:right="0"/>
        <w:jc w:val="left"/>
      </w:pPr>
      <w:r>
        <w:rPr>
          <w:color w:val="3165BB"/>
        </w:rPr>
        <w:t>MONTH</w:t>
      </w:r>
      <w:r>
        <w:t>(</w:t>
      </w:r>
      <w:r>
        <w:rPr>
          <w:color w:val="001080"/>
        </w:rPr>
        <w:t>'Append'[date]</w:t>
      </w:r>
      <w:r>
        <w:t xml:space="preserve">) </w:t>
      </w:r>
    </w:p>
    <w:p w14:paraId="0B4E6BB1" w14:textId="77777777" w:rsidR="00CE3227" w:rsidRDefault="00000000">
      <w:pPr>
        <w:ind w:left="838" w:right="113"/>
      </w:pPr>
      <w:r>
        <w:t xml:space="preserve">Quarter =  </w:t>
      </w:r>
    </w:p>
    <w:p w14:paraId="5A862969" w14:textId="77777777" w:rsidR="00CE3227" w:rsidRDefault="00000000">
      <w:pPr>
        <w:spacing w:after="257" w:line="259" w:lineRule="auto"/>
        <w:ind w:left="823" w:right="0"/>
        <w:jc w:val="left"/>
      </w:pPr>
      <w:r>
        <w:rPr>
          <w:color w:val="3165BB"/>
        </w:rPr>
        <w:t>FORMAT</w:t>
      </w:r>
      <w:r>
        <w:t>(</w:t>
      </w:r>
      <w:r>
        <w:rPr>
          <w:color w:val="001080"/>
        </w:rPr>
        <w:t>'Append'[date]</w:t>
      </w:r>
      <w:r>
        <w:t xml:space="preserve">, </w:t>
      </w:r>
      <w:r>
        <w:rPr>
          <w:color w:val="A31515"/>
        </w:rPr>
        <w:t>"\QQ"</w:t>
      </w:r>
      <w:r>
        <w:t xml:space="preserve">) </w:t>
      </w:r>
    </w:p>
    <w:p w14:paraId="67EF7F41" w14:textId="77777777" w:rsidR="00CE3227" w:rsidRDefault="00000000">
      <w:pPr>
        <w:ind w:left="838" w:right="113"/>
      </w:pPr>
      <w:r>
        <w:t xml:space="preserve">Day =  </w:t>
      </w:r>
    </w:p>
    <w:p w14:paraId="69F1BFD8" w14:textId="77777777" w:rsidR="00CE3227" w:rsidRDefault="00000000">
      <w:pPr>
        <w:spacing w:after="198" w:line="259" w:lineRule="auto"/>
        <w:ind w:left="823" w:right="0"/>
        <w:jc w:val="left"/>
      </w:pPr>
      <w:r>
        <w:rPr>
          <w:color w:val="3165BB"/>
        </w:rPr>
        <w:t>DAY</w:t>
      </w:r>
      <w:r>
        <w:t>(</w:t>
      </w:r>
      <w:r>
        <w:rPr>
          <w:color w:val="001080"/>
        </w:rPr>
        <w:t>'Append'[date]</w:t>
      </w:r>
      <w:r>
        <w:t xml:space="preserve">) </w:t>
      </w:r>
    </w:p>
    <w:p w14:paraId="7A59BC7F" w14:textId="77777777" w:rsidR="00CE3227" w:rsidRDefault="00000000">
      <w:pPr>
        <w:spacing w:after="250" w:line="259" w:lineRule="auto"/>
        <w:ind w:left="1277" w:right="0" w:firstLine="0"/>
        <w:jc w:val="left"/>
      </w:pPr>
      <w:r>
        <w:rPr>
          <w:sz w:val="18"/>
        </w:rPr>
        <w:t xml:space="preserve"> </w:t>
      </w:r>
    </w:p>
    <w:p w14:paraId="5FA15E14" w14:textId="77777777" w:rsidR="00CE3227" w:rsidRDefault="00000000">
      <w:pPr>
        <w:spacing w:after="2" w:line="477" w:lineRule="auto"/>
        <w:ind w:left="-5" w:right="113"/>
      </w:pPr>
      <w:r>
        <w:lastRenderedPageBreak/>
        <w:t xml:space="preserve">The above DAX functions computes the date values within a specified dataset (‘Fuels Future Data’).  Year represents a specific year from the date column. Months represent specific months from the date column. Quarter represents a specific quarter from the date column. </w:t>
      </w:r>
    </w:p>
    <w:p w14:paraId="4CA30E8A" w14:textId="77777777" w:rsidR="00CE3227" w:rsidRDefault="00000000">
      <w:pPr>
        <w:ind w:left="-5" w:right="113"/>
      </w:pPr>
      <w:r>
        <w:t>Day represents a specific week day from the date column.</w:t>
      </w:r>
      <w:r>
        <w:rPr>
          <w:sz w:val="18"/>
        </w:rPr>
        <w:t xml:space="preserve"> </w:t>
      </w:r>
    </w:p>
    <w:p w14:paraId="2671A5D7" w14:textId="77777777" w:rsidR="00CE3227" w:rsidRDefault="00000000">
      <w:pPr>
        <w:ind w:left="838" w:right="113"/>
      </w:pPr>
      <w:r>
        <w:t xml:space="preserve">DailyPriceChange =  </w:t>
      </w:r>
    </w:p>
    <w:p w14:paraId="70F3FD8C" w14:textId="77777777" w:rsidR="00CE3227" w:rsidRDefault="00000000">
      <w:pPr>
        <w:spacing w:after="200" w:line="259" w:lineRule="auto"/>
        <w:ind w:left="823" w:right="0"/>
        <w:jc w:val="left"/>
      </w:pPr>
      <w:r>
        <w:rPr>
          <w:color w:val="001080"/>
        </w:rPr>
        <w:t>'Append'[close]</w:t>
      </w:r>
      <w:r>
        <w:t xml:space="preserve"> - </w:t>
      </w:r>
      <w:r>
        <w:rPr>
          <w:color w:val="001080"/>
        </w:rPr>
        <w:t xml:space="preserve">'Append'[open] </w:t>
      </w:r>
    </w:p>
    <w:p w14:paraId="5B52D8E5" w14:textId="77777777" w:rsidR="00CE3227" w:rsidRDefault="00000000">
      <w:pPr>
        <w:spacing w:after="250" w:line="259" w:lineRule="auto"/>
        <w:ind w:left="2269" w:right="0" w:firstLine="0"/>
        <w:jc w:val="left"/>
      </w:pPr>
      <w:r>
        <w:rPr>
          <w:sz w:val="18"/>
        </w:rPr>
        <w:t xml:space="preserve"> </w:t>
      </w:r>
    </w:p>
    <w:p w14:paraId="1457BEE8" w14:textId="77777777" w:rsidR="00CE3227" w:rsidRDefault="00000000">
      <w:pPr>
        <w:spacing w:after="0" w:line="477" w:lineRule="auto"/>
        <w:ind w:left="-5" w:right="113"/>
      </w:pPr>
      <w:r>
        <w:t xml:space="preserve">The above DAX functions computes the price change of all dates within a specified dataset (‘Fuels Future Data’). Each function calculates the difference between closing and opening price for each day. </w:t>
      </w:r>
    </w:p>
    <w:p w14:paraId="05438B79" w14:textId="77777777" w:rsidR="00CE3227" w:rsidRDefault="00000000">
      <w:pPr>
        <w:spacing w:after="281" w:line="259" w:lineRule="auto"/>
        <w:ind w:left="1277" w:right="0" w:firstLine="0"/>
        <w:jc w:val="left"/>
      </w:pPr>
      <w:r>
        <w:rPr>
          <w:sz w:val="22"/>
        </w:rPr>
        <w:t xml:space="preserve"> </w:t>
      </w:r>
    </w:p>
    <w:p w14:paraId="0B4A557C" w14:textId="77777777" w:rsidR="00CE3227" w:rsidRDefault="00000000">
      <w:pPr>
        <w:pStyle w:val="Heading4"/>
        <w:tabs>
          <w:tab w:val="center" w:pos="1503"/>
          <w:tab w:val="center" w:pos="2627"/>
        </w:tabs>
        <w:spacing w:after="456"/>
        <w:ind w:left="0" w:firstLine="0"/>
      </w:pPr>
      <w:bookmarkStart w:id="22" w:name="_Toc24485"/>
      <w:r>
        <w:rPr>
          <w:rFonts w:ascii="Calibri" w:eastAsia="Calibri" w:hAnsi="Calibri" w:cs="Calibri"/>
          <w:b w:val="0"/>
          <w:sz w:val="22"/>
        </w:rPr>
        <w:tab/>
      </w:r>
      <w:r>
        <w:t>5.3.2.</w:t>
      </w:r>
      <w:r>
        <w:rPr>
          <w:rFonts w:ascii="Arial" w:eastAsia="Arial" w:hAnsi="Arial" w:cs="Arial"/>
        </w:rPr>
        <w:t xml:space="preserve"> </w:t>
      </w:r>
      <w:r>
        <w:rPr>
          <w:rFonts w:ascii="Arial" w:eastAsia="Arial" w:hAnsi="Arial" w:cs="Arial"/>
        </w:rPr>
        <w:tab/>
      </w:r>
      <w:r>
        <w:t xml:space="preserve">M Query </w:t>
      </w:r>
      <w:bookmarkEnd w:id="22"/>
    </w:p>
    <w:p w14:paraId="3DBE3630" w14:textId="77777777" w:rsidR="00CE3227" w:rsidRDefault="00000000">
      <w:pPr>
        <w:ind w:left="-5" w:right="113"/>
      </w:pPr>
      <w:r>
        <w:t xml:space="preserve">M query is used for data transformation. </w:t>
      </w:r>
    </w:p>
    <w:p w14:paraId="4531957F" w14:textId="77777777" w:rsidR="00CE3227" w:rsidRDefault="00000000">
      <w:pPr>
        <w:spacing w:after="258" w:line="259" w:lineRule="auto"/>
        <w:ind w:left="1560" w:right="0" w:firstLine="0"/>
        <w:jc w:val="left"/>
      </w:pPr>
      <w:r>
        <w:t xml:space="preserve"> </w:t>
      </w:r>
    </w:p>
    <w:p w14:paraId="1A40FC9C" w14:textId="77777777" w:rsidR="00CE3227" w:rsidRDefault="00000000">
      <w:pPr>
        <w:spacing w:after="257" w:line="259" w:lineRule="auto"/>
        <w:ind w:left="965" w:right="4897"/>
        <w:jc w:val="left"/>
      </w:pPr>
      <w:r>
        <w:rPr>
          <w:color w:val="1F497D"/>
        </w:rPr>
        <w:t xml:space="preserve">= Table.Combine </w:t>
      </w:r>
    </w:p>
    <w:p w14:paraId="4A27AD7C" w14:textId="77777777" w:rsidR="00CE3227" w:rsidRDefault="00000000">
      <w:pPr>
        <w:spacing w:after="257" w:line="259" w:lineRule="auto"/>
        <w:ind w:left="965" w:right="4897"/>
        <w:jc w:val="left"/>
      </w:pPr>
      <w:r>
        <w:rPr>
          <w:color w:val="1F497D"/>
        </w:rPr>
        <w:t xml:space="preserve">({#"Changed Type", </w:t>
      </w:r>
    </w:p>
    <w:p w14:paraId="6F374C74" w14:textId="77777777" w:rsidR="00CE3227" w:rsidRDefault="00000000">
      <w:pPr>
        <w:spacing w:after="257" w:line="259" w:lineRule="auto"/>
        <w:ind w:left="965" w:right="4897"/>
        <w:jc w:val="left"/>
      </w:pPr>
      <w:r>
        <w:rPr>
          <w:color w:val="1F497D"/>
        </w:rPr>
        <w:t xml:space="preserve"> Heating_Oil_data,  </w:t>
      </w:r>
    </w:p>
    <w:p w14:paraId="377CF940" w14:textId="77777777" w:rsidR="00CE3227" w:rsidRDefault="00000000">
      <w:pPr>
        <w:spacing w:after="257" w:line="259" w:lineRule="auto"/>
        <w:ind w:left="965" w:right="4897"/>
        <w:jc w:val="left"/>
      </w:pPr>
      <w:r>
        <w:rPr>
          <w:color w:val="1F497D"/>
        </w:rPr>
        <w:t xml:space="preserve"> Natural_Gas_data,  </w:t>
      </w:r>
    </w:p>
    <w:p w14:paraId="5072D082" w14:textId="77777777" w:rsidR="00CE3227" w:rsidRDefault="00000000">
      <w:pPr>
        <w:spacing w:after="257" w:line="259" w:lineRule="auto"/>
        <w:ind w:left="965" w:right="4897"/>
        <w:jc w:val="left"/>
      </w:pPr>
      <w:r>
        <w:rPr>
          <w:color w:val="1F497D"/>
        </w:rPr>
        <w:t xml:space="preserve"> RBOB_Gasoline_data,  </w:t>
      </w:r>
    </w:p>
    <w:p w14:paraId="5FB5F746" w14:textId="77777777" w:rsidR="00CE3227" w:rsidRDefault="00000000">
      <w:pPr>
        <w:spacing w:after="200" w:line="259" w:lineRule="auto"/>
        <w:ind w:left="965" w:right="4897"/>
        <w:jc w:val="left"/>
      </w:pPr>
      <w:r>
        <w:rPr>
          <w:color w:val="1F497D"/>
        </w:rPr>
        <w:t xml:space="preserve"> Brent_Crude_Oil_data}) </w:t>
      </w:r>
    </w:p>
    <w:p w14:paraId="62DC0F6B" w14:textId="77777777" w:rsidR="00CE3227" w:rsidRDefault="00000000">
      <w:pPr>
        <w:spacing w:after="251" w:line="259" w:lineRule="auto"/>
        <w:ind w:left="2410" w:right="0" w:firstLine="0"/>
        <w:jc w:val="left"/>
      </w:pPr>
      <w:r>
        <w:rPr>
          <w:color w:val="1F497D"/>
          <w:sz w:val="18"/>
        </w:rPr>
        <w:t xml:space="preserve"> </w:t>
      </w:r>
    </w:p>
    <w:p w14:paraId="2F4877A7" w14:textId="77777777" w:rsidR="00CE3227" w:rsidRDefault="00000000">
      <w:pPr>
        <w:spacing w:after="0" w:line="476" w:lineRule="auto"/>
        <w:ind w:left="-5" w:right="113"/>
      </w:pPr>
      <w:r>
        <w:t xml:space="preserve">The above query, Table Combine concatenates multiple tables into a single table. It takes several tables represented by crude oil data, natural gas data, heating oil data, rbob gasoline </w:t>
      </w:r>
      <w:r>
        <w:lastRenderedPageBreak/>
        <w:t xml:space="preserve">data, brent crude oil data, and combines them into one table, stacking the data from each table on top of one another. </w:t>
      </w:r>
    </w:p>
    <w:p w14:paraId="0A231E35" w14:textId="77777777" w:rsidR="00CE3227" w:rsidRDefault="00000000">
      <w:pPr>
        <w:spacing w:after="258" w:line="259" w:lineRule="auto"/>
        <w:ind w:left="1560" w:right="0" w:firstLine="0"/>
        <w:jc w:val="left"/>
      </w:pPr>
      <w:r>
        <w:t xml:space="preserve"> </w:t>
      </w:r>
    </w:p>
    <w:p w14:paraId="004A973F" w14:textId="77777777" w:rsidR="00CE3227" w:rsidRDefault="00000000">
      <w:pPr>
        <w:spacing w:after="257" w:line="259" w:lineRule="auto"/>
        <w:ind w:left="965" w:right="4897"/>
        <w:jc w:val="left"/>
      </w:pPr>
      <w:r>
        <w:rPr>
          <w:color w:val="1F497D"/>
        </w:rPr>
        <w:t xml:space="preserve">= Table.NestedJoin </w:t>
      </w:r>
    </w:p>
    <w:p w14:paraId="48990402" w14:textId="77777777" w:rsidR="00CE3227" w:rsidRDefault="00000000">
      <w:pPr>
        <w:spacing w:after="0" w:line="477" w:lineRule="auto"/>
        <w:ind w:left="965" w:right="4897"/>
        <w:jc w:val="left"/>
      </w:pPr>
      <w:r>
        <w:rPr>
          <w:color w:val="1F497D"/>
        </w:rPr>
        <w:t>(#"Appended Query", {"date"</w:t>
      </w:r>
      <w:proofErr w:type="gramStart"/>
      <w:r>
        <w:rPr>
          <w:color w:val="1F497D"/>
        </w:rPr>
        <w:t>},  fuel</w:t>
      </w:r>
      <w:proofErr w:type="gramEnd"/>
      <w:r>
        <w:rPr>
          <w:color w:val="1F497D"/>
        </w:rPr>
        <w:t xml:space="preserve">_type, {"date"},  "all_fuels_data" </w:t>
      </w:r>
    </w:p>
    <w:p w14:paraId="313B9C71" w14:textId="77777777" w:rsidR="00CE3227" w:rsidRDefault="00000000">
      <w:pPr>
        <w:spacing w:after="200" w:line="259" w:lineRule="auto"/>
        <w:ind w:left="965" w:right="4897"/>
        <w:jc w:val="left"/>
      </w:pPr>
      <w:r>
        <w:rPr>
          <w:color w:val="1F497D"/>
        </w:rPr>
        <w:t xml:space="preserve">, JoinKind.LeftOuter) </w:t>
      </w:r>
    </w:p>
    <w:p w14:paraId="56ED6980" w14:textId="77777777" w:rsidR="00CE3227" w:rsidRDefault="00000000">
      <w:pPr>
        <w:spacing w:after="250" w:line="259" w:lineRule="auto"/>
        <w:ind w:left="2410" w:right="0" w:firstLine="0"/>
        <w:jc w:val="left"/>
      </w:pPr>
      <w:r>
        <w:rPr>
          <w:color w:val="1F497D"/>
          <w:sz w:val="18"/>
        </w:rPr>
        <w:t xml:space="preserve"> </w:t>
      </w:r>
    </w:p>
    <w:p w14:paraId="6CF53428" w14:textId="77777777" w:rsidR="00CE3227" w:rsidRDefault="00000000">
      <w:pPr>
        <w:spacing w:after="0" w:line="477" w:lineRule="auto"/>
        <w:ind w:left="-5" w:right="113"/>
      </w:pPr>
      <w:r>
        <w:t xml:space="preserve">The above query, Table Nested Join merges column from one table into another table. It takes two tables represented by an all_fuel_data table from which the fuel_type column is merged in the appended table, stacking the data from each table on top of one another. </w:t>
      </w:r>
    </w:p>
    <w:p w14:paraId="15DEC883" w14:textId="77777777" w:rsidR="00CE3227" w:rsidRDefault="00000000">
      <w:pPr>
        <w:spacing w:after="281" w:line="259" w:lineRule="auto"/>
        <w:ind w:left="0" w:right="0" w:firstLine="0"/>
        <w:jc w:val="left"/>
      </w:pPr>
      <w:r>
        <w:rPr>
          <w:sz w:val="22"/>
        </w:rPr>
        <w:t xml:space="preserve"> </w:t>
      </w:r>
    </w:p>
    <w:p w14:paraId="1EBF054F" w14:textId="77777777" w:rsidR="00CE3227" w:rsidRDefault="00000000">
      <w:pPr>
        <w:pStyle w:val="Heading3"/>
        <w:tabs>
          <w:tab w:val="center" w:pos="881"/>
          <w:tab w:val="center" w:pos="2448"/>
        </w:tabs>
        <w:spacing w:after="456"/>
        <w:ind w:left="0" w:firstLine="0"/>
      </w:pPr>
      <w:bookmarkStart w:id="23" w:name="_Toc24486"/>
      <w:r>
        <w:rPr>
          <w:rFonts w:ascii="Calibri" w:eastAsia="Calibri" w:hAnsi="Calibri" w:cs="Calibri"/>
          <w:b w:val="0"/>
          <w:sz w:val="22"/>
        </w:rPr>
        <w:tab/>
      </w:r>
      <w:r>
        <w:t>5.4.</w:t>
      </w:r>
      <w:r>
        <w:rPr>
          <w:rFonts w:ascii="Arial" w:eastAsia="Arial" w:hAnsi="Arial" w:cs="Arial"/>
        </w:rPr>
        <w:t xml:space="preserve"> </w:t>
      </w:r>
      <w:r>
        <w:rPr>
          <w:rFonts w:ascii="Arial" w:eastAsia="Arial" w:hAnsi="Arial" w:cs="Arial"/>
        </w:rPr>
        <w:tab/>
      </w:r>
      <w:r>
        <w:t xml:space="preserve">Dashboard Design </w:t>
      </w:r>
      <w:bookmarkEnd w:id="23"/>
    </w:p>
    <w:p w14:paraId="213B78A0" w14:textId="77777777" w:rsidR="00CE3227" w:rsidRDefault="00000000">
      <w:pPr>
        <w:spacing w:after="193"/>
        <w:ind w:left="-5" w:right="113"/>
      </w:pPr>
      <w:r>
        <w:t>Overview of final dashboard</w:t>
      </w:r>
      <w:r>
        <w:rPr>
          <w:sz w:val="22"/>
        </w:rPr>
        <w:t xml:space="preserve"> </w:t>
      </w:r>
    </w:p>
    <w:p w14:paraId="018F4C33" w14:textId="77777777" w:rsidR="00CE3227" w:rsidRDefault="00000000">
      <w:pPr>
        <w:spacing w:after="199" w:line="259" w:lineRule="auto"/>
        <w:ind w:left="0" w:right="71" w:firstLine="0"/>
        <w:jc w:val="right"/>
      </w:pPr>
      <w:r>
        <w:rPr>
          <w:noProof/>
        </w:rPr>
        <w:lastRenderedPageBreak/>
        <w:drawing>
          <wp:inline distT="0" distB="0" distL="0" distR="0" wp14:anchorId="4A21A32C" wp14:editId="077D9B57">
            <wp:extent cx="5943600" cy="3228975"/>
            <wp:effectExtent l="0" t="0" r="0" b="0"/>
            <wp:docPr id="2696" name="Picture 2696"/>
            <wp:cNvGraphicFramePr/>
            <a:graphic xmlns:a="http://schemas.openxmlformats.org/drawingml/2006/main">
              <a:graphicData uri="http://schemas.openxmlformats.org/drawingml/2006/picture">
                <pic:pic xmlns:pic="http://schemas.openxmlformats.org/drawingml/2006/picture">
                  <pic:nvPicPr>
                    <pic:cNvPr id="2696" name="Picture 2696"/>
                    <pic:cNvPicPr/>
                  </pic:nvPicPr>
                  <pic:blipFill>
                    <a:blip r:embed="rId38"/>
                    <a:stretch>
                      <a:fillRect/>
                    </a:stretch>
                  </pic:blipFill>
                  <pic:spPr>
                    <a:xfrm>
                      <a:off x="0" y="0"/>
                      <a:ext cx="5943600" cy="3228975"/>
                    </a:xfrm>
                    <a:prstGeom prst="rect">
                      <a:avLst/>
                    </a:prstGeom>
                  </pic:spPr>
                </pic:pic>
              </a:graphicData>
            </a:graphic>
          </wp:inline>
        </w:drawing>
      </w:r>
      <w:r>
        <w:rPr>
          <w:sz w:val="22"/>
        </w:rPr>
        <w:t xml:space="preserve"> </w:t>
      </w:r>
    </w:p>
    <w:p w14:paraId="716AEB3C" w14:textId="77777777" w:rsidR="00CE3227" w:rsidRDefault="00000000">
      <w:pPr>
        <w:spacing w:after="236"/>
        <w:ind w:left="1162" w:right="560"/>
        <w:jc w:val="center"/>
      </w:pPr>
      <w:r>
        <w:rPr>
          <w:b/>
          <w:i/>
          <w:sz w:val="20"/>
        </w:rPr>
        <w:t xml:space="preserve">Figure 5.4.: </w:t>
      </w:r>
      <w:r>
        <w:rPr>
          <w:i/>
          <w:sz w:val="20"/>
        </w:rPr>
        <w:t>Home Page of Interactive Dashboard</w:t>
      </w:r>
      <w:r>
        <w:t xml:space="preserve"> </w:t>
      </w:r>
    </w:p>
    <w:p w14:paraId="2DCF4B2B" w14:textId="77777777" w:rsidR="00CE3227" w:rsidRDefault="00000000">
      <w:pPr>
        <w:spacing w:after="370" w:line="259" w:lineRule="auto"/>
        <w:ind w:left="0" w:right="76" w:firstLine="0"/>
        <w:jc w:val="right"/>
      </w:pPr>
      <w:r>
        <w:rPr>
          <w:noProof/>
        </w:rPr>
        <w:drawing>
          <wp:inline distT="0" distB="0" distL="0" distR="0" wp14:anchorId="78BD0F9A" wp14:editId="080C6D3A">
            <wp:extent cx="5943600" cy="3305175"/>
            <wp:effectExtent l="0" t="0" r="0" b="0"/>
            <wp:docPr id="2716" name="Picture 2716"/>
            <wp:cNvGraphicFramePr/>
            <a:graphic xmlns:a="http://schemas.openxmlformats.org/drawingml/2006/main">
              <a:graphicData uri="http://schemas.openxmlformats.org/drawingml/2006/picture">
                <pic:pic xmlns:pic="http://schemas.openxmlformats.org/drawingml/2006/picture">
                  <pic:nvPicPr>
                    <pic:cNvPr id="2716" name="Picture 2716"/>
                    <pic:cNvPicPr/>
                  </pic:nvPicPr>
                  <pic:blipFill>
                    <a:blip r:embed="rId39"/>
                    <a:stretch>
                      <a:fillRect/>
                    </a:stretch>
                  </pic:blipFill>
                  <pic:spPr>
                    <a:xfrm>
                      <a:off x="0" y="0"/>
                      <a:ext cx="5943600" cy="3305175"/>
                    </a:xfrm>
                    <a:prstGeom prst="rect">
                      <a:avLst/>
                    </a:prstGeom>
                  </pic:spPr>
                </pic:pic>
              </a:graphicData>
            </a:graphic>
          </wp:inline>
        </w:drawing>
      </w:r>
      <w:r>
        <w:rPr>
          <w:b/>
          <w:i/>
          <w:sz w:val="20"/>
        </w:rPr>
        <w:t xml:space="preserve"> </w:t>
      </w:r>
    </w:p>
    <w:p w14:paraId="04838512" w14:textId="77777777" w:rsidR="00CE3227" w:rsidRDefault="00000000">
      <w:pPr>
        <w:spacing w:after="406"/>
        <w:ind w:left="3589" w:right="0"/>
        <w:jc w:val="left"/>
      </w:pPr>
      <w:r>
        <w:rPr>
          <w:b/>
          <w:i/>
          <w:sz w:val="20"/>
        </w:rPr>
        <w:t xml:space="preserve">Figure 5.5.: </w:t>
      </w:r>
      <w:r>
        <w:rPr>
          <w:i/>
          <w:sz w:val="20"/>
        </w:rPr>
        <w:t>Annual Market Insight</w:t>
      </w:r>
      <w:r>
        <w:rPr>
          <w:b/>
          <w:i/>
          <w:sz w:val="20"/>
        </w:rPr>
        <w:t xml:space="preserve"> </w:t>
      </w:r>
    </w:p>
    <w:p w14:paraId="4494ABDA" w14:textId="77777777" w:rsidR="00CE3227" w:rsidRDefault="00000000">
      <w:pPr>
        <w:spacing w:after="364" w:line="259" w:lineRule="auto"/>
        <w:ind w:left="0" w:right="67" w:firstLine="0"/>
        <w:jc w:val="right"/>
      </w:pPr>
      <w:r>
        <w:rPr>
          <w:noProof/>
        </w:rPr>
        <w:lastRenderedPageBreak/>
        <w:drawing>
          <wp:inline distT="0" distB="0" distL="0" distR="0" wp14:anchorId="5FC6FB4C" wp14:editId="6FA37969">
            <wp:extent cx="5943600" cy="3270885"/>
            <wp:effectExtent l="0" t="0" r="0" b="0"/>
            <wp:docPr id="2718" name="Picture 2718"/>
            <wp:cNvGraphicFramePr/>
            <a:graphic xmlns:a="http://schemas.openxmlformats.org/drawingml/2006/main">
              <a:graphicData uri="http://schemas.openxmlformats.org/drawingml/2006/picture">
                <pic:pic xmlns:pic="http://schemas.openxmlformats.org/drawingml/2006/picture">
                  <pic:nvPicPr>
                    <pic:cNvPr id="2718" name="Picture 2718"/>
                    <pic:cNvPicPr/>
                  </pic:nvPicPr>
                  <pic:blipFill>
                    <a:blip r:embed="rId40"/>
                    <a:stretch>
                      <a:fillRect/>
                    </a:stretch>
                  </pic:blipFill>
                  <pic:spPr>
                    <a:xfrm>
                      <a:off x="0" y="0"/>
                      <a:ext cx="5943600" cy="3270885"/>
                    </a:xfrm>
                    <a:prstGeom prst="rect">
                      <a:avLst/>
                    </a:prstGeom>
                  </pic:spPr>
                </pic:pic>
              </a:graphicData>
            </a:graphic>
          </wp:inline>
        </w:drawing>
      </w:r>
      <w:r>
        <w:rPr>
          <w:b/>
          <w:i/>
        </w:rPr>
        <w:t xml:space="preserve"> </w:t>
      </w:r>
    </w:p>
    <w:p w14:paraId="16919966" w14:textId="77777777" w:rsidR="00CE3227" w:rsidRDefault="00000000">
      <w:pPr>
        <w:spacing w:after="406"/>
        <w:ind w:left="3368" w:right="0"/>
        <w:jc w:val="left"/>
      </w:pPr>
      <w:r>
        <w:rPr>
          <w:b/>
          <w:i/>
          <w:sz w:val="20"/>
        </w:rPr>
        <w:t xml:space="preserve">Figure 5.6.: </w:t>
      </w:r>
      <w:r>
        <w:rPr>
          <w:i/>
          <w:sz w:val="20"/>
        </w:rPr>
        <w:t>Market Fluctuation Insights</w:t>
      </w:r>
      <w:r>
        <w:rPr>
          <w:b/>
          <w:i/>
          <w:sz w:val="20"/>
        </w:rPr>
        <w:t xml:space="preserve"> </w:t>
      </w:r>
    </w:p>
    <w:p w14:paraId="6AB6914E" w14:textId="77777777" w:rsidR="00CE3227" w:rsidRDefault="00000000">
      <w:pPr>
        <w:spacing w:after="416" w:line="259" w:lineRule="auto"/>
        <w:ind w:left="0" w:right="71" w:firstLine="0"/>
        <w:jc w:val="right"/>
      </w:pPr>
      <w:r>
        <w:rPr>
          <w:noProof/>
        </w:rPr>
        <w:drawing>
          <wp:inline distT="0" distB="0" distL="0" distR="0" wp14:anchorId="6D759313" wp14:editId="52982953">
            <wp:extent cx="5857875" cy="3143250"/>
            <wp:effectExtent l="0" t="0" r="0" b="0"/>
            <wp:docPr id="2741" name="Picture 2741"/>
            <wp:cNvGraphicFramePr/>
            <a:graphic xmlns:a="http://schemas.openxmlformats.org/drawingml/2006/main">
              <a:graphicData uri="http://schemas.openxmlformats.org/drawingml/2006/picture">
                <pic:pic xmlns:pic="http://schemas.openxmlformats.org/drawingml/2006/picture">
                  <pic:nvPicPr>
                    <pic:cNvPr id="2741" name="Picture 2741"/>
                    <pic:cNvPicPr/>
                  </pic:nvPicPr>
                  <pic:blipFill>
                    <a:blip r:embed="rId41"/>
                    <a:stretch>
                      <a:fillRect/>
                    </a:stretch>
                  </pic:blipFill>
                  <pic:spPr>
                    <a:xfrm>
                      <a:off x="0" y="0"/>
                      <a:ext cx="5857875" cy="3143250"/>
                    </a:xfrm>
                    <a:prstGeom prst="rect">
                      <a:avLst/>
                    </a:prstGeom>
                  </pic:spPr>
                </pic:pic>
              </a:graphicData>
            </a:graphic>
          </wp:inline>
        </w:drawing>
      </w:r>
      <w:r>
        <w:rPr>
          <w:b/>
          <w:i/>
          <w:sz w:val="20"/>
        </w:rPr>
        <w:t xml:space="preserve"> </w:t>
      </w:r>
    </w:p>
    <w:p w14:paraId="78F14077" w14:textId="77777777" w:rsidR="00CE3227" w:rsidRDefault="00000000">
      <w:pPr>
        <w:spacing w:after="406"/>
        <w:ind w:left="3140" w:right="0"/>
        <w:jc w:val="left"/>
      </w:pPr>
      <w:r>
        <w:rPr>
          <w:b/>
          <w:i/>
          <w:sz w:val="20"/>
        </w:rPr>
        <w:t xml:space="preserve">Figure 5.7.: </w:t>
      </w:r>
      <w:r>
        <w:rPr>
          <w:i/>
          <w:sz w:val="20"/>
        </w:rPr>
        <w:t>Dynamic Market Analytics</w:t>
      </w:r>
      <w:r>
        <w:rPr>
          <w:b/>
          <w:i/>
          <w:sz w:val="20"/>
        </w:rPr>
        <w:t xml:space="preserve"> </w:t>
      </w:r>
    </w:p>
    <w:p w14:paraId="5A42FAFB" w14:textId="77777777" w:rsidR="00CE3227" w:rsidRDefault="00000000">
      <w:pPr>
        <w:spacing w:after="364" w:line="259" w:lineRule="auto"/>
        <w:ind w:left="0" w:right="67" w:firstLine="0"/>
        <w:jc w:val="right"/>
      </w:pPr>
      <w:r>
        <w:rPr>
          <w:noProof/>
        </w:rPr>
        <w:lastRenderedPageBreak/>
        <w:drawing>
          <wp:inline distT="0" distB="0" distL="0" distR="0" wp14:anchorId="327644DF" wp14:editId="7E3CF22E">
            <wp:extent cx="5943600" cy="3302635"/>
            <wp:effectExtent l="0" t="0" r="0" b="0"/>
            <wp:docPr id="2743" name="Picture 2743"/>
            <wp:cNvGraphicFramePr/>
            <a:graphic xmlns:a="http://schemas.openxmlformats.org/drawingml/2006/main">
              <a:graphicData uri="http://schemas.openxmlformats.org/drawingml/2006/picture">
                <pic:pic xmlns:pic="http://schemas.openxmlformats.org/drawingml/2006/picture">
                  <pic:nvPicPr>
                    <pic:cNvPr id="2743" name="Picture 2743"/>
                    <pic:cNvPicPr/>
                  </pic:nvPicPr>
                  <pic:blipFill>
                    <a:blip r:embed="rId42"/>
                    <a:stretch>
                      <a:fillRect/>
                    </a:stretch>
                  </pic:blipFill>
                  <pic:spPr>
                    <a:xfrm>
                      <a:off x="0" y="0"/>
                      <a:ext cx="5943600" cy="3302635"/>
                    </a:xfrm>
                    <a:prstGeom prst="rect">
                      <a:avLst/>
                    </a:prstGeom>
                  </pic:spPr>
                </pic:pic>
              </a:graphicData>
            </a:graphic>
          </wp:inline>
        </w:drawing>
      </w:r>
      <w:r>
        <w:rPr>
          <w:b/>
        </w:rPr>
        <w:t xml:space="preserve"> </w:t>
      </w:r>
    </w:p>
    <w:p w14:paraId="56A362CC" w14:textId="77777777" w:rsidR="00CE3227" w:rsidRDefault="00000000">
      <w:pPr>
        <w:spacing w:after="406"/>
        <w:ind w:left="3414" w:right="0"/>
        <w:jc w:val="left"/>
      </w:pPr>
      <w:r>
        <w:rPr>
          <w:b/>
          <w:i/>
          <w:sz w:val="20"/>
        </w:rPr>
        <w:t xml:space="preserve">Figure 5.8: </w:t>
      </w:r>
      <w:r>
        <w:rPr>
          <w:i/>
          <w:sz w:val="20"/>
        </w:rPr>
        <w:t>Fuel Type Market Overview</w:t>
      </w:r>
      <w:r>
        <w:rPr>
          <w:b/>
          <w:i/>
          <w:sz w:val="20"/>
        </w:rPr>
        <w:t xml:space="preserve">  </w:t>
      </w:r>
    </w:p>
    <w:p w14:paraId="5512105D" w14:textId="77777777" w:rsidR="00CE3227" w:rsidRDefault="00000000">
      <w:pPr>
        <w:spacing w:after="0" w:line="259" w:lineRule="auto"/>
        <w:ind w:left="3884" w:right="0" w:firstLine="0"/>
        <w:jc w:val="center"/>
      </w:pPr>
      <w:r>
        <w:rPr>
          <w:rFonts w:ascii="Arial" w:eastAsia="Arial" w:hAnsi="Arial" w:cs="Arial"/>
          <w:sz w:val="22"/>
        </w:rPr>
        <w:t xml:space="preserve"> </w:t>
      </w:r>
      <w:r>
        <w:rPr>
          <w:rFonts w:ascii="Arial" w:eastAsia="Arial" w:hAnsi="Arial" w:cs="Arial"/>
          <w:sz w:val="22"/>
        </w:rPr>
        <w:tab/>
      </w:r>
      <w:r>
        <w:rPr>
          <w:b/>
          <w:i/>
          <w:sz w:val="20"/>
        </w:rPr>
        <w:t xml:space="preserve"> </w:t>
      </w:r>
    </w:p>
    <w:p w14:paraId="310A9AF9" w14:textId="77777777" w:rsidR="00CE3227" w:rsidRDefault="00000000">
      <w:pPr>
        <w:pStyle w:val="Heading1"/>
        <w:spacing w:after="254" w:line="259" w:lineRule="auto"/>
        <w:ind w:left="-5"/>
      </w:pPr>
      <w:bookmarkStart w:id="24" w:name="_Toc24487"/>
      <w:r>
        <w:rPr>
          <w:sz w:val="36"/>
        </w:rPr>
        <w:t xml:space="preserve">Self-Assessment Table </w:t>
      </w:r>
      <w:bookmarkEnd w:id="24"/>
    </w:p>
    <w:p w14:paraId="7EE81E77" w14:textId="77777777" w:rsidR="00CE3227" w:rsidRDefault="00000000">
      <w:pPr>
        <w:spacing w:after="0" w:line="259" w:lineRule="auto"/>
        <w:ind w:left="0" w:right="0" w:firstLine="0"/>
        <w:jc w:val="left"/>
      </w:pPr>
      <w:r>
        <w:rPr>
          <w:sz w:val="22"/>
        </w:rPr>
        <w:t xml:space="preserve"> </w:t>
      </w:r>
    </w:p>
    <w:tbl>
      <w:tblPr>
        <w:tblStyle w:val="TableGrid"/>
        <w:tblW w:w="9016" w:type="dxa"/>
        <w:tblInd w:w="6" w:type="dxa"/>
        <w:tblCellMar>
          <w:top w:w="287" w:type="dxa"/>
          <w:left w:w="6" w:type="dxa"/>
          <w:bottom w:w="0" w:type="dxa"/>
          <w:right w:w="6" w:type="dxa"/>
        </w:tblCellMar>
        <w:tblLook w:val="04A0" w:firstRow="1" w:lastRow="0" w:firstColumn="1" w:lastColumn="0" w:noHBand="0" w:noVBand="1"/>
      </w:tblPr>
      <w:tblGrid>
        <w:gridCol w:w="2969"/>
        <w:gridCol w:w="3046"/>
        <w:gridCol w:w="3001"/>
      </w:tblGrid>
      <w:tr w:rsidR="00CE3227" w14:paraId="0D959B99" w14:textId="77777777">
        <w:trPr>
          <w:trHeight w:val="1378"/>
        </w:trPr>
        <w:tc>
          <w:tcPr>
            <w:tcW w:w="2969" w:type="dxa"/>
            <w:tcBorders>
              <w:top w:val="single" w:sz="5" w:space="0" w:color="000000"/>
              <w:left w:val="single" w:sz="5" w:space="0" w:color="000000"/>
              <w:bottom w:val="single" w:sz="5" w:space="0" w:color="000000"/>
              <w:right w:val="single" w:sz="5" w:space="0" w:color="000000"/>
            </w:tcBorders>
          </w:tcPr>
          <w:p w14:paraId="29E5BD88" w14:textId="77777777" w:rsidR="00CE3227" w:rsidRDefault="00000000">
            <w:pPr>
              <w:spacing w:after="0" w:line="259" w:lineRule="auto"/>
              <w:ind w:left="0" w:right="0" w:firstLine="0"/>
              <w:jc w:val="left"/>
            </w:pPr>
            <w:r>
              <w:rPr>
                <w:b/>
              </w:rPr>
              <w:t xml:space="preserve">Report Section </w:t>
            </w:r>
          </w:p>
        </w:tc>
        <w:tc>
          <w:tcPr>
            <w:tcW w:w="3046" w:type="dxa"/>
            <w:tcBorders>
              <w:top w:val="single" w:sz="5" w:space="0" w:color="000000"/>
              <w:left w:val="single" w:sz="5" w:space="0" w:color="000000"/>
              <w:bottom w:val="single" w:sz="5" w:space="0" w:color="000000"/>
              <w:right w:val="single" w:sz="5" w:space="0" w:color="000000"/>
            </w:tcBorders>
          </w:tcPr>
          <w:p w14:paraId="6DA4DF73" w14:textId="77777777" w:rsidR="00CE3227" w:rsidRDefault="00000000">
            <w:pPr>
              <w:spacing w:after="0" w:line="259" w:lineRule="auto"/>
              <w:ind w:left="2" w:right="0" w:firstLine="0"/>
              <w:jc w:val="left"/>
            </w:pPr>
            <w:r>
              <w:rPr>
                <w:b/>
              </w:rPr>
              <w:t xml:space="preserve">Description </w:t>
            </w:r>
          </w:p>
        </w:tc>
        <w:tc>
          <w:tcPr>
            <w:tcW w:w="3001" w:type="dxa"/>
            <w:tcBorders>
              <w:top w:val="single" w:sz="5" w:space="0" w:color="000000"/>
              <w:left w:val="single" w:sz="5" w:space="0" w:color="000000"/>
              <w:bottom w:val="single" w:sz="5" w:space="0" w:color="000000"/>
              <w:right w:val="single" w:sz="5" w:space="0" w:color="000000"/>
            </w:tcBorders>
            <w:vAlign w:val="center"/>
          </w:tcPr>
          <w:p w14:paraId="691D1ED5" w14:textId="77777777" w:rsidR="00CE3227" w:rsidRDefault="00000000">
            <w:pPr>
              <w:spacing w:after="256" w:line="259" w:lineRule="auto"/>
              <w:ind w:left="0" w:right="0" w:firstLine="0"/>
            </w:pPr>
            <w:r>
              <w:rPr>
                <w:b/>
              </w:rPr>
              <w:t xml:space="preserve">Grade your work from 0 to </w:t>
            </w:r>
          </w:p>
          <w:p w14:paraId="1D34CC7D" w14:textId="77777777" w:rsidR="00CE3227" w:rsidRDefault="00000000">
            <w:pPr>
              <w:spacing w:after="0" w:line="259" w:lineRule="auto"/>
              <w:ind w:left="0" w:right="0" w:firstLine="0"/>
              <w:jc w:val="left"/>
            </w:pPr>
            <w:r>
              <w:rPr>
                <w:b/>
              </w:rPr>
              <w:t xml:space="preserve">100 </w:t>
            </w:r>
          </w:p>
        </w:tc>
      </w:tr>
      <w:tr w:rsidR="00CE3227" w14:paraId="3E47A24F" w14:textId="77777777">
        <w:trPr>
          <w:trHeight w:val="4191"/>
        </w:trPr>
        <w:tc>
          <w:tcPr>
            <w:tcW w:w="2969" w:type="dxa"/>
            <w:tcBorders>
              <w:top w:val="single" w:sz="5" w:space="0" w:color="000000"/>
              <w:left w:val="single" w:sz="5" w:space="0" w:color="000000"/>
              <w:bottom w:val="single" w:sz="5" w:space="0" w:color="000000"/>
              <w:right w:val="single" w:sz="5" w:space="0" w:color="000000"/>
            </w:tcBorders>
          </w:tcPr>
          <w:p w14:paraId="3F7EFB4C" w14:textId="77777777" w:rsidR="00CE3227" w:rsidRDefault="00000000">
            <w:pPr>
              <w:spacing w:after="0" w:line="259" w:lineRule="auto"/>
              <w:ind w:left="0" w:right="0" w:firstLine="0"/>
              <w:jc w:val="left"/>
            </w:pPr>
            <w:r>
              <w:lastRenderedPageBreak/>
              <w:t xml:space="preserve">Report Structure </w:t>
            </w:r>
          </w:p>
        </w:tc>
        <w:tc>
          <w:tcPr>
            <w:tcW w:w="3046" w:type="dxa"/>
            <w:tcBorders>
              <w:top w:val="single" w:sz="5" w:space="0" w:color="000000"/>
              <w:left w:val="single" w:sz="5" w:space="0" w:color="000000"/>
              <w:bottom w:val="single" w:sz="5" w:space="0" w:color="000000"/>
              <w:right w:val="single" w:sz="5" w:space="0" w:color="000000"/>
            </w:tcBorders>
            <w:vAlign w:val="center"/>
          </w:tcPr>
          <w:p w14:paraId="057B6DBA" w14:textId="77777777" w:rsidR="00CE3227" w:rsidRDefault="00000000">
            <w:pPr>
              <w:spacing w:after="0" w:line="259" w:lineRule="auto"/>
              <w:ind w:left="2" w:right="0" w:firstLine="0"/>
              <w:jc w:val="left"/>
            </w:pPr>
            <w:r>
              <w:t xml:space="preserve">The report is well-organised and follows an appropriate structure. It includes all necessary sections, each appropriately labelled with relevant headlines and subheadlines. </w:t>
            </w:r>
          </w:p>
        </w:tc>
        <w:tc>
          <w:tcPr>
            <w:tcW w:w="3001" w:type="dxa"/>
            <w:tcBorders>
              <w:top w:val="single" w:sz="5" w:space="0" w:color="000000"/>
              <w:left w:val="single" w:sz="5" w:space="0" w:color="000000"/>
              <w:bottom w:val="single" w:sz="5" w:space="0" w:color="000000"/>
              <w:right w:val="single" w:sz="5" w:space="0" w:color="000000"/>
            </w:tcBorders>
          </w:tcPr>
          <w:p w14:paraId="6B2D2740" w14:textId="77777777" w:rsidR="00CE3227" w:rsidRDefault="00000000">
            <w:pPr>
              <w:spacing w:after="0" w:line="259" w:lineRule="auto"/>
              <w:ind w:left="0" w:right="0" w:firstLine="0"/>
              <w:jc w:val="left"/>
            </w:pPr>
            <w:r>
              <w:t xml:space="preserve">92 </w:t>
            </w:r>
          </w:p>
        </w:tc>
      </w:tr>
      <w:tr w:rsidR="00CE3227" w14:paraId="1153BA46" w14:textId="77777777">
        <w:trPr>
          <w:trHeight w:val="4191"/>
        </w:trPr>
        <w:tc>
          <w:tcPr>
            <w:tcW w:w="2969" w:type="dxa"/>
            <w:tcBorders>
              <w:top w:val="single" w:sz="5" w:space="0" w:color="000000"/>
              <w:left w:val="single" w:sz="5" w:space="0" w:color="000000"/>
              <w:bottom w:val="single" w:sz="5" w:space="0" w:color="000000"/>
              <w:right w:val="single" w:sz="5" w:space="0" w:color="000000"/>
            </w:tcBorders>
          </w:tcPr>
          <w:p w14:paraId="5D2A8571" w14:textId="77777777" w:rsidR="00CE3227" w:rsidRDefault="00000000">
            <w:pPr>
              <w:spacing w:after="256" w:line="259" w:lineRule="auto"/>
              <w:ind w:left="0" w:right="0" w:firstLine="0"/>
              <w:jc w:val="left"/>
            </w:pPr>
            <w:r>
              <w:t xml:space="preserve">Data Pre-processing and </w:t>
            </w:r>
          </w:p>
          <w:p w14:paraId="434E2A99" w14:textId="77777777" w:rsidR="00CE3227" w:rsidRDefault="00000000">
            <w:pPr>
              <w:spacing w:after="0" w:line="259" w:lineRule="auto"/>
              <w:ind w:left="0" w:right="0" w:firstLine="0"/>
              <w:jc w:val="left"/>
            </w:pPr>
            <w:r>
              <w:t xml:space="preserve">Data Modelling </w:t>
            </w:r>
          </w:p>
        </w:tc>
        <w:tc>
          <w:tcPr>
            <w:tcW w:w="3046" w:type="dxa"/>
            <w:tcBorders>
              <w:top w:val="single" w:sz="5" w:space="0" w:color="000000"/>
              <w:left w:val="single" w:sz="5" w:space="0" w:color="000000"/>
              <w:bottom w:val="single" w:sz="5" w:space="0" w:color="000000"/>
              <w:right w:val="single" w:sz="5" w:space="0" w:color="000000"/>
            </w:tcBorders>
            <w:vAlign w:val="center"/>
          </w:tcPr>
          <w:p w14:paraId="28C514A9" w14:textId="77777777" w:rsidR="00CE3227" w:rsidRDefault="00000000">
            <w:pPr>
              <w:spacing w:after="0" w:line="259" w:lineRule="auto"/>
              <w:ind w:left="2" w:right="0" w:firstLine="0"/>
              <w:jc w:val="left"/>
            </w:pPr>
            <w:r>
              <w:t xml:space="preserve">Data preprocessing is undertaken to cleanse the data and eliminate any noise. The star schema is crafted, incorporating sub-tables derived from the primary dataset. </w:t>
            </w:r>
          </w:p>
        </w:tc>
        <w:tc>
          <w:tcPr>
            <w:tcW w:w="3001" w:type="dxa"/>
            <w:tcBorders>
              <w:top w:val="single" w:sz="5" w:space="0" w:color="000000"/>
              <w:left w:val="single" w:sz="5" w:space="0" w:color="000000"/>
              <w:bottom w:val="single" w:sz="5" w:space="0" w:color="000000"/>
              <w:right w:val="single" w:sz="5" w:space="0" w:color="000000"/>
            </w:tcBorders>
          </w:tcPr>
          <w:p w14:paraId="2BB67282" w14:textId="77777777" w:rsidR="00CE3227" w:rsidRDefault="00000000">
            <w:pPr>
              <w:spacing w:after="0" w:line="259" w:lineRule="auto"/>
              <w:ind w:left="0" w:right="0" w:firstLine="0"/>
              <w:jc w:val="left"/>
            </w:pPr>
            <w:r>
              <w:t xml:space="preserve">90 </w:t>
            </w:r>
          </w:p>
        </w:tc>
      </w:tr>
      <w:tr w:rsidR="00CE3227" w14:paraId="51FD4AF6" w14:textId="77777777">
        <w:trPr>
          <w:trHeight w:val="1467"/>
        </w:trPr>
        <w:tc>
          <w:tcPr>
            <w:tcW w:w="2969" w:type="dxa"/>
            <w:tcBorders>
              <w:top w:val="single" w:sz="5" w:space="0" w:color="000000"/>
              <w:left w:val="single" w:sz="5" w:space="0" w:color="000000"/>
              <w:bottom w:val="single" w:sz="5" w:space="0" w:color="000000"/>
              <w:right w:val="single" w:sz="5" w:space="0" w:color="000000"/>
            </w:tcBorders>
          </w:tcPr>
          <w:p w14:paraId="541DC920" w14:textId="77777777" w:rsidR="00CE3227" w:rsidRDefault="00000000">
            <w:pPr>
              <w:spacing w:after="0" w:line="259" w:lineRule="auto"/>
              <w:ind w:left="0" w:right="0" w:firstLine="0"/>
              <w:jc w:val="left"/>
            </w:pPr>
            <w:r>
              <w:t xml:space="preserve">Dax and M language </w:t>
            </w:r>
          </w:p>
        </w:tc>
        <w:tc>
          <w:tcPr>
            <w:tcW w:w="3046" w:type="dxa"/>
            <w:tcBorders>
              <w:top w:val="single" w:sz="5" w:space="0" w:color="000000"/>
              <w:left w:val="single" w:sz="5" w:space="0" w:color="000000"/>
              <w:bottom w:val="single" w:sz="5" w:space="0" w:color="000000"/>
              <w:right w:val="single" w:sz="5" w:space="0" w:color="000000"/>
            </w:tcBorders>
            <w:vAlign w:val="center"/>
          </w:tcPr>
          <w:p w14:paraId="15B9A539" w14:textId="77777777" w:rsidR="00CE3227" w:rsidRDefault="00000000">
            <w:pPr>
              <w:spacing w:after="0" w:line="259" w:lineRule="auto"/>
              <w:ind w:left="2" w:right="0" w:firstLine="0"/>
              <w:jc w:val="left"/>
            </w:pPr>
            <w:r>
              <w:t xml:space="preserve">DAX calculations are used to derive statistical estimates </w:t>
            </w:r>
          </w:p>
        </w:tc>
        <w:tc>
          <w:tcPr>
            <w:tcW w:w="3001" w:type="dxa"/>
            <w:tcBorders>
              <w:top w:val="single" w:sz="5" w:space="0" w:color="000000"/>
              <w:left w:val="single" w:sz="5" w:space="0" w:color="000000"/>
              <w:bottom w:val="single" w:sz="5" w:space="0" w:color="000000"/>
              <w:right w:val="single" w:sz="5" w:space="0" w:color="000000"/>
            </w:tcBorders>
          </w:tcPr>
          <w:p w14:paraId="0E0431F5" w14:textId="77777777" w:rsidR="00CE3227" w:rsidRDefault="00000000">
            <w:pPr>
              <w:spacing w:after="0" w:line="259" w:lineRule="auto"/>
              <w:ind w:left="0" w:right="0" w:firstLine="0"/>
              <w:jc w:val="left"/>
            </w:pPr>
            <w:r>
              <w:t xml:space="preserve">85 </w:t>
            </w:r>
          </w:p>
        </w:tc>
      </w:tr>
    </w:tbl>
    <w:p w14:paraId="7D3199BA" w14:textId="77777777" w:rsidR="00CE3227" w:rsidRDefault="00CE3227">
      <w:pPr>
        <w:spacing w:after="0" w:line="259" w:lineRule="auto"/>
        <w:ind w:left="-1440" w:right="91" w:firstLine="0"/>
        <w:jc w:val="left"/>
      </w:pPr>
    </w:p>
    <w:tbl>
      <w:tblPr>
        <w:tblStyle w:val="TableGrid"/>
        <w:tblW w:w="9401" w:type="dxa"/>
        <w:tblInd w:w="-10" w:type="dxa"/>
        <w:tblCellMar>
          <w:top w:w="39" w:type="dxa"/>
          <w:left w:w="6" w:type="dxa"/>
          <w:bottom w:w="0" w:type="dxa"/>
          <w:right w:w="115" w:type="dxa"/>
        </w:tblCellMar>
        <w:tblLook w:val="04A0" w:firstRow="1" w:lastRow="0" w:firstColumn="1" w:lastColumn="0" w:noHBand="0" w:noVBand="1"/>
      </w:tblPr>
      <w:tblGrid>
        <w:gridCol w:w="2985"/>
        <w:gridCol w:w="3046"/>
        <w:gridCol w:w="3001"/>
        <w:gridCol w:w="369"/>
      </w:tblGrid>
      <w:tr w:rsidR="00CE3227" w14:paraId="342E4583" w14:textId="77777777">
        <w:trPr>
          <w:trHeight w:val="2263"/>
        </w:trPr>
        <w:tc>
          <w:tcPr>
            <w:tcW w:w="2985" w:type="dxa"/>
            <w:tcBorders>
              <w:top w:val="single" w:sz="5" w:space="0" w:color="000000"/>
              <w:left w:val="single" w:sz="5" w:space="0" w:color="000000"/>
              <w:bottom w:val="single" w:sz="5" w:space="0" w:color="000000"/>
              <w:right w:val="single" w:sz="5" w:space="0" w:color="000000"/>
            </w:tcBorders>
          </w:tcPr>
          <w:p w14:paraId="72E37705" w14:textId="77777777" w:rsidR="00CE3227" w:rsidRDefault="00CE3227">
            <w:pPr>
              <w:spacing w:after="160" w:line="259" w:lineRule="auto"/>
              <w:ind w:left="0" w:right="0" w:firstLine="0"/>
              <w:jc w:val="left"/>
            </w:pPr>
          </w:p>
        </w:tc>
        <w:tc>
          <w:tcPr>
            <w:tcW w:w="3046" w:type="dxa"/>
            <w:tcBorders>
              <w:top w:val="single" w:sz="5" w:space="0" w:color="000000"/>
              <w:left w:val="single" w:sz="5" w:space="0" w:color="000000"/>
              <w:bottom w:val="single" w:sz="5" w:space="0" w:color="000000"/>
              <w:right w:val="single" w:sz="5" w:space="0" w:color="000000"/>
            </w:tcBorders>
          </w:tcPr>
          <w:p w14:paraId="1B59DDCD" w14:textId="77777777" w:rsidR="00CE3227" w:rsidRDefault="00000000">
            <w:pPr>
              <w:spacing w:after="0" w:line="259" w:lineRule="auto"/>
              <w:ind w:left="2" w:right="0" w:firstLine="0"/>
              <w:jc w:val="left"/>
            </w:pPr>
            <w:r>
              <w:t xml:space="preserve">from the data. The M language is utilised for transforming measures during the data processing. </w:t>
            </w:r>
          </w:p>
        </w:tc>
        <w:tc>
          <w:tcPr>
            <w:tcW w:w="3001" w:type="dxa"/>
            <w:tcBorders>
              <w:top w:val="single" w:sz="5" w:space="0" w:color="000000"/>
              <w:left w:val="single" w:sz="5" w:space="0" w:color="000000"/>
              <w:bottom w:val="single" w:sz="5" w:space="0" w:color="000000"/>
              <w:right w:val="single" w:sz="5" w:space="0" w:color="000000"/>
            </w:tcBorders>
          </w:tcPr>
          <w:p w14:paraId="619EB300" w14:textId="77777777" w:rsidR="00CE3227" w:rsidRDefault="00CE3227">
            <w:pPr>
              <w:spacing w:after="160" w:line="259" w:lineRule="auto"/>
              <w:ind w:left="0" w:right="0" w:firstLine="0"/>
              <w:jc w:val="left"/>
            </w:pPr>
          </w:p>
        </w:tc>
        <w:tc>
          <w:tcPr>
            <w:tcW w:w="368" w:type="dxa"/>
            <w:vMerge w:val="restart"/>
            <w:tcBorders>
              <w:top w:val="nil"/>
              <w:left w:val="single" w:sz="5" w:space="0" w:color="000000"/>
              <w:bottom w:val="nil"/>
              <w:right w:val="nil"/>
            </w:tcBorders>
          </w:tcPr>
          <w:p w14:paraId="2045E350" w14:textId="77777777" w:rsidR="00CE3227" w:rsidRDefault="00CE3227">
            <w:pPr>
              <w:spacing w:after="160" w:line="259" w:lineRule="auto"/>
              <w:ind w:left="0" w:right="0" w:firstLine="0"/>
              <w:jc w:val="left"/>
            </w:pPr>
          </w:p>
        </w:tc>
      </w:tr>
      <w:tr w:rsidR="00CE3227" w14:paraId="08FADC3C" w14:textId="77777777">
        <w:trPr>
          <w:trHeight w:val="1940"/>
        </w:trPr>
        <w:tc>
          <w:tcPr>
            <w:tcW w:w="2985" w:type="dxa"/>
            <w:tcBorders>
              <w:top w:val="single" w:sz="5" w:space="0" w:color="000000"/>
              <w:left w:val="single" w:sz="5" w:space="0" w:color="000000"/>
              <w:bottom w:val="single" w:sz="5" w:space="0" w:color="000000"/>
              <w:right w:val="single" w:sz="5" w:space="0" w:color="000000"/>
            </w:tcBorders>
          </w:tcPr>
          <w:p w14:paraId="6E2D7712" w14:textId="77777777" w:rsidR="00CE3227" w:rsidRDefault="00000000">
            <w:pPr>
              <w:spacing w:after="0" w:line="259" w:lineRule="auto"/>
              <w:ind w:left="16" w:right="0" w:firstLine="0"/>
              <w:jc w:val="left"/>
            </w:pPr>
            <w:r>
              <w:t xml:space="preserve">Dashboard Design </w:t>
            </w:r>
          </w:p>
        </w:tc>
        <w:tc>
          <w:tcPr>
            <w:tcW w:w="3046" w:type="dxa"/>
            <w:tcBorders>
              <w:top w:val="single" w:sz="5" w:space="0" w:color="000000"/>
              <w:left w:val="single" w:sz="5" w:space="0" w:color="000000"/>
              <w:bottom w:val="single" w:sz="5" w:space="0" w:color="000000"/>
              <w:right w:val="single" w:sz="5" w:space="0" w:color="000000"/>
            </w:tcBorders>
            <w:vAlign w:val="center"/>
          </w:tcPr>
          <w:p w14:paraId="613DEE7D" w14:textId="77777777" w:rsidR="00CE3227" w:rsidRDefault="00000000">
            <w:pPr>
              <w:spacing w:after="0" w:line="259" w:lineRule="auto"/>
              <w:ind w:left="2" w:right="0" w:firstLine="0"/>
              <w:jc w:val="left"/>
            </w:pPr>
            <w:r>
              <w:t xml:space="preserve">A multi-page dashboard designed to present specific insights. </w:t>
            </w:r>
          </w:p>
        </w:tc>
        <w:tc>
          <w:tcPr>
            <w:tcW w:w="3001" w:type="dxa"/>
            <w:tcBorders>
              <w:top w:val="single" w:sz="5" w:space="0" w:color="000000"/>
              <w:left w:val="single" w:sz="5" w:space="0" w:color="000000"/>
              <w:bottom w:val="single" w:sz="5" w:space="0" w:color="000000"/>
              <w:right w:val="single" w:sz="5" w:space="0" w:color="000000"/>
            </w:tcBorders>
          </w:tcPr>
          <w:p w14:paraId="1FF3227B" w14:textId="77777777" w:rsidR="00CE3227" w:rsidRDefault="00000000">
            <w:pPr>
              <w:spacing w:after="0" w:line="259" w:lineRule="auto"/>
              <w:ind w:left="0" w:right="0" w:firstLine="0"/>
              <w:jc w:val="left"/>
            </w:pPr>
            <w:r>
              <w:t xml:space="preserve">90 </w:t>
            </w:r>
          </w:p>
        </w:tc>
        <w:tc>
          <w:tcPr>
            <w:tcW w:w="0" w:type="auto"/>
            <w:vMerge/>
            <w:tcBorders>
              <w:top w:val="nil"/>
              <w:left w:val="single" w:sz="5" w:space="0" w:color="000000"/>
              <w:bottom w:val="nil"/>
              <w:right w:val="nil"/>
            </w:tcBorders>
          </w:tcPr>
          <w:p w14:paraId="4D7E7FD5" w14:textId="77777777" w:rsidR="00CE3227" w:rsidRDefault="00CE3227">
            <w:pPr>
              <w:spacing w:after="160" w:line="259" w:lineRule="auto"/>
              <w:ind w:left="0" w:right="0" w:firstLine="0"/>
              <w:jc w:val="left"/>
            </w:pPr>
          </w:p>
        </w:tc>
      </w:tr>
      <w:tr w:rsidR="00CE3227" w14:paraId="4123FCDF" w14:textId="77777777">
        <w:trPr>
          <w:trHeight w:val="2184"/>
        </w:trPr>
        <w:tc>
          <w:tcPr>
            <w:tcW w:w="2985" w:type="dxa"/>
            <w:tcBorders>
              <w:top w:val="single" w:sz="5" w:space="0" w:color="000000"/>
              <w:left w:val="single" w:sz="5" w:space="0" w:color="000000"/>
              <w:bottom w:val="single" w:sz="5" w:space="0" w:color="000000"/>
              <w:right w:val="single" w:sz="5" w:space="0" w:color="000000"/>
            </w:tcBorders>
          </w:tcPr>
          <w:p w14:paraId="1ADF92B6" w14:textId="77777777" w:rsidR="00CE3227" w:rsidRDefault="00000000">
            <w:pPr>
              <w:spacing w:after="0" w:line="259" w:lineRule="auto"/>
              <w:ind w:left="16" w:right="0" w:firstLine="0"/>
              <w:jc w:val="left"/>
            </w:pPr>
            <w:r>
              <w:rPr>
                <w:b/>
              </w:rPr>
              <w:t xml:space="preserve">Average </w:t>
            </w:r>
          </w:p>
        </w:tc>
        <w:tc>
          <w:tcPr>
            <w:tcW w:w="3046" w:type="dxa"/>
            <w:tcBorders>
              <w:top w:val="single" w:sz="5" w:space="0" w:color="000000"/>
              <w:left w:val="single" w:sz="5" w:space="0" w:color="000000"/>
              <w:bottom w:val="single" w:sz="5" w:space="0" w:color="000000"/>
              <w:right w:val="single" w:sz="5" w:space="0" w:color="000000"/>
            </w:tcBorders>
          </w:tcPr>
          <w:p w14:paraId="0E0C0A57" w14:textId="77777777" w:rsidR="00CE3227" w:rsidRDefault="00000000">
            <w:pPr>
              <w:spacing w:after="0" w:line="259" w:lineRule="auto"/>
              <w:ind w:left="2" w:right="0" w:firstLine="0"/>
              <w:jc w:val="left"/>
            </w:pPr>
            <w:r>
              <w:t xml:space="preserve"> </w:t>
            </w:r>
          </w:p>
        </w:tc>
        <w:tc>
          <w:tcPr>
            <w:tcW w:w="3001" w:type="dxa"/>
            <w:tcBorders>
              <w:top w:val="single" w:sz="5" w:space="0" w:color="000000"/>
              <w:left w:val="single" w:sz="5" w:space="0" w:color="000000"/>
              <w:bottom w:val="single" w:sz="5" w:space="0" w:color="000000"/>
              <w:right w:val="single" w:sz="5" w:space="0" w:color="000000"/>
            </w:tcBorders>
            <w:vAlign w:val="center"/>
          </w:tcPr>
          <w:p w14:paraId="7EF5643F" w14:textId="77777777" w:rsidR="00CE3227" w:rsidRDefault="00000000">
            <w:pPr>
              <w:spacing w:after="238" w:line="478" w:lineRule="auto"/>
              <w:ind w:left="0" w:right="0" w:firstLine="0"/>
              <w:jc w:val="left"/>
            </w:pPr>
            <w:r>
              <w:rPr>
                <w:b/>
              </w:rPr>
              <w:t xml:space="preserve">Add below the average of the four cells above: </w:t>
            </w:r>
          </w:p>
          <w:p w14:paraId="2713D161" w14:textId="77777777" w:rsidR="00CE3227" w:rsidRDefault="00000000">
            <w:pPr>
              <w:spacing w:after="0" w:line="259" w:lineRule="auto"/>
              <w:ind w:left="0" w:right="0" w:firstLine="0"/>
              <w:jc w:val="left"/>
            </w:pPr>
            <w:r>
              <w:rPr>
                <w:b/>
              </w:rPr>
              <w:t xml:space="preserve">89 </w:t>
            </w:r>
          </w:p>
        </w:tc>
        <w:tc>
          <w:tcPr>
            <w:tcW w:w="0" w:type="auto"/>
            <w:vMerge/>
            <w:tcBorders>
              <w:top w:val="nil"/>
              <w:left w:val="single" w:sz="5" w:space="0" w:color="000000"/>
              <w:bottom w:val="nil"/>
              <w:right w:val="nil"/>
            </w:tcBorders>
          </w:tcPr>
          <w:p w14:paraId="3E543FE5" w14:textId="77777777" w:rsidR="00CE3227" w:rsidRDefault="00CE3227">
            <w:pPr>
              <w:spacing w:after="160" w:line="259" w:lineRule="auto"/>
              <w:ind w:left="0" w:right="0" w:firstLine="0"/>
              <w:jc w:val="left"/>
            </w:pPr>
          </w:p>
        </w:tc>
      </w:tr>
      <w:tr w:rsidR="00CE3227" w14:paraId="147AC032" w14:textId="77777777">
        <w:trPr>
          <w:trHeight w:val="472"/>
        </w:trPr>
        <w:tc>
          <w:tcPr>
            <w:tcW w:w="9401" w:type="dxa"/>
            <w:gridSpan w:val="4"/>
            <w:tcBorders>
              <w:top w:val="single" w:sz="5" w:space="0" w:color="000000"/>
              <w:left w:val="nil"/>
              <w:bottom w:val="nil"/>
              <w:right w:val="nil"/>
            </w:tcBorders>
            <w:shd w:val="clear" w:color="auto" w:fill="FFFFFE"/>
          </w:tcPr>
          <w:p w14:paraId="1CA8D832" w14:textId="77777777" w:rsidR="00CE3227" w:rsidRDefault="00000000">
            <w:pPr>
              <w:spacing w:after="0" w:line="259" w:lineRule="auto"/>
              <w:ind w:left="4" w:right="0" w:firstLine="0"/>
              <w:jc w:val="left"/>
            </w:pPr>
            <w:r>
              <w:rPr>
                <w:b/>
                <w:i/>
                <w:sz w:val="20"/>
              </w:rPr>
              <w:t xml:space="preserve"> </w:t>
            </w:r>
          </w:p>
        </w:tc>
      </w:tr>
    </w:tbl>
    <w:p w14:paraId="442C0353" w14:textId="77777777" w:rsidR="007B11D2" w:rsidRDefault="007B11D2"/>
    <w:sectPr w:rsidR="007B11D2">
      <w:headerReference w:type="even" r:id="rId43"/>
      <w:headerReference w:type="default" r:id="rId44"/>
      <w:headerReference w:type="first" r:id="rId45"/>
      <w:pgSz w:w="12240" w:h="15840"/>
      <w:pgMar w:top="1440" w:right="1318" w:bottom="1454" w:left="1440" w:header="727"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33354" w14:textId="77777777" w:rsidR="007B11D2" w:rsidRDefault="007B11D2">
      <w:pPr>
        <w:spacing w:after="0" w:line="240" w:lineRule="auto"/>
      </w:pPr>
      <w:r>
        <w:separator/>
      </w:r>
    </w:p>
  </w:endnote>
  <w:endnote w:type="continuationSeparator" w:id="0">
    <w:p w14:paraId="09A3751C" w14:textId="77777777" w:rsidR="007B11D2" w:rsidRDefault="007B1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65D85" w14:textId="77777777" w:rsidR="007B11D2" w:rsidRDefault="007B11D2">
      <w:pPr>
        <w:spacing w:after="0" w:line="240" w:lineRule="auto"/>
      </w:pPr>
      <w:r>
        <w:separator/>
      </w:r>
    </w:p>
  </w:footnote>
  <w:footnote w:type="continuationSeparator" w:id="0">
    <w:p w14:paraId="4C76DDB4" w14:textId="77777777" w:rsidR="007B11D2" w:rsidRDefault="007B11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1B96C" w14:textId="77777777" w:rsidR="00CE3227" w:rsidRDefault="00CE3227">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3C4C8" w14:textId="77777777" w:rsidR="00CE3227" w:rsidRDefault="00CE3227">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3AB72" w14:textId="77777777" w:rsidR="00CE3227" w:rsidRDefault="00CE3227">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ABA09" w14:textId="77777777" w:rsidR="00CE3227" w:rsidRDefault="00000000">
    <w:pPr>
      <w:spacing w:after="0" w:line="259" w:lineRule="auto"/>
      <w:ind w:left="0" w:right="0" w:firstLine="0"/>
      <w:jc w:val="left"/>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E6C62" w14:textId="77777777" w:rsidR="00CE3227" w:rsidRDefault="00000000">
    <w:pPr>
      <w:spacing w:after="0" w:line="259" w:lineRule="auto"/>
      <w:ind w:left="0" w:right="0" w:firstLine="0"/>
      <w:jc w:val="left"/>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CF03E" w14:textId="77777777" w:rsidR="00CE3227" w:rsidRDefault="00000000">
    <w:pPr>
      <w:spacing w:after="0" w:line="259" w:lineRule="auto"/>
      <w:ind w:left="0" w:right="0" w:firstLine="0"/>
      <w:jc w:val="left"/>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A61449"/>
    <w:multiLevelType w:val="hybridMultilevel"/>
    <w:tmpl w:val="C8388312"/>
    <w:lvl w:ilvl="0" w:tplc="C2D03EE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5682830">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2B6E93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908078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B100A70">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C4C24C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94C0D7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B1A50C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EF4343A">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D1D52E5"/>
    <w:multiLevelType w:val="hybridMultilevel"/>
    <w:tmpl w:val="E1DC3E38"/>
    <w:lvl w:ilvl="0" w:tplc="77B84906">
      <w:start w:val="1"/>
      <w:numFmt w:val="decimal"/>
      <w:lvlText w:val="%1."/>
      <w:lvlJc w:val="left"/>
      <w:pPr>
        <w:ind w:left="7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4F6C8B2">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130673E">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A48327C">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D482054">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BB0D240">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9FED43E">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1F61304">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85264E8">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642639E"/>
    <w:multiLevelType w:val="hybridMultilevel"/>
    <w:tmpl w:val="E38AA744"/>
    <w:lvl w:ilvl="0" w:tplc="5EF6857E">
      <w:start w:val="1"/>
      <w:numFmt w:val="bullet"/>
      <w:lvlText w:val="●"/>
      <w:lvlJc w:val="left"/>
      <w:pPr>
        <w:ind w:left="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382FD40">
      <w:start w:val="1"/>
      <w:numFmt w:val="bullet"/>
      <w:lvlText w:val="o"/>
      <w:lvlJc w:val="left"/>
      <w:pPr>
        <w:ind w:left="14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026CB32">
      <w:start w:val="1"/>
      <w:numFmt w:val="bullet"/>
      <w:lvlText w:val="▪"/>
      <w:lvlJc w:val="left"/>
      <w:pPr>
        <w:ind w:left="22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D1428B6">
      <w:start w:val="1"/>
      <w:numFmt w:val="bullet"/>
      <w:lvlText w:val="•"/>
      <w:lvlJc w:val="left"/>
      <w:pPr>
        <w:ind w:left="29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63E75CE">
      <w:start w:val="1"/>
      <w:numFmt w:val="bullet"/>
      <w:lvlText w:val="o"/>
      <w:lvlJc w:val="left"/>
      <w:pPr>
        <w:ind w:left="36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1186BF0">
      <w:start w:val="1"/>
      <w:numFmt w:val="bullet"/>
      <w:lvlText w:val="▪"/>
      <w:lvlJc w:val="left"/>
      <w:pPr>
        <w:ind w:left="43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6000858">
      <w:start w:val="1"/>
      <w:numFmt w:val="bullet"/>
      <w:lvlText w:val="•"/>
      <w:lvlJc w:val="left"/>
      <w:pPr>
        <w:ind w:left="50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2A86068">
      <w:start w:val="1"/>
      <w:numFmt w:val="bullet"/>
      <w:lvlText w:val="o"/>
      <w:lvlJc w:val="left"/>
      <w:pPr>
        <w:ind w:left="58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92E87DC">
      <w:start w:val="1"/>
      <w:numFmt w:val="bullet"/>
      <w:lvlText w:val="▪"/>
      <w:lvlJc w:val="left"/>
      <w:pPr>
        <w:ind w:left="65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FF941EB"/>
    <w:multiLevelType w:val="hybridMultilevel"/>
    <w:tmpl w:val="1AF21722"/>
    <w:lvl w:ilvl="0" w:tplc="D47AF5A0">
      <w:start w:val="1"/>
      <w:numFmt w:val="upperLetter"/>
      <w:lvlText w:val="%1."/>
      <w:lvlJc w:val="left"/>
      <w:pPr>
        <w:ind w:left="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4CA52A8">
      <w:start w:val="1"/>
      <w:numFmt w:val="lowerLetter"/>
      <w:lvlText w:val="%2"/>
      <w:lvlJc w:val="left"/>
      <w:pPr>
        <w:ind w:left="15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786E9AA">
      <w:start w:val="1"/>
      <w:numFmt w:val="lowerRoman"/>
      <w:lvlText w:val="%3"/>
      <w:lvlJc w:val="left"/>
      <w:pPr>
        <w:ind w:left="22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02A07B0">
      <w:start w:val="1"/>
      <w:numFmt w:val="decimal"/>
      <w:lvlText w:val="%4"/>
      <w:lvlJc w:val="left"/>
      <w:pPr>
        <w:ind w:left="30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FB87B36">
      <w:start w:val="1"/>
      <w:numFmt w:val="lowerLetter"/>
      <w:lvlText w:val="%5"/>
      <w:lvlJc w:val="left"/>
      <w:pPr>
        <w:ind w:left="3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A842094">
      <w:start w:val="1"/>
      <w:numFmt w:val="lowerRoman"/>
      <w:lvlText w:val="%6"/>
      <w:lvlJc w:val="left"/>
      <w:pPr>
        <w:ind w:left="4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FFAEFE2">
      <w:start w:val="1"/>
      <w:numFmt w:val="decimal"/>
      <w:lvlText w:val="%7"/>
      <w:lvlJc w:val="left"/>
      <w:pPr>
        <w:ind w:left="5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272661E">
      <w:start w:val="1"/>
      <w:numFmt w:val="lowerLetter"/>
      <w:lvlText w:val="%8"/>
      <w:lvlJc w:val="left"/>
      <w:pPr>
        <w:ind w:left="5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AF6647C">
      <w:start w:val="1"/>
      <w:numFmt w:val="lowerRoman"/>
      <w:lvlText w:val="%9"/>
      <w:lvlJc w:val="left"/>
      <w:pPr>
        <w:ind w:left="6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937520437">
    <w:abstractNumId w:val="1"/>
  </w:num>
  <w:num w:numId="2" w16cid:durableId="1368943435">
    <w:abstractNumId w:val="3"/>
  </w:num>
  <w:num w:numId="3" w16cid:durableId="42561577">
    <w:abstractNumId w:val="2"/>
  </w:num>
  <w:num w:numId="4" w16cid:durableId="17983278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3227"/>
    <w:rsid w:val="007B11D2"/>
    <w:rsid w:val="00CE3227"/>
    <w:rsid w:val="00FA74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474514"/>
  <w15:docId w15:val="{76E33256-7398-4E07-A029-101CFB4B4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52" w:line="265" w:lineRule="auto"/>
      <w:ind w:left="10" w:right="119" w:hanging="10"/>
      <w:jc w:val="both"/>
    </w:pPr>
    <w:rPr>
      <w:rFonts w:ascii="Cambria" w:eastAsia="Cambria" w:hAnsi="Cambria" w:cs="Cambria"/>
      <w:color w:val="000000"/>
      <w:sz w:val="24"/>
    </w:rPr>
  </w:style>
  <w:style w:type="paragraph" w:styleId="Heading1">
    <w:name w:val="heading 1"/>
    <w:next w:val="Normal"/>
    <w:link w:val="Heading1Char"/>
    <w:uiPriority w:val="9"/>
    <w:qFormat/>
    <w:pPr>
      <w:keepNext/>
      <w:keepLines/>
      <w:spacing w:after="459" w:line="265" w:lineRule="auto"/>
      <w:ind w:left="298" w:hanging="10"/>
      <w:outlineLvl w:val="0"/>
    </w:pPr>
    <w:rPr>
      <w:rFonts w:ascii="Cambria" w:eastAsia="Cambria" w:hAnsi="Cambria" w:cs="Cambria"/>
      <w:b/>
      <w:color w:val="000000"/>
      <w:sz w:val="28"/>
    </w:rPr>
  </w:style>
  <w:style w:type="paragraph" w:styleId="Heading2">
    <w:name w:val="heading 2"/>
    <w:next w:val="Normal"/>
    <w:link w:val="Heading2Char"/>
    <w:uiPriority w:val="9"/>
    <w:unhideWhenUsed/>
    <w:qFormat/>
    <w:pPr>
      <w:keepNext/>
      <w:keepLines/>
      <w:spacing w:after="459" w:line="265" w:lineRule="auto"/>
      <w:ind w:left="298" w:hanging="10"/>
      <w:outlineLvl w:val="1"/>
    </w:pPr>
    <w:rPr>
      <w:rFonts w:ascii="Cambria" w:eastAsia="Cambria" w:hAnsi="Cambria" w:cs="Cambria"/>
      <w:b/>
      <w:color w:val="000000"/>
      <w:sz w:val="28"/>
    </w:rPr>
  </w:style>
  <w:style w:type="paragraph" w:styleId="Heading3">
    <w:name w:val="heading 3"/>
    <w:next w:val="Normal"/>
    <w:link w:val="Heading3Char"/>
    <w:uiPriority w:val="9"/>
    <w:unhideWhenUsed/>
    <w:qFormat/>
    <w:pPr>
      <w:keepNext/>
      <w:keepLines/>
      <w:spacing w:after="251" w:line="265" w:lineRule="auto"/>
      <w:ind w:left="694" w:hanging="10"/>
      <w:outlineLvl w:val="2"/>
    </w:pPr>
    <w:rPr>
      <w:rFonts w:ascii="Cambria" w:eastAsia="Cambria" w:hAnsi="Cambria" w:cs="Cambria"/>
      <w:b/>
      <w:color w:val="000000"/>
      <w:sz w:val="24"/>
    </w:rPr>
  </w:style>
  <w:style w:type="paragraph" w:styleId="Heading4">
    <w:name w:val="heading 4"/>
    <w:next w:val="Normal"/>
    <w:link w:val="Heading4Char"/>
    <w:uiPriority w:val="9"/>
    <w:unhideWhenUsed/>
    <w:qFormat/>
    <w:pPr>
      <w:keepNext/>
      <w:keepLines/>
      <w:spacing w:after="251" w:line="265" w:lineRule="auto"/>
      <w:ind w:left="694" w:hanging="10"/>
      <w:outlineLvl w:val="3"/>
    </w:pPr>
    <w:rPr>
      <w:rFonts w:ascii="Cambria" w:eastAsia="Cambria" w:hAnsi="Cambria" w:cs="Cambria"/>
      <w:b/>
      <w:color w:val="000000"/>
      <w:sz w:val="24"/>
    </w:rPr>
  </w:style>
  <w:style w:type="paragraph" w:styleId="Heading5">
    <w:name w:val="heading 5"/>
    <w:next w:val="Normal"/>
    <w:link w:val="Heading5Char"/>
    <w:uiPriority w:val="9"/>
    <w:semiHidden/>
    <w:unhideWhenUsed/>
    <w:qFormat/>
    <w:pPr>
      <w:keepNext/>
      <w:keepLines/>
      <w:spacing w:after="460"/>
      <w:ind w:left="684"/>
      <w:jc w:val="center"/>
      <w:outlineLvl w:val="4"/>
    </w:pPr>
    <w:rPr>
      <w:rFonts w:ascii="Cambria" w:eastAsia="Cambria" w:hAnsi="Cambria" w:cs="Cambri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Cambria" w:eastAsia="Cambria" w:hAnsi="Cambria" w:cs="Cambria"/>
      <w:b/>
      <w:color w:val="000000"/>
      <w:sz w:val="24"/>
    </w:rPr>
  </w:style>
  <w:style w:type="character" w:customStyle="1" w:styleId="Heading2Char">
    <w:name w:val="Heading 2 Char"/>
    <w:link w:val="Heading2"/>
    <w:rPr>
      <w:rFonts w:ascii="Cambria" w:eastAsia="Cambria" w:hAnsi="Cambria" w:cs="Cambria"/>
      <w:b/>
      <w:color w:val="000000"/>
      <w:sz w:val="28"/>
    </w:rPr>
  </w:style>
  <w:style w:type="character" w:customStyle="1" w:styleId="Heading1Char">
    <w:name w:val="Heading 1 Char"/>
    <w:link w:val="Heading1"/>
    <w:rPr>
      <w:rFonts w:ascii="Cambria" w:eastAsia="Cambria" w:hAnsi="Cambria" w:cs="Cambria"/>
      <w:b/>
      <w:color w:val="000000"/>
      <w:sz w:val="28"/>
    </w:rPr>
  </w:style>
  <w:style w:type="character" w:customStyle="1" w:styleId="Heading3Char">
    <w:name w:val="Heading 3 Char"/>
    <w:link w:val="Heading3"/>
    <w:rPr>
      <w:rFonts w:ascii="Cambria" w:eastAsia="Cambria" w:hAnsi="Cambria" w:cs="Cambria"/>
      <w:b/>
      <w:color w:val="000000"/>
      <w:sz w:val="24"/>
    </w:rPr>
  </w:style>
  <w:style w:type="character" w:customStyle="1" w:styleId="Heading4Char">
    <w:name w:val="Heading 4 Char"/>
    <w:link w:val="Heading4"/>
    <w:rPr>
      <w:rFonts w:ascii="Cambria" w:eastAsia="Cambria" w:hAnsi="Cambria" w:cs="Cambria"/>
      <w:b/>
      <w:color w:val="000000"/>
      <w:sz w:val="24"/>
    </w:rPr>
  </w:style>
  <w:style w:type="paragraph" w:styleId="TOC1">
    <w:name w:val="toc 1"/>
    <w:hidden/>
    <w:pPr>
      <w:spacing w:after="103"/>
      <w:ind w:left="25" w:right="60" w:hanging="10"/>
    </w:pPr>
    <w:rPr>
      <w:rFonts w:ascii="Cambria" w:eastAsia="Cambria" w:hAnsi="Cambria" w:cs="Cambria"/>
      <w:b/>
      <w:color w:val="000000"/>
    </w:rPr>
  </w:style>
  <w:style w:type="paragraph" w:styleId="TOC2">
    <w:name w:val="toc 2"/>
    <w:hidden/>
    <w:pPr>
      <w:spacing w:after="103"/>
      <w:ind w:left="385" w:right="60" w:hanging="10"/>
    </w:pPr>
    <w:rPr>
      <w:rFonts w:ascii="Cambria" w:eastAsia="Cambria" w:hAnsi="Cambria" w:cs="Cambria"/>
      <w:b/>
      <w:color w:val="000000"/>
    </w:rPr>
  </w:style>
  <w:style w:type="paragraph" w:styleId="TOC3">
    <w:name w:val="toc 3"/>
    <w:hidden/>
    <w:pPr>
      <w:spacing w:after="103"/>
      <w:ind w:left="385" w:right="61" w:hanging="10"/>
    </w:pPr>
    <w:rPr>
      <w:rFonts w:ascii="Cambria" w:eastAsia="Cambria" w:hAnsi="Cambria" w:cs="Cambria"/>
      <w:color w:val="000000"/>
    </w:rPr>
  </w:style>
  <w:style w:type="paragraph" w:styleId="TOC4">
    <w:name w:val="toc 4"/>
    <w:hidden/>
    <w:pPr>
      <w:spacing w:after="103"/>
      <w:ind w:left="745" w:right="61" w:hanging="10"/>
    </w:pPr>
    <w:rPr>
      <w:rFonts w:ascii="Cambria" w:eastAsia="Cambria" w:hAnsi="Cambria" w:cs="Cambria"/>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6.jpg"/><Relationship Id="rId21" Type="http://schemas.openxmlformats.org/officeDocument/2006/relationships/image" Target="media/image11.jpg"/><Relationship Id="rId34" Type="http://schemas.openxmlformats.org/officeDocument/2006/relationships/image" Target="media/image23.jpg"/><Relationship Id="rId42" Type="http://schemas.openxmlformats.org/officeDocument/2006/relationships/image" Target="media/image29.jpg"/><Relationship Id="rId47"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jpg"/><Relationship Id="rId29" Type="http://schemas.openxmlformats.org/officeDocument/2006/relationships/image" Target="media/image19.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40.jpg"/><Relationship Id="rId40" Type="http://schemas.openxmlformats.org/officeDocument/2006/relationships/image" Target="media/image27.jpg"/><Relationship Id="rId45"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4.jpg"/><Relationship Id="rId10" Type="http://schemas.openxmlformats.org/officeDocument/2006/relationships/image" Target="media/image1.jpg"/><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30.jpg"/><Relationship Id="rId43" Type="http://schemas.openxmlformats.org/officeDocument/2006/relationships/header" Target="header4.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210.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20.jpg"/><Relationship Id="rId38" Type="http://schemas.openxmlformats.org/officeDocument/2006/relationships/image" Target="media/image25.jpg"/><Relationship Id="rId46" Type="http://schemas.openxmlformats.org/officeDocument/2006/relationships/fontTable" Target="fontTable.xml"/><Relationship Id="rId20" Type="http://schemas.openxmlformats.org/officeDocument/2006/relationships/image" Target="media/image10.jpg"/><Relationship Id="rId41"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40</Pages>
  <Words>4020</Words>
  <Characters>22017</Characters>
  <Application>Microsoft Office Word</Application>
  <DocSecurity>0</DocSecurity>
  <Lines>655</Lines>
  <Paragraphs>399</Paragraphs>
  <ScaleCrop>false</ScaleCrop>
  <Company/>
  <LinksUpToDate>false</LinksUpToDate>
  <CharactersWithSpaces>26470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Hemanth Kumar</dc:creator>
  <cp:keywords/>
  <cp:lastModifiedBy>hemanthreddy64207@gmail.com</cp:lastModifiedBy>
  <cp:revision>2</cp:revision>
  <dcterms:created xsi:type="dcterms:W3CDTF">2024-03-10T22:29:00Z</dcterms:created>
  <dcterms:modified xsi:type="dcterms:W3CDTF">2024-03-10T22:29:00Z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ce9f432ff3ab84ecb404bccf28b862e3ab2198dc2ba807fcf123c2b2400f0341</vt:lpwstr>
  </property>
</Properties>
</file>