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086C" w14:textId="77777777" w:rsidR="00270F69" w:rsidRPr="001F7B36" w:rsidRDefault="00000000" w:rsidP="001F7B36">
      <w:pPr>
        <w:spacing w:line="360" w:lineRule="auto"/>
        <w:jc w:val="center"/>
        <w:rPr>
          <w:rFonts w:ascii="Times New Roman" w:hAnsi="Times New Roman" w:cs="Times New Roman"/>
          <w:sz w:val="28"/>
          <w:szCs w:val="28"/>
        </w:rPr>
      </w:pPr>
      <w:r w:rsidRPr="001F7B36">
        <w:rPr>
          <w:rFonts w:ascii="Times New Roman" w:hAnsi="Times New Roman" w:cs="Times New Roman"/>
          <w:b/>
          <w:sz w:val="28"/>
          <w:szCs w:val="28"/>
        </w:rPr>
        <w:t>ASSESSMENT TOOL 1 – INDUSTRY PROBLEM TASK</w:t>
      </w:r>
    </w:p>
    <w:p w14:paraId="012CFE6A" w14:textId="77777777" w:rsidR="00270F69" w:rsidRPr="001F7B36" w:rsidRDefault="00000000" w:rsidP="001F7B36">
      <w:pPr>
        <w:spacing w:line="360" w:lineRule="auto"/>
        <w:jc w:val="center"/>
        <w:rPr>
          <w:rFonts w:ascii="Times New Roman" w:hAnsi="Times New Roman" w:cs="Times New Roman"/>
          <w:sz w:val="28"/>
          <w:szCs w:val="28"/>
        </w:rPr>
      </w:pPr>
      <w:r w:rsidRPr="001F7B36">
        <w:rPr>
          <w:rFonts w:ascii="Times New Roman" w:hAnsi="Times New Roman" w:cs="Times New Roman"/>
          <w:b/>
          <w:sz w:val="28"/>
          <w:szCs w:val="28"/>
        </w:rPr>
        <w:t>Course: Artificial Intelligence | Code: CSA17 | CO4</w:t>
      </w:r>
    </w:p>
    <w:p w14:paraId="3628E08E" w14:textId="6B1A17C9"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Student Name:</w:t>
      </w:r>
      <w:r w:rsidR="001F7B36">
        <w:rPr>
          <w:rFonts w:ascii="Times New Roman" w:hAnsi="Times New Roman" w:cs="Times New Roman"/>
          <w:sz w:val="28"/>
          <w:szCs w:val="28"/>
        </w:rPr>
        <w:t xml:space="preserve"> BATHALA HEMANTH KUMAR</w:t>
      </w:r>
      <w:r w:rsidRPr="001F7B36">
        <w:rPr>
          <w:rFonts w:ascii="Times New Roman" w:hAnsi="Times New Roman" w:cs="Times New Roman"/>
          <w:sz w:val="28"/>
          <w:szCs w:val="28"/>
        </w:rPr>
        <w:t xml:space="preserve"> </w:t>
      </w:r>
    </w:p>
    <w:p w14:paraId="593B7C54" w14:textId="0F676A22"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 xml:space="preserve">Register Number: </w:t>
      </w:r>
      <w:r w:rsidR="001F7B36">
        <w:rPr>
          <w:rFonts w:ascii="Times New Roman" w:hAnsi="Times New Roman" w:cs="Times New Roman"/>
          <w:sz w:val="28"/>
          <w:szCs w:val="28"/>
        </w:rPr>
        <w:t>192324238</w:t>
      </w:r>
    </w:p>
    <w:p w14:paraId="621AE63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Industry scenario: A healthcare company has patient records containing age, blood pressure, cholesterol, glucose level, BMI and family history. The goal is early diabetes diagnosis and personalised treatment recommendation using Diet, Exercise, Medication or Monitor.</w:t>
      </w:r>
    </w:p>
    <w:p w14:paraId="3CFE8D9E" w14:textId="77777777" w:rsidR="00270F69" w:rsidRPr="001F7B36" w:rsidRDefault="00000000" w:rsidP="001F7B36">
      <w:pPr>
        <w:pStyle w:val="Heading1"/>
        <w:spacing w:line="360" w:lineRule="auto"/>
        <w:rPr>
          <w:rFonts w:ascii="Times New Roman" w:hAnsi="Times New Roman" w:cs="Times New Roman"/>
        </w:rPr>
      </w:pPr>
      <w:r w:rsidRPr="001F7B36">
        <w:rPr>
          <w:rFonts w:ascii="Times New Roman" w:hAnsi="Times New Roman" w:cs="Times New Roman"/>
        </w:rPr>
        <w:t>Task 1: Data Preparation &amp; Inductive Learning</w:t>
      </w:r>
    </w:p>
    <w:p w14:paraId="0C8BC4BD" w14:textId="77777777" w:rsidR="00270F69" w:rsidRPr="001F7B36" w:rsidRDefault="00000000" w:rsidP="001F7B36">
      <w:pPr>
        <w:pStyle w:val="Heading2"/>
        <w:spacing w:line="360" w:lineRule="auto"/>
        <w:rPr>
          <w:rFonts w:ascii="Times New Roman" w:hAnsi="Times New Roman" w:cs="Times New Roman"/>
          <w:sz w:val="28"/>
          <w:szCs w:val="28"/>
        </w:rPr>
      </w:pPr>
      <w:r w:rsidRPr="001F7B36">
        <w:rPr>
          <w:rFonts w:ascii="Times New Roman" w:hAnsi="Times New Roman" w:cs="Times New Roman"/>
          <w:sz w:val="28"/>
          <w:szCs w:val="28"/>
        </w:rPr>
        <w:t>1(a) Inductive learning approach</w:t>
      </w:r>
    </w:p>
    <w:p w14:paraId="69072E12"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Inductive learning learns a general rule from labelled patient examples and applies it to unseen patients. The target variable is Diabetes (0 = non-diabetic, 1 = diabetic).</w:t>
      </w:r>
    </w:p>
    <w:tbl>
      <w:tblPr>
        <w:tblStyle w:val="TableGrid"/>
        <w:tblW w:w="0" w:type="auto"/>
        <w:jc w:val="center"/>
        <w:tblLook w:val="04A0" w:firstRow="1" w:lastRow="0" w:firstColumn="1" w:lastColumn="0" w:noHBand="0" w:noVBand="1"/>
      </w:tblPr>
      <w:tblGrid>
        <w:gridCol w:w="4962"/>
        <w:gridCol w:w="4964"/>
      </w:tblGrid>
      <w:tr w:rsidR="00270F69" w:rsidRPr="001F7B36" w14:paraId="049745A4" w14:textId="77777777">
        <w:trPr>
          <w:jc w:val="center"/>
        </w:trPr>
        <w:tc>
          <w:tcPr>
            <w:tcW w:w="4968" w:type="dxa"/>
            <w:vAlign w:val="center"/>
          </w:tcPr>
          <w:p w14:paraId="537F5735"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Feature</w:t>
            </w:r>
          </w:p>
        </w:tc>
        <w:tc>
          <w:tcPr>
            <w:tcW w:w="4968" w:type="dxa"/>
            <w:vAlign w:val="center"/>
          </w:tcPr>
          <w:p w14:paraId="574170F5"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Justification</w:t>
            </w:r>
          </w:p>
        </w:tc>
      </w:tr>
      <w:tr w:rsidR="00270F69" w:rsidRPr="001F7B36" w14:paraId="7CE64CCB" w14:textId="77777777">
        <w:trPr>
          <w:jc w:val="center"/>
        </w:trPr>
        <w:tc>
          <w:tcPr>
            <w:tcW w:w="4968" w:type="dxa"/>
          </w:tcPr>
          <w:p w14:paraId="3A5767DD"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Glucose level</w:t>
            </w:r>
          </w:p>
        </w:tc>
        <w:tc>
          <w:tcPr>
            <w:tcW w:w="4968" w:type="dxa"/>
          </w:tcPr>
          <w:p w14:paraId="46386778"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Strong indicator of glycaemic status and highly relevant to diabetes classification.</w:t>
            </w:r>
          </w:p>
        </w:tc>
      </w:tr>
      <w:tr w:rsidR="00270F69" w:rsidRPr="001F7B36" w14:paraId="18B2C719" w14:textId="77777777">
        <w:trPr>
          <w:jc w:val="center"/>
        </w:trPr>
        <w:tc>
          <w:tcPr>
            <w:tcW w:w="4968" w:type="dxa"/>
          </w:tcPr>
          <w:p w14:paraId="2A1CFEA9"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BMI</w:t>
            </w:r>
          </w:p>
        </w:tc>
        <w:tc>
          <w:tcPr>
            <w:tcW w:w="4968" w:type="dxa"/>
          </w:tcPr>
          <w:p w14:paraId="35625710"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Represents obesity-related metabolic risk.</w:t>
            </w:r>
          </w:p>
        </w:tc>
      </w:tr>
      <w:tr w:rsidR="00270F69" w:rsidRPr="001F7B36" w14:paraId="3B5533F1" w14:textId="77777777">
        <w:trPr>
          <w:jc w:val="center"/>
        </w:trPr>
        <w:tc>
          <w:tcPr>
            <w:tcW w:w="4968" w:type="dxa"/>
          </w:tcPr>
          <w:p w14:paraId="1D8CCC19"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Age</w:t>
            </w:r>
          </w:p>
        </w:tc>
        <w:tc>
          <w:tcPr>
            <w:tcW w:w="4968" w:type="dxa"/>
          </w:tcPr>
          <w:p w14:paraId="3D7E8F88"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Captures age-related variation in diabetes risk.</w:t>
            </w:r>
          </w:p>
        </w:tc>
      </w:tr>
      <w:tr w:rsidR="00270F69" w:rsidRPr="001F7B36" w14:paraId="178D2A3E" w14:textId="77777777">
        <w:trPr>
          <w:jc w:val="center"/>
        </w:trPr>
        <w:tc>
          <w:tcPr>
            <w:tcW w:w="4968" w:type="dxa"/>
          </w:tcPr>
          <w:p w14:paraId="4EB66EBB"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Blood pressure</w:t>
            </w:r>
          </w:p>
        </w:tc>
        <w:tc>
          <w:tcPr>
            <w:tcW w:w="4968" w:type="dxa"/>
          </w:tcPr>
          <w:p w14:paraId="47C2CF07"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Adds cardiometabolic risk information.</w:t>
            </w:r>
          </w:p>
        </w:tc>
      </w:tr>
      <w:tr w:rsidR="00270F69" w:rsidRPr="001F7B36" w14:paraId="719BC822" w14:textId="77777777">
        <w:trPr>
          <w:jc w:val="center"/>
        </w:trPr>
        <w:tc>
          <w:tcPr>
            <w:tcW w:w="4968" w:type="dxa"/>
          </w:tcPr>
          <w:p w14:paraId="1D9A592D"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Family history</w:t>
            </w:r>
          </w:p>
        </w:tc>
        <w:tc>
          <w:tcPr>
            <w:tcW w:w="4968" w:type="dxa"/>
          </w:tcPr>
          <w:p w14:paraId="455BE638"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Represents inherited susceptibility.</w:t>
            </w:r>
          </w:p>
        </w:tc>
      </w:tr>
    </w:tbl>
    <w:p w14:paraId="0059BFBC" w14:textId="77777777" w:rsidR="00270F69" w:rsidRPr="001F7B36" w:rsidRDefault="00000000" w:rsidP="001F7B36">
      <w:pPr>
        <w:pStyle w:val="Heading2"/>
        <w:spacing w:line="360" w:lineRule="auto"/>
        <w:rPr>
          <w:rFonts w:ascii="Times New Roman" w:hAnsi="Times New Roman" w:cs="Times New Roman"/>
          <w:sz w:val="28"/>
          <w:szCs w:val="28"/>
        </w:rPr>
      </w:pPr>
      <w:r w:rsidRPr="001F7B36">
        <w:rPr>
          <w:rFonts w:ascii="Times New Roman" w:hAnsi="Times New Roman" w:cs="Times New Roman"/>
          <w:sz w:val="28"/>
          <w:szCs w:val="28"/>
        </w:rPr>
        <w:t>1(b) Class imbalance</w:t>
      </w:r>
    </w:p>
    <w:p w14:paraId="0E1D3AAF"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SMOTE is recommended on the training set because it creates synthetic minority-class examples rather than simply duplicating diabetic records. The test set must remain unchanged. Class weights can be used as an additional comparison.</w:t>
      </w:r>
    </w:p>
    <w:p w14:paraId="12610593" w14:textId="77777777" w:rsidR="00270F69" w:rsidRPr="001F7B36" w:rsidRDefault="00000000" w:rsidP="001F7B36">
      <w:pPr>
        <w:pStyle w:val="Heading2"/>
        <w:spacing w:line="360" w:lineRule="auto"/>
        <w:rPr>
          <w:rFonts w:ascii="Times New Roman" w:hAnsi="Times New Roman" w:cs="Times New Roman"/>
          <w:sz w:val="28"/>
          <w:szCs w:val="28"/>
        </w:rPr>
      </w:pPr>
      <w:r w:rsidRPr="001F7B36">
        <w:rPr>
          <w:rFonts w:ascii="Times New Roman" w:hAnsi="Times New Roman" w:cs="Times New Roman"/>
          <w:sz w:val="28"/>
          <w:szCs w:val="28"/>
        </w:rPr>
        <w:lastRenderedPageBreak/>
        <w:t>1(c) 70:30 split and preprocessing</w:t>
      </w:r>
    </w:p>
    <w:p w14:paraId="2F1F8A83"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A stratified 70:30 split provides sufficient data for learning while retaining an independent test set. Preprocessing includes missing-value imputation, numerical scaling where required, categorical/binary encoding, outlier inspection, and fitting all preprocessing transformations only on the training data.</w:t>
      </w:r>
    </w:p>
    <w:p w14:paraId="681192C5" w14:textId="77777777" w:rsidR="00270F69" w:rsidRPr="001F7B36" w:rsidRDefault="00000000" w:rsidP="001F7B36">
      <w:pPr>
        <w:pStyle w:val="Heading1"/>
        <w:spacing w:line="360" w:lineRule="auto"/>
        <w:rPr>
          <w:rFonts w:ascii="Times New Roman" w:hAnsi="Times New Roman" w:cs="Times New Roman"/>
        </w:rPr>
      </w:pPr>
      <w:r w:rsidRPr="001F7B36">
        <w:rPr>
          <w:rFonts w:ascii="Times New Roman" w:hAnsi="Times New Roman" w:cs="Times New Roman"/>
        </w:rPr>
        <w:t>Task 2: Decision Tree for Diagnosis</w:t>
      </w:r>
    </w:p>
    <w:p w14:paraId="0538710D" w14:textId="77777777" w:rsidR="00270F69" w:rsidRPr="001F7B36" w:rsidRDefault="00000000" w:rsidP="001F7B36">
      <w:pPr>
        <w:pStyle w:val="Heading2"/>
        <w:spacing w:line="360" w:lineRule="auto"/>
        <w:rPr>
          <w:rFonts w:ascii="Times New Roman" w:hAnsi="Times New Roman" w:cs="Times New Roman"/>
          <w:sz w:val="28"/>
          <w:szCs w:val="28"/>
        </w:rPr>
      </w:pPr>
      <w:r w:rsidRPr="001F7B36">
        <w:rPr>
          <w:rFonts w:ascii="Times New Roman" w:hAnsi="Times New Roman" w:cs="Times New Roman"/>
          <w:sz w:val="28"/>
          <w:szCs w:val="28"/>
        </w:rPr>
        <w:t>2(a) Tree and root node</w:t>
      </w:r>
    </w:p>
    <w:p w14:paraId="6155BF43"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A worked demonstration was created because the uploaded assessment does not provide a patient dataset. It uses 300 synthetic records and a Gini-based tree. The learned root feature was Glucose. The root is selected because its split produces the largest impurity reduction at the top level.</w:t>
      </w:r>
    </w:p>
    <w:p w14:paraId="31974861" w14:textId="77777777" w:rsidR="00270F69" w:rsidRPr="001F7B36" w:rsidRDefault="00000000" w:rsidP="001F7B36">
      <w:pPr>
        <w:spacing w:line="360" w:lineRule="auto"/>
        <w:jc w:val="center"/>
        <w:rPr>
          <w:rFonts w:ascii="Times New Roman" w:hAnsi="Times New Roman" w:cs="Times New Roman"/>
          <w:sz w:val="28"/>
          <w:szCs w:val="28"/>
        </w:rPr>
      </w:pPr>
      <w:r w:rsidRPr="001F7B36">
        <w:rPr>
          <w:rFonts w:ascii="Times New Roman" w:hAnsi="Times New Roman" w:cs="Times New Roman"/>
          <w:noProof/>
          <w:sz w:val="28"/>
          <w:szCs w:val="28"/>
        </w:rPr>
        <w:drawing>
          <wp:inline distT="0" distB="0" distL="0" distR="0" wp14:anchorId="2870A8BE" wp14:editId="05065459">
            <wp:extent cx="5669280" cy="3052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y_tree_separate.png"/>
                    <pic:cNvPicPr/>
                  </pic:nvPicPr>
                  <pic:blipFill>
                    <a:blip r:embed="rId8"/>
                    <a:stretch>
                      <a:fillRect/>
                    </a:stretch>
                  </pic:blipFill>
                  <pic:spPr>
                    <a:xfrm>
                      <a:off x="0" y="0"/>
                      <a:ext cx="5669280" cy="3052689"/>
                    </a:xfrm>
                    <a:prstGeom prst="rect">
                      <a:avLst/>
                    </a:prstGeom>
                  </pic:spPr>
                </pic:pic>
              </a:graphicData>
            </a:graphic>
          </wp:inline>
        </w:drawing>
      </w:r>
    </w:p>
    <w:p w14:paraId="13C07F51"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Figure 1. Worked Decision Tree demonstration.</w:t>
      </w:r>
    </w:p>
    <w:p w14:paraId="5AE1043E" w14:textId="77777777" w:rsidR="00270F69" w:rsidRPr="001F7B36" w:rsidRDefault="00000000" w:rsidP="001F7B36">
      <w:pPr>
        <w:pStyle w:val="Heading2"/>
        <w:spacing w:line="360" w:lineRule="auto"/>
        <w:rPr>
          <w:rFonts w:ascii="Times New Roman" w:hAnsi="Times New Roman" w:cs="Times New Roman"/>
          <w:sz w:val="28"/>
          <w:szCs w:val="28"/>
        </w:rPr>
      </w:pPr>
      <w:r w:rsidRPr="001F7B36">
        <w:rPr>
          <w:rFonts w:ascii="Times New Roman" w:hAnsi="Times New Roman" w:cs="Times New Roman"/>
          <w:sz w:val="28"/>
          <w:szCs w:val="28"/>
        </w:rPr>
        <w:t>2(b) Evaluation</w:t>
      </w:r>
    </w:p>
    <w:tbl>
      <w:tblPr>
        <w:tblStyle w:val="TableGrid"/>
        <w:tblW w:w="0" w:type="auto"/>
        <w:jc w:val="center"/>
        <w:tblLook w:val="04A0" w:firstRow="1" w:lastRow="0" w:firstColumn="1" w:lastColumn="0" w:noHBand="0" w:noVBand="1"/>
      </w:tblPr>
      <w:tblGrid>
        <w:gridCol w:w="4963"/>
        <w:gridCol w:w="4963"/>
      </w:tblGrid>
      <w:tr w:rsidR="00270F69" w:rsidRPr="001F7B36" w14:paraId="7456D117" w14:textId="77777777">
        <w:trPr>
          <w:jc w:val="center"/>
        </w:trPr>
        <w:tc>
          <w:tcPr>
            <w:tcW w:w="4968" w:type="dxa"/>
            <w:vAlign w:val="center"/>
          </w:tcPr>
          <w:p w14:paraId="056C92BF"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Metric</w:t>
            </w:r>
          </w:p>
        </w:tc>
        <w:tc>
          <w:tcPr>
            <w:tcW w:w="4968" w:type="dxa"/>
            <w:vAlign w:val="center"/>
          </w:tcPr>
          <w:p w14:paraId="31466328"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Worked result</w:t>
            </w:r>
          </w:p>
        </w:tc>
      </w:tr>
      <w:tr w:rsidR="00270F69" w:rsidRPr="001F7B36" w14:paraId="190C94FE" w14:textId="77777777">
        <w:trPr>
          <w:jc w:val="center"/>
        </w:trPr>
        <w:tc>
          <w:tcPr>
            <w:tcW w:w="4968" w:type="dxa"/>
          </w:tcPr>
          <w:p w14:paraId="41A05E3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Accuracy</w:t>
            </w:r>
          </w:p>
        </w:tc>
        <w:tc>
          <w:tcPr>
            <w:tcW w:w="4968" w:type="dxa"/>
          </w:tcPr>
          <w:p w14:paraId="404B050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0.689</w:t>
            </w:r>
          </w:p>
        </w:tc>
      </w:tr>
      <w:tr w:rsidR="00270F69" w:rsidRPr="001F7B36" w14:paraId="16A39372" w14:textId="77777777">
        <w:trPr>
          <w:jc w:val="center"/>
        </w:trPr>
        <w:tc>
          <w:tcPr>
            <w:tcW w:w="4968" w:type="dxa"/>
          </w:tcPr>
          <w:p w14:paraId="12BC97A3"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lastRenderedPageBreak/>
              <w:t>Precision</w:t>
            </w:r>
          </w:p>
        </w:tc>
        <w:tc>
          <w:tcPr>
            <w:tcW w:w="4968" w:type="dxa"/>
          </w:tcPr>
          <w:p w14:paraId="68120701"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0.500</w:t>
            </w:r>
          </w:p>
        </w:tc>
      </w:tr>
      <w:tr w:rsidR="00270F69" w:rsidRPr="001F7B36" w14:paraId="22C609EC" w14:textId="77777777">
        <w:trPr>
          <w:jc w:val="center"/>
        </w:trPr>
        <w:tc>
          <w:tcPr>
            <w:tcW w:w="4968" w:type="dxa"/>
          </w:tcPr>
          <w:p w14:paraId="1C5C4D57"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Recall</w:t>
            </w:r>
          </w:p>
        </w:tc>
        <w:tc>
          <w:tcPr>
            <w:tcW w:w="4968" w:type="dxa"/>
          </w:tcPr>
          <w:p w14:paraId="1C0FBCAD"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0.500</w:t>
            </w:r>
          </w:p>
        </w:tc>
      </w:tr>
      <w:tr w:rsidR="00270F69" w:rsidRPr="001F7B36" w14:paraId="67D47150" w14:textId="77777777">
        <w:trPr>
          <w:jc w:val="center"/>
        </w:trPr>
        <w:tc>
          <w:tcPr>
            <w:tcW w:w="4968" w:type="dxa"/>
          </w:tcPr>
          <w:p w14:paraId="22776ABE"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F1-Score</w:t>
            </w:r>
          </w:p>
        </w:tc>
        <w:tc>
          <w:tcPr>
            <w:tcW w:w="4968" w:type="dxa"/>
          </w:tcPr>
          <w:p w14:paraId="5A46C3DA"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0.500</w:t>
            </w:r>
          </w:p>
        </w:tc>
      </w:tr>
    </w:tbl>
    <w:p w14:paraId="5C0BF23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False negatives are diabetic patients predicted as non-diabetic. Clinically, they are important because a missed case may delay confirmatory testing and treatment. Recall-oriented threshold selection, class weighting, SMOTE and clinical review can help reduce them.</w:t>
      </w:r>
    </w:p>
    <w:p w14:paraId="5157EDE3" w14:textId="77777777" w:rsidR="00270F69" w:rsidRPr="001F7B36" w:rsidRDefault="00000000" w:rsidP="001F7B36">
      <w:pPr>
        <w:pStyle w:val="Heading2"/>
        <w:spacing w:line="360" w:lineRule="auto"/>
        <w:rPr>
          <w:rFonts w:ascii="Times New Roman" w:hAnsi="Times New Roman" w:cs="Times New Roman"/>
          <w:sz w:val="28"/>
          <w:szCs w:val="28"/>
        </w:rPr>
      </w:pPr>
      <w:r w:rsidRPr="001F7B36">
        <w:rPr>
          <w:rFonts w:ascii="Times New Roman" w:hAnsi="Times New Roman" w:cs="Times New Roman"/>
          <w:sz w:val="28"/>
          <w:szCs w:val="28"/>
        </w:rPr>
        <w:t xml:space="preserve">2(c) </w:t>
      </w:r>
      <w:proofErr w:type="gramStart"/>
      <w:r w:rsidRPr="001F7B36">
        <w:rPr>
          <w:rFonts w:ascii="Times New Roman" w:hAnsi="Times New Roman" w:cs="Times New Roman"/>
          <w:sz w:val="28"/>
          <w:szCs w:val="28"/>
        </w:rPr>
        <w:t>Post-pruning</w:t>
      </w:r>
      <w:proofErr w:type="gramEnd"/>
    </w:p>
    <w:p w14:paraId="354E095D"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Cost-complexity pruning removes branches that add complexity without sufficient validation benefit. Pre-pruning limits tree growth during training; post-pruning grows a tree and then removes weak branches. In clinical deployment, the preferred model should balance sensitivity, calibration, stability and interpretability.</w:t>
      </w:r>
    </w:p>
    <w:p w14:paraId="0DC9FDD8" w14:textId="77777777" w:rsidR="00270F69" w:rsidRPr="001F7B36" w:rsidRDefault="00000000" w:rsidP="001F7B36">
      <w:pPr>
        <w:pStyle w:val="Heading1"/>
        <w:spacing w:line="360" w:lineRule="auto"/>
        <w:rPr>
          <w:rFonts w:ascii="Times New Roman" w:hAnsi="Times New Roman" w:cs="Times New Roman"/>
        </w:rPr>
      </w:pPr>
      <w:r w:rsidRPr="001F7B36">
        <w:rPr>
          <w:rFonts w:ascii="Times New Roman" w:hAnsi="Times New Roman" w:cs="Times New Roman"/>
        </w:rPr>
        <w:t>Task 3: Statistical Learning for Risk Stratification</w:t>
      </w:r>
    </w:p>
    <w:p w14:paraId="191BFEC5" w14:textId="77777777" w:rsidR="00270F69" w:rsidRPr="001F7B36" w:rsidRDefault="00000000" w:rsidP="001F7B36">
      <w:pPr>
        <w:pStyle w:val="Heading2"/>
        <w:spacing w:line="360" w:lineRule="auto"/>
        <w:rPr>
          <w:rFonts w:ascii="Times New Roman" w:hAnsi="Times New Roman" w:cs="Times New Roman"/>
          <w:sz w:val="28"/>
          <w:szCs w:val="28"/>
        </w:rPr>
      </w:pPr>
      <w:r w:rsidRPr="001F7B36">
        <w:rPr>
          <w:rFonts w:ascii="Times New Roman" w:hAnsi="Times New Roman" w:cs="Times New Roman"/>
          <w:sz w:val="28"/>
          <w:szCs w:val="28"/>
        </w:rPr>
        <w:t>3(a) Logistic Regression comparison</w:t>
      </w:r>
    </w:p>
    <w:tbl>
      <w:tblPr>
        <w:tblStyle w:val="TableGrid"/>
        <w:tblW w:w="0" w:type="auto"/>
        <w:jc w:val="center"/>
        <w:tblLook w:val="04A0" w:firstRow="1" w:lastRow="0" w:firstColumn="1" w:lastColumn="0" w:noHBand="0" w:noVBand="1"/>
      </w:tblPr>
      <w:tblGrid>
        <w:gridCol w:w="3309"/>
        <w:gridCol w:w="3309"/>
        <w:gridCol w:w="3308"/>
      </w:tblGrid>
      <w:tr w:rsidR="00270F69" w:rsidRPr="001F7B36" w14:paraId="3B6E7416" w14:textId="77777777">
        <w:trPr>
          <w:jc w:val="center"/>
        </w:trPr>
        <w:tc>
          <w:tcPr>
            <w:tcW w:w="3312" w:type="dxa"/>
            <w:vAlign w:val="center"/>
          </w:tcPr>
          <w:p w14:paraId="620980FD"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Model</w:t>
            </w:r>
          </w:p>
        </w:tc>
        <w:tc>
          <w:tcPr>
            <w:tcW w:w="3312" w:type="dxa"/>
            <w:vAlign w:val="center"/>
          </w:tcPr>
          <w:p w14:paraId="21A6574F"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Accuracy</w:t>
            </w:r>
          </w:p>
        </w:tc>
        <w:tc>
          <w:tcPr>
            <w:tcW w:w="3312" w:type="dxa"/>
            <w:vAlign w:val="center"/>
          </w:tcPr>
          <w:p w14:paraId="05702CAC"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AUC-ROC</w:t>
            </w:r>
          </w:p>
        </w:tc>
      </w:tr>
      <w:tr w:rsidR="00270F69" w:rsidRPr="001F7B36" w14:paraId="3B038E4F" w14:textId="77777777">
        <w:trPr>
          <w:jc w:val="center"/>
        </w:trPr>
        <w:tc>
          <w:tcPr>
            <w:tcW w:w="3312" w:type="dxa"/>
          </w:tcPr>
          <w:p w14:paraId="1768534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Decision Tree</w:t>
            </w:r>
          </w:p>
        </w:tc>
        <w:tc>
          <w:tcPr>
            <w:tcW w:w="3312" w:type="dxa"/>
          </w:tcPr>
          <w:p w14:paraId="184F71C2"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0.689</w:t>
            </w:r>
          </w:p>
        </w:tc>
        <w:tc>
          <w:tcPr>
            <w:tcW w:w="3312" w:type="dxa"/>
          </w:tcPr>
          <w:p w14:paraId="3ACBE45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0.708</w:t>
            </w:r>
          </w:p>
        </w:tc>
      </w:tr>
      <w:tr w:rsidR="00270F69" w:rsidRPr="001F7B36" w14:paraId="6D7E1330" w14:textId="77777777">
        <w:trPr>
          <w:jc w:val="center"/>
        </w:trPr>
        <w:tc>
          <w:tcPr>
            <w:tcW w:w="3312" w:type="dxa"/>
          </w:tcPr>
          <w:p w14:paraId="12774917"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Logistic Regression</w:t>
            </w:r>
          </w:p>
        </w:tc>
        <w:tc>
          <w:tcPr>
            <w:tcW w:w="3312" w:type="dxa"/>
          </w:tcPr>
          <w:p w14:paraId="053BA969"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0.800</w:t>
            </w:r>
          </w:p>
        </w:tc>
        <w:tc>
          <w:tcPr>
            <w:tcW w:w="3312" w:type="dxa"/>
          </w:tcPr>
          <w:p w14:paraId="5CDEE182"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0.895</w:t>
            </w:r>
          </w:p>
        </w:tc>
      </w:tr>
    </w:tbl>
    <w:p w14:paraId="18B305E9"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Logistic Regression is preferable when probability interpretation, simpler governance and approximately linear relationships are important. A Decision Tree is useful when nonlinear thresholds and interactions are important.</w:t>
      </w:r>
    </w:p>
    <w:p w14:paraId="26F67DA9" w14:textId="77777777" w:rsidR="00270F69" w:rsidRPr="001F7B36" w:rsidRDefault="00000000" w:rsidP="001F7B36">
      <w:pPr>
        <w:pStyle w:val="Heading2"/>
        <w:spacing w:line="360" w:lineRule="auto"/>
        <w:rPr>
          <w:rFonts w:ascii="Times New Roman" w:hAnsi="Times New Roman" w:cs="Times New Roman"/>
          <w:sz w:val="28"/>
          <w:szCs w:val="28"/>
        </w:rPr>
      </w:pPr>
      <w:r w:rsidRPr="001F7B36">
        <w:rPr>
          <w:rFonts w:ascii="Times New Roman" w:hAnsi="Times New Roman" w:cs="Times New Roman"/>
          <w:sz w:val="28"/>
          <w:szCs w:val="28"/>
        </w:rPr>
        <w:t>3(b) Feature importance</w:t>
      </w:r>
    </w:p>
    <w:tbl>
      <w:tblPr>
        <w:tblStyle w:val="TableGrid"/>
        <w:tblW w:w="0" w:type="auto"/>
        <w:jc w:val="center"/>
        <w:tblLook w:val="04A0" w:firstRow="1" w:lastRow="0" w:firstColumn="1" w:lastColumn="0" w:noHBand="0" w:noVBand="1"/>
      </w:tblPr>
      <w:tblGrid>
        <w:gridCol w:w="4963"/>
        <w:gridCol w:w="4963"/>
      </w:tblGrid>
      <w:tr w:rsidR="00270F69" w:rsidRPr="001F7B36" w14:paraId="2A2F668B" w14:textId="77777777">
        <w:trPr>
          <w:jc w:val="center"/>
        </w:trPr>
        <w:tc>
          <w:tcPr>
            <w:tcW w:w="4968" w:type="dxa"/>
            <w:vAlign w:val="center"/>
          </w:tcPr>
          <w:p w14:paraId="593F70D8"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Model</w:t>
            </w:r>
          </w:p>
        </w:tc>
        <w:tc>
          <w:tcPr>
            <w:tcW w:w="4968" w:type="dxa"/>
            <w:vAlign w:val="center"/>
          </w:tcPr>
          <w:p w14:paraId="71D8EE00"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Top 3 predictors</w:t>
            </w:r>
          </w:p>
        </w:tc>
      </w:tr>
      <w:tr w:rsidR="00270F69" w:rsidRPr="001F7B36" w14:paraId="458E842B" w14:textId="77777777">
        <w:trPr>
          <w:jc w:val="center"/>
        </w:trPr>
        <w:tc>
          <w:tcPr>
            <w:tcW w:w="4968" w:type="dxa"/>
          </w:tcPr>
          <w:p w14:paraId="777DB5BD"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Decision Tree</w:t>
            </w:r>
          </w:p>
        </w:tc>
        <w:tc>
          <w:tcPr>
            <w:tcW w:w="4968" w:type="dxa"/>
          </w:tcPr>
          <w:p w14:paraId="2CB20C4C"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Glucose, Age, Cholesterol</w:t>
            </w:r>
          </w:p>
        </w:tc>
      </w:tr>
      <w:tr w:rsidR="00270F69" w:rsidRPr="001F7B36" w14:paraId="4EF81943" w14:textId="77777777">
        <w:trPr>
          <w:jc w:val="center"/>
        </w:trPr>
        <w:tc>
          <w:tcPr>
            <w:tcW w:w="4968" w:type="dxa"/>
          </w:tcPr>
          <w:p w14:paraId="0771472E"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Logistic Regression</w:t>
            </w:r>
          </w:p>
        </w:tc>
        <w:tc>
          <w:tcPr>
            <w:tcW w:w="4968" w:type="dxa"/>
          </w:tcPr>
          <w:p w14:paraId="1FC47639"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Glucose, Age, BloodPressure</w:t>
            </w:r>
          </w:p>
        </w:tc>
      </w:tr>
    </w:tbl>
    <w:p w14:paraId="1EEDEDCB"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Different rankings are possible because the tree uses impurity reduction while Logistic Regression uses coefficient magnitude after scaling.</w:t>
      </w:r>
    </w:p>
    <w:p w14:paraId="28C83F0B" w14:textId="77777777" w:rsidR="00270F69" w:rsidRPr="001F7B36" w:rsidRDefault="00000000" w:rsidP="001F7B36">
      <w:pPr>
        <w:pStyle w:val="Heading1"/>
        <w:spacing w:line="360" w:lineRule="auto"/>
        <w:rPr>
          <w:rFonts w:ascii="Times New Roman" w:hAnsi="Times New Roman" w:cs="Times New Roman"/>
        </w:rPr>
      </w:pPr>
      <w:r w:rsidRPr="001F7B36">
        <w:rPr>
          <w:rFonts w:ascii="Times New Roman" w:hAnsi="Times New Roman" w:cs="Times New Roman"/>
        </w:rPr>
        <w:lastRenderedPageBreak/>
        <w:t>Task 4: Reinforcement Learning for Treatment Recommendation</w:t>
      </w:r>
    </w:p>
    <w:p w14:paraId="2527489D" w14:textId="77777777" w:rsidR="00270F69" w:rsidRPr="001F7B36" w:rsidRDefault="00000000" w:rsidP="001F7B36">
      <w:pPr>
        <w:pStyle w:val="Heading2"/>
        <w:spacing w:line="360" w:lineRule="auto"/>
        <w:rPr>
          <w:rFonts w:ascii="Times New Roman" w:hAnsi="Times New Roman" w:cs="Times New Roman"/>
          <w:sz w:val="28"/>
          <w:szCs w:val="28"/>
        </w:rPr>
      </w:pPr>
      <w:r w:rsidRPr="001F7B36">
        <w:rPr>
          <w:rFonts w:ascii="Times New Roman" w:hAnsi="Times New Roman" w:cs="Times New Roman"/>
          <w:sz w:val="28"/>
          <w:szCs w:val="28"/>
        </w:rPr>
        <w:t>4(a) MDP</w:t>
      </w:r>
    </w:p>
    <w:tbl>
      <w:tblPr>
        <w:tblStyle w:val="TableGrid"/>
        <w:tblW w:w="0" w:type="auto"/>
        <w:jc w:val="center"/>
        <w:tblLook w:val="04A0" w:firstRow="1" w:lastRow="0" w:firstColumn="1" w:lastColumn="0" w:noHBand="0" w:noVBand="1"/>
      </w:tblPr>
      <w:tblGrid>
        <w:gridCol w:w="4963"/>
        <w:gridCol w:w="4963"/>
      </w:tblGrid>
      <w:tr w:rsidR="00270F69" w:rsidRPr="001F7B36" w14:paraId="5135B2E3" w14:textId="77777777">
        <w:trPr>
          <w:jc w:val="center"/>
        </w:trPr>
        <w:tc>
          <w:tcPr>
            <w:tcW w:w="4968" w:type="dxa"/>
            <w:vAlign w:val="center"/>
          </w:tcPr>
          <w:p w14:paraId="6F196AAD"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Component</w:t>
            </w:r>
          </w:p>
        </w:tc>
        <w:tc>
          <w:tcPr>
            <w:tcW w:w="4968" w:type="dxa"/>
            <w:vAlign w:val="center"/>
          </w:tcPr>
          <w:p w14:paraId="3D1E5F2A"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Definition</w:t>
            </w:r>
          </w:p>
        </w:tc>
      </w:tr>
      <w:tr w:rsidR="00270F69" w:rsidRPr="001F7B36" w14:paraId="6B152949" w14:textId="77777777">
        <w:trPr>
          <w:jc w:val="center"/>
        </w:trPr>
        <w:tc>
          <w:tcPr>
            <w:tcW w:w="4968" w:type="dxa"/>
          </w:tcPr>
          <w:p w14:paraId="141C8622"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States</w:t>
            </w:r>
          </w:p>
        </w:tc>
        <w:tc>
          <w:tcPr>
            <w:tcW w:w="4968" w:type="dxa"/>
          </w:tcPr>
          <w:p w14:paraId="25528DC3"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Stable/low risk, elevated risk, poor control, improving.</w:t>
            </w:r>
          </w:p>
        </w:tc>
      </w:tr>
      <w:tr w:rsidR="00270F69" w:rsidRPr="001F7B36" w14:paraId="2F50B8CD" w14:textId="77777777">
        <w:trPr>
          <w:jc w:val="center"/>
        </w:trPr>
        <w:tc>
          <w:tcPr>
            <w:tcW w:w="4968" w:type="dxa"/>
          </w:tcPr>
          <w:p w14:paraId="25DDBF3F"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Actions</w:t>
            </w:r>
          </w:p>
        </w:tc>
        <w:tc>
          <w:tcPr>
            <w:tcW w:w="4968" w:type="dxa"/>
          </w:tcPr>
          <w:p w14:paraId="46FE92C0"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Diet, Exercise, Medication, Monitor.</w:t>
            </w:r>
          </w:p>
        </w:tc>
      </w:tr>
      <w:tr w:rsidR="00270F69" w:rsidRPr="001F7B36" w14:paraId="40371CB6" w14:textId="77777777">
        <w:trPr>
          <w:jc w:val="center"/>
        </w:trPr>
        <w:tc>
          <w:tcPr>
            <w:tcW w:w="4968" w:type="dxa"/>
          </w:tcPr>
          <w:p w14:paraId="46CE5D4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Reward</w:t>
            </w:r>
          </w:p>
        </w:tc>
        <w:tc>
          <w:tcPr>
            <w:tcW w:w="4968" w:type="dxa"/>
          </w:tcPr>
          <w:p w14:paraId="75DD273C"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Positive for health improvement; negative for deterioration or unsafe outcomes.</w:t>
            </w:r>
          </w:p>
        </w:tc>
      </w:tr>
      <w:tr w:rsidR="00270F69" w:rsidRPr="001F7B36" w14:paraId="4BAC113D" w14:textId="77777777">
        <w:trPr>
          <w:jc w:val="center"/>
        </w:trPr>
        <w:tc>
          <w:tcPr>
            <w:tcW w:w="4968" w:type="dxa"/>
          </w:tcPr>
          <w:p w14:paraId="1D554BF5"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Transitions</w:t>
            </w:r>
          </w:p>
        </w:tc>
        <w:tc>
          <w:tcPr>
            <w:tcW w:w="4968" w:type="dxa"/>
          </w:tcPr>
          <w:p w14:paraId="6C4FC7AC"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Movement between health states after actions, learned from longitudinal data and constrained by clinical knowledge.</w:t>
            </w:r>
          </w:p>
        </w:tc>
      </w:tr>
    </w:tbl>
    <w:p w14:paraId="231E1F76" w14:textId="77777777" w:rsidR="00270F69" w:rsidRPr="001F7B36" w:rsidRDefault="00000000" w:rsidP="001F7B36">
      <w:pPr>
        <w:pStyle w:val="Heading2"/>
        <w:spacing w:line="360" w:lineRule="auto"/>
        <w:rPr>
          <w:rFonts w:ascii="Times New Roman" w:hAnsi="Times New Roman" w:cs="Times New Roman"/>
          <w:sz w:val="28"/>
          <w:szCs w:val="28"/>
        </w:rPr>
      </w:pPr>
      <w:r w:rsidRPr="001F7B36">
        <w:rPr>
          <w:rFonts w:ascii="Times New Roman" w:hAnsi="Times New Roman" w:cs="Times New Roman"/>
          <w:sz w:val="28"/>
          <w:szCs w:val="28"/>
        </w:rPr>
        <w:t>4(b) Q-Learning</w:t>
      </w:r>
    </w:p>
    <w:p w14:paraId="55A9C49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Q-learning update: Q(</w:t>
      </w:r>
      <w:proofErr w:type="gramStart"/>
      <w:r w:rsidRPr="001F7B36">
        <w:rPr>
          <w:rFonts w:ascii="Times New Roman" w:hAnsi="Times New Roman" w:cs="Times New Roman"/>
          <w:sz w:val="28"/>
          <w:szCs w:val="28"/>
        </w:rPr>
        <w:t>s,a</w:t>
      </w:r>
      <w:proofErr w:type="gramEnd"/>
      <w:r w:rsidRPr="001F7B36">
        <w:rPr>
          <w:rFonts w:ascii="Times New Roman" w:hAnsi="Times New Roman" w:cs="Times New Roman"/>
          <w:sz w:val="28"/>
          <w:szCs w:val="28"/>
        </w:rPr>
        <w:t>) = Q(</w:t>
      </w:r>
      <w:proofErr w:type="gramStart"/>
      <w:r w:rsidRPr="001F7B36">
        <w:rPr>
          <w:rFonts w:ascii="Times New Roman" w:hAnsi="Times New Roman" w:cs="Times New Roman"/>
          <w:sz w:val="28"/>
          <w:szCs w:val="28"/>
        </w:rPr>
        <w:t>s,a</w:t>
      </w:r>
      <w:proofErr w:type="gramEnd"/>
      <w:r w:rsidRPr="001F7B36">
        <w:rPr>
          <w:rFonts w:ascii="Times New Roman" w:hAnsi="Times New Roman" w:cs="Times New Roman"/>
          <w:sz w:val="28"/>
          <w:szCs w:val="28"/>
        </w:rPr>
        <w:t xml:space="preserve">) + </w:t>
      </w:r>
      <w:proofErr w:type="gramStart"/>
      <w:r w:rsidRPr="001F7B36">
        <w:rPr>
          <w:rFonts w:ascii="Times New Roman" w:hAnsi="Times New Roman" w:cs="Times New Roman"/>
          <w:sz w:val="28"/>
          <w:szCs w:val="28"/>
        </w:rPr>
        <w:t>α[</w:t>
      </w:r>
      <w:proofErr w:type="gramEnd"/>
      <w:r w:rsidRPr="001F7B36">
        <w:rPr>
          <w:rFonts w:ascii="Times New Roman" w:hAnsi="Times New Roman" w:cs="Times New Roman"/>
          <w:sz w:val="28"/>
          <w:szCs w:val="28"/>
        </w:rPr>
        <w:t>r + γ max Q(s</w:t>
      </w:r>
      <w:proofErr w:type="gramStart"/>
      <w:r w:rsidRPr="001F7B36">
        <w:rPr>
          <w:rFonts w:ascii="Times New Roman" w:hAnsi="Times New Roman" w:cs="Times New Roman"/>
          <w:sz w:val="28"/>
          <w:szCs w:val="28"/>
        </w:rPr>
        <w:t>',a</w:t>
      </w:r>
      <w:proofErr w:type="gramEnd"/>
      <w:r w:rsidRPr="001F7B36">
        <w:rPr>
          <w:rFonts w:ascii="Times New Roman" w:hAnsi="Times New Roman" w:cs="Times New Roman"/>
          <w:sz w:val="28"/>
          <w:szCs w:val="28"/>
        </w:rPr>
        <w:t>') − Q(</w:t>
      </w:r>
      <w:proofErr w:type="gramStart"/>
      <w:r w:rsidRPr="001F7B36">
        <w:rPr>
          <w:rFonts w:ascii="Times New Roman" w:hAnsi="Times New Roman" w:cs="Times New Roman"/>
          <w:sz w:val="28"/>
          <w:szCs w:val="28"/>
        </w:rPr>
        <w:t>s,a</w:t>
      </w:r>
      <w:proofErr w:type="gramEnd"/>
      <w:r w:rsidRPr="001F7B36">
        <w:rPr>
          <w:rFonts w:ascii="Times New Roman" w:hAnsi="Times New Roman" w:cs="Times New Roman"/>
          <w:sz w:val="28"/>
          <w:szCs w:val="28"/>
        </w:rPr>
        <w:t>)]. Example hyperparameters: α=0.1, γ=0.9, ε=0.2.</w:t>
      </w:r>
    </w:p>
    <w:tbl>
      <w:tblPr>
        <w:tblStyle w:val="TableGrid"/>
        <w:tblW w:w="0" w:type="auto"/>
        <w:jc w:val="center"/>
        <w:tblLook w:val="04A0" w:firstRow="1" w:lastRow="0" w:firstColumn="1" w:lastColumn="0" w:noHBand="0" w:noVBand="1"/>
      </w:tblPr>
      <w:tblGrid>
        <w:gridCol w:w="1420"/>
        <w:gridCol w:w="1418"/>
        <w:gridCol w:w="1418"/>
        <w:gridCol w:w="1418"/>
        <w:gridCol w:w="1417"/>
        <w:gridCol w:w="1418"/>
        <w:gridCol w:w="1417"/>
      </w:tblGrid>
      <w:tr w:rsidR="00270F69" w:rsidRPr="001F7B36" w14:paraId="54F4D846" w14:textId="77777777">
        <w:trPr>
          <w:jc w:val="center"/>
        </w:trPr>
        <w:tc>
          <w:tcPr>
            <w:tcW w:w="1419" w:type="dxa"/>
            <w:vAlign w:val="center"/>
          </w:tcPr>
          <w:p w14:paraId="6CE79CB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Iteration</w:t>
            </w:r>
          </w:p>
        </w:tc>
        <w:tc>
          <w:tcPr>
            <w:tcW w:w="1419" w:type="dxa"/>
            <w:vAlign w:val="center"/>
          </w:tcPr>
          <w:p w14:paraId="0C73D361"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State</w:t>
            </w:r>
          </w:p>
        </w:tc>
        <w:tc>
          <w:tcPr>
            <w:tcW w:w="1419" w:type="dxa"/>
            <w:vAlign w:val="center"/>
          </w:tcPr>
          <w:p w14:paraId="5280DB0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Action</w:t>
            </w:r>
          </w:p>
        </w:tc>
        <w:tc>
          <w:tcPr>
            <w:tcW w:w="1419" w:type="dxa"/>
            <w:vAlign w:val="center"/>
          </w:tcPr>
          <w:p w14:paraId="345F4428"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Reward</w:t>
            </w:r>
          </w:p>
        </w:tc>
        <w:tc>
          <w:tcPr>
            <w:tcW w:w="1419" w:type="dxa"/>
            <w:vAlign w:val="center"/>
          </w:tcPr>
          <w:p w14:paraId="45C6773E"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Old Q</w:t>
            </w:r>
          </w:p>
        </w:tc>
        <w:tc>
          <w:tcPr>
            <w:tcW w:w="1419" w:type="dxa"/>
            <w:vAlign w:val="center"/>
          </w:tcPr>
          <w:p w14:paraId="69D94EA7"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Target</w:t>
            </w:r>
          </w:p>
        </w:tc>
        <w:tc>
          <w:tcPr>
            <w:tcW w:w="1419" w:type="dxa"/>
            <w:vAlign w:val="center"/>
          </w:tcPr>
          <w:p w14:paraId="50AB414C"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New Q</w:t>
            </w:r>
          </w:p>
        </w:tc>
      </w:tr>
      <w:tr w:rsidR="00270F69" w:rsidRPr="001F7B36" w14:paraId="10CE269D" w14:textId="77777777">
        <w:trPr>
          <w:jc w:val="center"/>
        </w:trPr>
        <w:tc>
          <w:tcPr>
            <w:tcW w:w="1419" w:type="dxa"/>
          </w:tcPr>
          <w:p w14:paraId="5019E333"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1</w:t>
            </w:r>
          </w:p>
        </w:tc>
        <w:tc>
          <w:tcPr>
            <w:tcW w:w="1419" w:type="dxa"/>
          </w:tcPr>
          <w:p w14:paraId="0C2DF957"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Stable</w:t>
            </w:r>
          </w:p>
        </w:tc>
        <w:tc>
          <w:tcPr>
            <w:tcW w:w="1419" w:type="dxa"/>
          </w:tcPr>
          <w:p w14:paraId="5AC341F7"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Monitor</w:t>
            </w:r>
          </w:p>
        </w:tc>
        <w:tc>
          <w:tcPr>
            <w:tcW w:w="1419" w:type="dxa"/>
          </w:tcPr>
          <w:p w14:paraId="0FC685E3"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-1</w:t>
            </w:r>
          </w:p>
        </w:tc>
        <w:tc>
          <w:tcPr>
            <w:tcW w:w="1419" w:type="dxa"/>
          </w:tcPr>
          <w:p w14:paraId="4E0B112F"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0.00</w:t>
            </w:r>
          </w:p>
        </w:tc>
        <w:tc>
          <w:tcPr>
            <w:tcW w:w="1419" w:type="dxa"/>
          </w:tcPr>
          <w:p w14:paraId="199F0900"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-1.00</w:t>
            </w:r>
          </w:p>
        </w:tc>
        <w:tc>
          <w:tcPr>
            <w:tcW w:w="1419" w:type="dxa"/>
          </w:tcPr>
          <w:p w14:paraId="0528FF13"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-0.10</w:t>
            </w:r>
          </w:p>
        </w:tc>
      </w:tr>
      <w:tr w:rsidR="00270F69" w:rsidRPr="001F7B36" w14:paraId="7B3ACBF8" w14:textId="77777777">
        <w:trPr>
          <w:jc w:val="center"/>
        </w:trPr>
        <w:tc>
          <w:tcPr>
            <w:tcW w:w="1419" w:type="dxa"/>
          </w:tcPr>
          <w:p w14:paraId="4FAC1D0A"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1</w:t>
            </w:r>
          </w:p>
        </w:tc>
        <w:tc>
          <w:tcPr>
            <w:tcW w:w="1419" w:type="dxa"/>
          </w:tcPr>
          <w:p w14:paraId="18E2F7D4"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Stable</w:t>
            </w:r>
          </w:p>
        </w:tc>
        <w:tc>
          <w:tcPr>
            <w:tcW w:w="1419" w:type="dxa"/>
          </w:tcPr>
          <w:p w14:paraId="564A48C5"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Diet</w:t>
            </w:r>
          </w:p>
        </w:tc>
        <w:tc>
          <w:tcPr>
            <w:tcW w:w="1419" w:type="dxa"/>
          </w:tcPr>
          <w:p w14:paraId="7AD695B7"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2</w:t>
            </w:r>
          </w:p>
        </w:tc>
        <w:tc>
          <w:tcPr>
            <w:tcW w:w="1419" w:type="dxa"/>
          </w:tcPr>
          <w:p w14:paraId="153A79C1"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0.00</w:t>
            </w:r>
          </w:p>
        </w:tc>
        <w:tc>
          <w:tcPr>
            <w:tcW w:w="1419" w:type="dxa"/>
          </w:tcPr>
          <w:p w14:paraId="7F5DA6B8"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2.00</w:t>
            </w:r>
          </w:p>
        </w:tc>
        <w:tc>
          <w:tcPr>
            <w:tcW w:w="1419" w:type="dxa"/>
          </w:tcPr>
          <w:p w14:paraId="46D1D73B"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0.20</w:t>
            </w:r>
          </w:p>
        </w:tc>
      </w:tr>
      <w:tr w:rsidR="00270F69" w:rsidRPr="001F7B36" w14:paraId="1D6C3591" w14:textId="77777777">
        <w:trPr>
          <w:jc w:val="center"/>
        </w:trPr>
        <w:tc>
          <w:tcPr>
            <w:tcW w:w="1419" w:type="dxa"/>
          </w:tcPr>
          <w:p w14:paraId="19AFEB9F"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2</w:t>
            </w:r>
          </w:p>
        </w:tc>
        <w:tc>
          <w:tcPr>
            <w:tcW w:w="1419" w:type="dxa"/>
          </w:tcPr>
          <w:p w14:paraId="0CEEF66D"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Stable</w:t>
            </w:r>
          </w:p>
        </w:tc>
        <w:tc>
          <w:tcPr>
            <w:tcW w:w="1419" w:type="dxa"/>
          </w:tcPr>
          <w:p w14:paraId="467067E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Diet</w:t>
            </w:r>
          </w:p>
        </w:tc>
        <w:tc>
          <w:tcPr>
            <w:tcW w:w="1419" w:type="dxa"/>
          </w:tcPr>
          <w:p w14:paraId="614EB42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3</w:t>
            </w:r>
          </w:p>
        </w:tc>
        <w:tc>
          <w:tcPr>
            <w:tcW w:w="1419" w:type="dxa"/>
          </w:tcPr>
          <w:p w14:paraId="23620E97"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0.20</w:t>
            </w:r>
          </w:p>
        </w:tc>
        <w:tc>
          <w:tcPr>
            <w:tcW w:w="1419" w:type="dxa"/>
          </w:tcPr>
          <w:p w14:paraId="03D68935"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3.00</w:t>
            </w:r>
          </w:p>
        </w:tc>
        <w:tc>
          <w:tcPr>
            <w:tcW w:w="1419" w:type="dxa"/>
          </w:tcPr>
          <w:p w14:paraId="585A5B44"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0.48</w:t>
            </w:r>
          </w:p>
        </w:tc>
      </w:tr>
    </w:tbl>
    <w:p w14:paraId="5B4FCACC"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For the required five or more patient episodes, the same update should be applied to longitudinal patient trajectories. Convergence can be defined using a small maximum Q-table change for several consecutive episodes plus stabilisation of average reward.</w:t>
      </w:r>
    </w:p>
    <w:p w14:paraId="1F23ED1F" w14:textId="77777777" w:rsidR="00270F69" w:rsidRPr="001F7B36" w:rsidRDefault="00000000" w:rsidP="001F7B36">
      <w:pPr>
        <w:pStyle w:val="Heading2"/>
        <w:spacing w:line="360" w:lineRule="auto"/>
        <w:rPr>
          <w:rFonts w:ascii="Times New Roman" w:hAnsi="Times New Roman" w:cs="Times New Roman"/>
          <w:sz w:val="28"/>
          <w:szCs w:val="28"/>
        </w:rPr>
      </w:pPr>
      <w:r w:rsidRPr="001F7B36">
        <w:rPr>
          <w:rFonts w:ascii="Times New Roman" w:hAnsi="Times New Roman" w:cs="Times New Roman"/>
          <w:sz w:val="28"/>
          <w:szCs w:val="28"/>
        </w:rPr>
        <w:t>4(c) Final policy and ethics</w:t>
      </w:r>
    </w:p>
    <w:tbl>
      <w:tblPr>
        <w:tblStyle w:val="TableGrid"/>
        <w:tblW w:w="0" w:type="auto"/>
        <w:jc w:val="center"/>
        <w:tblLook w:val="04A0" w:firstRow="1" w:lastRow="0" w:firstColumn="1" w:lastColumn="0" w:noHBand="0" w:noVBand="1"/>
      </w:tblPr>
      <w:tblGrid>
        <w:gridCol w:w="4963"/>
        <w:gridCol w:w="4963"/>
      </w:tblGrid>
      <w:tr w:rsidR="00270F69" w:rsidRPr="001F7B36" w14:paraId="6A116DB2" w14:textId="77777777">
        <w:trPr>
          <w:jc w:val="center"/>
        </w:trPr>
        <w:tc>
          <w:tcPr>
            <w:tcW w:w="4968" w:type="dxa"/>
            <w:vAlign w:val="center"/>
          </w:tcPr>
          <w:p w14:paraId="404C7F2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Patient state</w:t>
            </w:r>
          </w:p>
        </w:tc>
        <w:tc>
          <w:tcPr>
            <w:tcW w:w="4968" w:type="dxa"/>
            <w:vAlign w:val="center"/>
          </w:tcPr>
          <w:p w14:paraId="51B6BA2F"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b/>
                <w:sz w:val="28"/>
                <w:szCs w:val="28"/>
              </w:rPr>
              <w:t>Illustrative policy</w:t>
            </w:r>
          </w:p>
        </w:tc>
      </w:tr>
      <w:tr w:rsidR="00270F69" w:rsidRPr="001F7B36" w14:paraId="729ED53A" w14:textId="77777777">
        <w:trPr>
          <w:jc w:val="center"/>
        </w:trPr>
        <w:tc>
          <w:tcPr>
            <w:tcW w:w="4968" w:type="dxa"/>
          </w:tcPr>
          <w:p w14:paraId="39AA309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Stable / low risk</w:t>
            </w:r>
          </w:p>
        </w:tc>
        <w:tc>
          <w:tcPr>
            <w:tcW w:w="4968" w:type="dxa"/>
          </w:tcPr>
          <w:p w14:paraId="5116CC0C"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Monitor</w:t>
            </w:r>
          </w:p>
        </w:tc>
      </w:tr>
      <w:tr w:rsidR="00270F69" w:rsidRPr="001F7B36" w14:paraId="54BF7219" w14:textId="77777777">
        <w:trPr>
          <w:jc w:val="center"/>
        </w:trPr>
        <w:tc>
          <w:tcPr>
            <w:tcW w:w="4968" w:type="dxa"/>
          </w:tcPr>
          <w:p w14:paraId="52670F5A"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Elevated risk</w:t>
            </w:r>
          </w:p>
        </w:tc>
        <w:tc>
          <w:tcPr>
            <w:tcW w:w="4968" w:type="dxa"/>
          </w:tcPr>
          <w:p w14:paraId="56C4BE25"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Diet / Exercise</w:t>
            </w:r>
          </w:p>
        </w:tc>
      </w:tr>
      <w:tr w:rsidR="00270F69" w:rsidRPr="001F7B36" w14:paraId="02331676" w14:textId="77777777">
        <w:trPr>
          <w:jc w:val="center"/>
        </w:trPr>
        <w:tc>
          <w:tcPr>
            <w:tcW w:w="4968" w:type="dxa"/>
          </w:tcPr>
          <w:p w14:paraId="4F890F0F"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Poor control</w:t>
            </w:r>
          </w:p>
        </w:tc>
        <w:tc>
          <w:tcPr>
            <w:tcW w:w="4968" w:type="dxa"/>
          </w:tcPr>
          <w:p w14:paraId="58139474"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Medication + clinical review</w:t>
            </w:r>
          </w:p>
        </w:tc>
      </w:tr>
      <w:tr w:rsidR="00270F69" w:rsidRPr="001F7B36" w14:paraId="56776756" w14:textId="77777777">
        <w:trPr>
          <w:jc w:val="center"/>
        </w:trPr>
        <w:tc>
          <w:tcPr>
            <w:tcW w:w="4968" w:type="dxa"/>
          </w:tcPr>
          <w:p w14:paraId="7CF16B0E"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lastRenderedPageBreak/>
              <w:t>Improving</w:t>
            </w:r>
          </w:p>
        </w:tc>
        <w:tc>
          <w:tcPr>
            <w:tcW w:w="4968" w:type="dxa"/>
          </w:tcPr>
          <w:p w14:paraId="54A4EF26"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 xml:space="preserve">Continue effective intervention and </w:t>
            </w:r>
            <w:proofErr w:type="gramStart"/>
            <w:r w:rsidRPr="001F7B36">
              <w:rPr>
                <w:rFonts w:ascii="Times New Roman" w:hAnsi="Times New Roman" w:cs="Times New Roman"/>
                <w:sz w:val="28"/>
                <w:szCs w:val="28"/>
              </w:rPr>
              <w:t>Monitor</w:t>
            </w:r>
            <w:proofErr w:type="gramEnd"/>
          </w:p>
        </w:tc>
      </w:tr>
    </w:tbl>
    <w:p w14:paraId="3DC4229D" w14:textId="77777777" w:rsidR="00270F69" w:rsidRPr="001F7B36" w:rsidRDefault="00000000" w:rsidP="001F7B36">
      <w:pPr>
        <w:spacing w:line="360" w:lineRule="auto"/>
        <w:rPr>
          <w:rFonts w:ascii="Times New Roman" w:hAnsi="Times New Roman" w:cs="Times New Roman"/>
          <w:sz w:val="28"/>
          <w:szCs w:val="28"/>
        </w:rPr>
      </w:pPr>
      <w:r w:rsidRPr="001F7B36">
        <w:rPr>
          <w:rFonts w:ascii="Times New Roman" w:hAnsi="Times New Roman" w:cs="Times New Roman"/>
          <w:sz w:val="28"/>
          <w:szCs w:val="28"/>
        </w:rPr>
        <w:t>Deployment requires patient safety, bias testing, explainability, privacy, auditability and clinician oversight. RL should not autonomously prescribe treatment without rigorous prospective validation and governance.</w:t>
      </w:r>
    </w:p>
    <w:sectPr w:rsidR="00270F69" w:rsidRPr="001F7B36"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000F8" w14:textId="77777777" w:rsidR="002E0458" w:rsidRDefault="002E0458">
      <w:pPr>
        <w:spacing w:after="0" w:line="240" w:lineRule="auto"/>
      </w:pPr>
      <w:r>
        <w:separator/>
      </w:r>
    </w:p>
  </w:endnote>
  <w:endnote w:type="continuationSeparator" w:id="0">
    <w:p w14:paraId="5CD36ED5" w14:textId="77777777" w:rsidR="002E0458" w:rsidRDefault="002E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B75B" w14:textId="77777777" w:rsidR="00270F69" w:rsidRDefault="00000000">
    <w:pPr>
      <w:pStyle w:val="Footer"/>
      <w:jc w:val="center"/>
    </w:pPr>
    <w:r>
      <w:t xml:space="preserve">CSA17 – Artificial Intelligence | CO4 | Page </w:t>
    </w:r>
    <w:r>
      <w:fldChar w:fldCharType="begin"/>
    </w:r>
    <w:r>
      <w:instrText>PAGE</w:instrText>
    </w:r>
    <w:r w:rsidR="001F7B36">
      <w:fldChar w:fldCharType="separate"/>
    </w:r>
    <w:r w:rsidR="001F7B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E1560" w14:textId="77777777" w:rsidR="002E0458" w:rsidRDefault="002E0458">
      <w:pPr>
        <w:spacing w:after="0" w:line="240" w:lineRule="auto"/>
      </w:pPr>
      <w:r>
        <w:separator/>
      </w:r>
    </w:p>
  </w:footnote>
  <w:footnote w:type="continuationSeparator" w:id="0">
    <w:p w14:paraId="6BFC78B9" w14:textId="77777777" w:rsidR="002E0458" w:rsidRDefault="002E0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337914">
    <w:abstractNumId w:val="8"/>
  </w:num>
  <w:num w:numId="2" w16cid:durableId="130248969">
    <w:abstractNumId w:val="6"/>
  </w:num>
  <w:num w:numId="3" w16cid:durableId="979192452">
    <w:abstractNumId w:val="5"/>
  </w:num>
  <w:num w:numId="4" w16cid:durableId="46613798">
    <w:abstractNumId w:val="4"/>
  </w:num>
  <w:num w:numId="5" w16cid:durableId="525412137">
    <w:abstractNumId w:val="7"/>
  </w:num>
  <w:num w:numId="6" w16cid:durableId="1841038344">
    <w:abstractNumId w:val="3"/>
  </w:num>
  <w:num w:numId="7" w16cid:durableId="981080405">
    <w:abstractNumId w:val="2"/>
  </w:num>
  <w:num w:numId="8" w16cid:durableId="385566119">
    <w:abstractNumId w:val="1"/>
  </w:num>
  <w:num w:numId="9" w16cid:durableId="37462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7B36"/>
    <w:rsid w:val="00270F69"/>
    <w:rsid w:val="0029639D"/>
    <w:rsid w:val="002E0458"/>
    <w:rsid w:val="00326F90"/>
    <w:rsid w:val="00AA1D8D"/>
    <w:rsid w:val="00B47730"/>
    <w:rsid w:val="00CB0664"/>
    <w:rsid w:val="00CF5894"/>
    <w:rsid w:val="00F36B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52DEE"/>
  <w14:defaultImageDpi w14:val="300"/>
  <w15:docId w15:val="{E795D448-1D45-4F94-A1F9-9181BFE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2026-08-18T11:12:00Z</dcterms:created>
  <dcterms:modified xsi:type="dcterms:W3CDTF">2026-08-18T11:12:00Z</dcterms:modified>
  <cp:category/>
</cp:coreProperties>
</file>