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CD2E" w14:textId="77777777" w:rsidR="000D2ED0" w:rsidRPr="00FC223D" w:rsidRDefault="00000000" w:rsidP="00FC223D">
      <w:pPr>
        <w:spacing w:line="360" w:lineRule="auto"/>
        <w:jc w:val="center"/>
        <w:rPr>
          <w:rFonts w:ascii="Times New Roman" w:hAnsi="Times New Roman" w:cs="Times New Roman"/>
          <w:sz w:val="28"/>
          <w:szCs w:val="28"/>
        </w:rPr>
      </w:pPr>
      <w:r w:rsidRPr="00FC223D">
        <w:rPr>
          <w:rFonts w:ascii="Times New Roman" w:hAnsi="Times New Roman" w:cs="Times New Roman"/>
          <w:b/>
          <w:sz w:val="28"/>
          <w:szCs w:val="28"/>
        </w:rPr>
        <w:t>ASSESSMENT TOOL 2 – ARTICLE REVIEW</w:t>
      </w:r>
    </w:p>
    <w:p w14:paraId="20164ABC" w14:textId="77777777" w:rsidR="000D2ED0" w:rsidRPr="00FC223D" w:rsidRDefault="00000000" w:rsidP="00FC223D">
      <w:pPr>
        <w:spacing w:line="360" w:lineRule="auto"/>
        <w:jc w:val="center"/>
        <w:rPr>
          <w:rFonts w:ascii="Times New Roman" w:hAnsi="Times New Roman" w:cs="Times New Roman"/>
          <w:sz w:val="28"/>
          <w:szCs w:val="28"/>
        </w:rPr>
      </w:pPr>
      <w:r w:rsidRPr="00FC223D">
        <w:rPr>
          <w:rFonts w:ascii="Times New Roman" w:hAnsi="Times New Roman" w:cs="Times New Roman"/>
          <w:b/>
          <w:sz w:val="28"/>
          <w:szCs w:val="28"/>
        </w:rPr>
        <w:t>Course: Artificial Intelligence | Code: CSA17 | CO4</w:t>
      </w:r>
    </w:p>
    <w:p w14:paraId="123DCCCA" w14:textId="322D6B53"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Student Name:</w:t>
      </w:r>
      <w:r w:rsidR="00FC223D">
        <w:rPr>
          <w:rFonts w:ascii="Times New Roman" w:hAnsi="Times New Roman" w:cs="Times New Roman"/>
          <w:sz w:val="28"/>
          <w:szCs w:val="28"/>
        </w:rPr>
        <w:t xml:space="preserve"> BATHALA HEMANTH KUMAR</w:t>
      </w:r>
    </w:p>
    <w:p w14:paraId="67E62797" w14:textId="61800791"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Register Number:</w:t>
      </w:r>
      <w:r w:rsidR="00FC223D">
        <w:rPr>
          <w:rFonts w:ascii="Times New Roman" w:hAnsi="Times New Roman" w:cs="Times New Roman"/>
          <w:sz w:val="28"/>
          <w:szCs w:val="28"/>
        </w:rPr>
        <w:t xml:space="preserve"> 192324238</w:t>
      </w:r>
    </w:p>
    <w:p w14:paraId="57D1D696"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Selected article: Oh, S. H., Park, J., Lee, S. J., Kang, S., &amp; Mo, J. (2022). Reinforcement learning-based expanded personalized diabetes treatment recommendation using South Korean electronic health records. Expert Systems with Applications, 206, 117932. DOI: 10.1016/j.eswa.2022.117932.</w:t>
      </w:r>
    </w:p>
    <w:p w14:paraId="28222C8F" w14:textId="77777777" w:rsidR="000D2ED0" w:rsidRPr="00FC223D" w:rsidRDefault="00000000" w:rsidP="00FC223D">
      <w:pPr>
        <w:pStyle w:val="Heading1"/>
        <w:spacing w:line="360" w:lineRule="auto"/>
        <w:rPr>
          <w:rFonts w:ascii="Times New Roman" w:hAnsi="Times New Roman" w:cs="Times New Roman"/>
        </w:rPr>
      </w:pPr>
      <w:r w:rsidRPr="00FC223D">
        <w:rPr>
          <w:rFonts w:ascii="Times New Roman" w:hAnsi="Times New Roman" w:cs="Times New Roman"/>
        </w:rPr>
        <w:t>Task 1: Article Summary</w:t>
      </w:r>
    </w:p>
    <w:p w14:paraId="42142B49" w14:textId="77777777"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t>1(a) Citation, domain and problem</w:t>
      </w:r>
    </w:p>
    <w:p w14:paraId="1ACD7859"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Full citation: Sang Ho Oh, Jongyoul Park, Su Jin Lee, Seungyeon Kang, and Jeonghoon Mo, “Reinforcement learning-based expanded personalized diabetes treatment recommendation using South Korean electronic health records,” Expert Systems with Applications, Volume 206, Article 117932, 2022. DOI: 10.1016/j.eswa.2022.117932.</w:t>
      </w:r>
    </w:p>
    <w:p w14:paraId="578EA63A"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Domain: precision medicine and diabetes management. Problem: personalised diabetes treatment recommendation using electronic health records and reinforcement learning.</w:t>
      </w:r>
    </w:p>
    <w:p w14:paraId="168BEC3E" w14:textId="77777777"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t>1(b) Objective and research gap</w:t>
      </w:r>
    </w:p>
    <w:p w14:paraId="10F2D2F4"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 xml:space="preserve">The paper aims to build a personalised diabetes treatment recommendation system from South Korean electronic health records. The authors address the difficulty of representing many patient characteristics in a conventional sequential reinforcement-learning model by expanding the patient state representation and using contextual bandits. The study considers detailed demographic and clinical information, including sex, age, diabetic complications, diabetes duration, family history, smoking, medication intake, BMI, blood pressure and fasting plasma glucose. These variables produce 1,296 patient states and the system considers 15 treatment actions. The authors benchmark the </w:t>
      </w:r>
      <w:r w:rsidRPr="00FC223D">
        <w:rPr>
          <w:rFonts w:ascii="Times New Roman" w:hAnsi="Times New Roman" w:cs="Times New Roman"/>
          <w:sz w:val="28"/>
          <w:szCs w:val="28"/>
        </w:rPr>
        <w:lastRenderedPageBreak/>
        <w:t>proposed method against Q-learning, Thompson sampling, Lin-UCB, Actor-Critic, DQN and D-DQN. The reported findings show that recommendation patterns become more intensive as patient severity increases, and that patients following model recommendations can experience improvements in diabetes-related measures and delayed complications. The research therefore attempts to bridge the gap between simplified RL state representations and the richer patient information used in real clinical treatment decisions.</w:t>
      </w:r>
    </w:p>
    <w:p w14:paraId="4E93989B" w14:textId="77777777" w:rsidR="000D2ED0" w:rsidRPr="00FC223D" w:rsidRDefault="00000000" w:rsidP="00FC223D">
      <w:pPr>
        <w:pStyle w:val="Heading1"/>
        <w:spacing w:line="360" w:lineRule="auto"/>
        <w:rPr>
          <w:rFonts w:ascii="Times New Roman" w:hAnsi="Times New Roman" w:cs="Times New Roman"/>
        </w:rPr>
      </w:pPr>
      <w:r w:rsidRPr="00FC223D">
        <w:rPr>
          <w:rFonts w:ascii="Times New Roman" w:hAnsi="Times New Roman" w:cs="Times New Roman"/>
        </w:rPr>
        <w:t>Task 2: Methodology Analysis</w:t>
      </w:r>
    </w:p>
    <w:p w14:paraId="0F525478" w14:textId="77777777"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t>2(a) Technique and dataset</w:t>
      </w:r>
    </w:p>
    <w:tbl>
      <w:tblPr>
        <w:tblStyle w:val="TableGrid"/>
        <w:tblW w:w="0" w:type="auto"/>
        <w:jc w:val="center"/>
        <w:tblLook w:val="04A0" w:firstRow="1" w:lastRow="0" w:firstColumn="1" w:lastColumn="0" w:noHBand="0" w:noVBand="1"/>
      </w:tblPr>
      <w:tblGrid>
        <w:gridCol w:w="4962"/>
        <w:gridCol w:w="4964"/>
      </w:tblGrid>
      <w:tr w:rsidR="000D2ED0" w:rsidRPr="00FC223D" w14:paraId="67AF2ED9" w14:textId="77777777">
        <w:trPr>
          <w:jc w:val="center"/>
        </w:trPr>
        <w:tc>
          <w:tcPr>
            <w:tcW w:w="4968" w:type="dxa"/>
            <w:vAlign w:val="center"/>
          </w:tcPr>
          <w:p w14:paraId="647F311F"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Item</w:t>
            </w:r>
          </w:p>
        </w:tc>
        <w:tc>
          <w:tcPr>
            <w:tcW w:w="4968" w:type="dxa"/>
            <w:vAlign w:val="center"/>
          </w:tcPr>
          <w:p w14:paraId="7E8C4E92"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Article information</w:t>
            </w:r>
          </w:p>
        </w:tc>
      </w:tr>
      <w:tr w:rsidR="000D2ED0" w:rsidRPr="00FC223D" w14:paraId="2CBF12FE" w14:textId="77777777">
        <w:trPr>
          <w:jc w:val="center"/>
        </w:trPr>
        <w:tc>
          <w:tcPr>
            <w:tcW w:w="4968" w:type="dxa"/>
          </w:tcPr>
          <w:p w14:paraId="46A525C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Technique</w:t>
            </w:r>
          </w:p>
        </w:tc>
        <w:tc>
          <w:tcPr>
            <w:tcW w:w="4968" w:type="dxa"/>
          </w:tcPr>
          <w:p w14:paraId="48A63EAB"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Contextual bandits for personalised treatment recommendation.</w:t>
            </w:r>
          </w:p>
        </w:tc>
      </w:tr>
      <w:tr w:rsidR="000D2ED0" w:rsidRPr="00FC223D" w14:paraId="3359FEE9" w14:textId="77777777">
        <w:trPr>
          <w:jc w:val="center"/>
        </w:trPr>
        <w:tc>
          <w:tcPr>
            <w:tcW w:w="4968" w:type="dxa"/>
          </w:tcPr>
          <w:p w14:paraId="3948713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Dataset source</w:t>
            </w:r>
          </w:p>
        </w:tc>
        <w:tc>
          <w:tcPr>
            <w:tcW w:w="4968" w:type="dxa"/>
          </w:tcPr>
          <w:p w14:paraId="2B2B334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South Korean National Health Insurance Sharing Service (NHISS) electronic health records.</w:t>
            </w:r>
          </w:p>
        </w:tc>
      </w:tr>
      <w:tr w:rsidR="000D2ED0" w:rsidRPr="00FC223D" w14:paraId="5BD68E80" w14:textId="77777777">
        <w:trPr>
          <w:jc w:val="center"/>
        </w:trPr>
        <w:tc>
          <w:tcPr>
            <w:tcW w:w="4968" w:type="dxa"/>
          </w:tcPr>
          <w:p w14:paraId="1E94F043"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State representation</w:t>
            </w:r>
          </w:p>
        </w:tc>
        <w:tc>
          <w:tcPr>
            <w:tcW w:w="4968" w:type="dxa"/>
          </w:tcPr>
          <w:p w14:paraId="52D1F5FB"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Eight groups of clinical/demographic variables producing 1,296 states.</w:t>
            </w:r>
          </w:p>
        </w:tc>
      </w:tr>
      <w:tr w:rsidR="000D2ED0" w:rsidRPr="00FC223D" w14:paraId="4182408C" w14:textId="77777777">
        <w:trPr>
          <w:jc w:val="center"/>
        </w:trPr>
        <w:tc>
          <w:tcPr>
            <w:tcW w:w="4968" w:type="dxa"/>
          </w:tcPr>
          <w:p w14:paraId="5125A90E"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Actions</w:t>
            </w:r>
          </w:p>
        </w:tc>
        <w:tc>
          <w:tcPr>
            <w:tcW w:w="4968" w:type="dxa"/>
          </w:tcPr>
          <w:p w14:paraId="2CD34EC9"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15 medication-treatment actions.</w:t>
            </w:r>
          </w:p>
        </w:tc>
      </w:tr>
      <w:tr w:rsidR="000D2ED0" w:rsidRPr="00FC223D" w14:paraId="44B8CF2B" w14:textId="77777777">
        <w:trPr>
          <w:jc w:val="center"/>
        </w:trPr>
        <w:tc>
          <w:tcPr>
            <w:tcW w:w="4968" w:type="dxa"/>
          </w:tcPr>
          <w:p w14:paraId="3CF3184C"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Availability</w:t>
            </w:r>
          </w:p>
        </w:tc>
        <w:tc>
          <w:tcPr>
            <w:tcW w:w="4968" w:type="dxa"/>
          </w:tcPr>
          <w:p w14:paraId="54F7E27E"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Not publicly available because of patient-data restrictions; access requires appropriate request/payment conditions.</w:t>
            </w:r>
          </w:p>
        </w:tc>
      </w:tr>
      <w:tr w:rsidR="000D2ED0" w:rsidRPr="00FC223D" w14:paraId="65701E3A" w14:textId="77777777">
        <w:trPr>
          <w:jc w:val="center"/>
        </w:trPr>
        <w:tc>
          <w:tcPr>
            <w:tcW w:w="4968" w:type="dxa"/>
          </w:tcPr>
          <w:p w14:paraId="00F084D5"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Ethics</w:t>
            </w:r>
          </w:p>
        </w:tc>
        <w:tc>
          <w:tcPr>
            <w:tcW w:w="4968" w:type="dxa"/>
          </w:tcPr>
          <w:p w14:paraId="26249B8C"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IRB approval reported: Seoul National University of Science and Technology, IRB No. 2021-0030-01.</w:t>
            </w:r>
          </w:p>
        </w:tc>
      </w:tr>
    </w:tbl>
    <w:p w14:paraId="6974C1C8" w14:textId="77777777" w:rsidR="00FC223D" w:rsidRDefault="00FC223D" w:rsidP="00FC223D">
      <w:pPr>
        <w:pStyle w:val="Heading2"/>
        <w:spacing w:line="360" w:lineRule="auto"/>
        <w:rPr>
          <w:rFonts w:ascii="Times New Roman" w:hAnsi="Times New Roman" w:cs="Times New Roman"/>
          <w:sz w:val="28"/>
          <w:szCs w:val="28"/>
        </w:rPr>
      </w:pPr>
    </w:p>
    <w:p w14:paraId="194490A5" w14:textId="07AF419C"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t>2(b) CO4 mapping, strength and limitation</w:t>
      </w:r>
    </w:p>
    <w:tbl>
      <w:tblPr>
        <w:tblStyle w:val="TableGrid"/>
        <w:tblW w:w="0" w:type="auto"/>
        <w:jc w:val="center"/>
        <w:tblLook w:val="04A0" w:firstRow="1" w:lastRow="0" w:firstColumn="1" w:lastColumn="0" w:noHBand="0" w:noVBand="1"/>
      </w:tblPr>
      <w:tblGrid>
        <w:gridCol w:w="4963"/>
        <w:gridCol w:w="4963"/>
      </w:tblGrid>
      <w:tr w:rsidR="000D2ED0" w:rsidRPr="00FC223D" w14:paraId="34A65B0B" w14:textId="77777777">
        <w:trPr>
          <w:jc w:val="center"/>
        </w:trPr>
        <w:tc>
          <w:tcPr>
            <w:tcW w:w="4968" w:type="dxa"/>
            <w:vAlign w:val="center"/>
          </w:tcPr>
          <w:p w14:paraId="766DC595"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CO4 topic</w:t>
            </w:r>
          </w:p>
        </w:tc>
        <w:tc>
          <w:tcPr>
            <w:tcW w:w="4968" w:type="dxa"/>
            <w:vAlign w:val="center"/>
          </w:tcPr>
          <w:p w14:paraId="6C41D572"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Mapping</w:t>
            </w:r>
          </w:p>
        </w:tc>
      </w:tr>
      <w:tr w:rsidR="000D2ED0" w:rsidRPr="00FC223D" w14:paraId="46E61C1C" w14:textId="77777777">
        <w:trPr>
          <w:jc w:val="center"/>
        </w:trPr>
        <w:tc>
          <w:tcPr>
            <w:tcW w:w="4968" w:type="dxa"/>
          </w:tcPr>
          <w:p w14:paraId="6CFF8CBC"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Reinforcement Learning</w:t>
            </w:r>
          </w:p>
        </w:tc>
        <w:tc>
          <w:tcPr>
            <w:tcW w:w="4968" w:type="dxa"/>
          </w:tcPr>
          <w:p w14:paraId="22C6FD0A"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Contextual bandits learn treatment actions from patient context and outcome feedback.</w:t>
            </w:r>
          </w:p>
        </w:tc>
      </w:tr>
      <w:tr w:rsidR="000D2ED0" w:rsidRPr="00FC223D" w14:paraId="79B5A825" w14:textId="77777777">
        <w:trPr>
          <w:jc w:val="center"/>
        </w:trPr>
        <w:tc>
          <w:tcPr>
            <w:tcW w:w="4968" w:type="dxa"/>
          </w:tcPr>
          <w:p w14:paraId="04D12FD9"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Decision-making</w:t>
            </w:r>
          </w:p>
        </w:tc>
        <w:tc>
          <w:tcPr>
            <w:tcW w:w="4968" w:type="dxa"/>
          </w:tcPr>
          <w:p w14:paraId="68254ADB"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The policy selects an action for a patient's observed state.</w:t>
            </w:r>
          </w:p>
        </w:tc>
      </w:tr>
      <w:tr w:rsidR="000D2ED0" w:rsidRPr="00FC223D" w14:paraId="79B166D9" w14:textId="77777777">
        <w:trPr>
          <w:jc w:val="center"/>
        </w:trPr>
        <w:tc>
          <w:tcPr>
            <w:tcW w:w="4968" w:type="dxa"/>
          </w:tcPr>
          <w:p w14:paraId="4900858F"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Inductive learning</w:t>
            </w:r>
          </w:p>
        </w:tc>
        <w:tc>
          <w:tcPr>
            <w:tcW w:w="4968" w:type="dxa"/>
          </w:tcPr>
          <w:p w14:paraId="34108B0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The learned policy generalises from historical EHR observations.</w:t>
            </w:r>
          </w:p>
        </w:tc>
      </w:tr>
    </w:tbl>
    <w:p w14:paraId="25C38998"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Strength: richer patient-state representation and comparison against several RL baselines. Limitation: the work relies on one South Korean EHR source and does not include HbA1c, an important diabetes indicator. Observational historical data can also inherit existing prescribing biases.</w:t>
      </w:r>
    </w:p>
    <w:p w14:paraId="5982624F" w14:textId="77777777" w:rsidR="000D2ED0" w:rsidRPr="00FC223D" w:rsidRDefault="00000000" w:rsidP="00FC223D">
      <w:pPr>
        <w:pStyle w:val="Heading1"/>
        <w:spacing w:line="360" w:lineRule="auto"/>
        <w:rPr>
          <w:rFonts w:ascii="Times New Roman" w:hAnsi="Times New Roman" w:cs="Times New Roman"/>
        </w:rPr>
      </w:pPr>
      <w:r w:rsidRPr="00FC223D">
        <w:rPr>
          <w:rFonts w:ascii="Times New Roman" w:hAnsi="Times New Roman" w:cs="Times New Roman"/>
        </w:rPr>
        <w:t>Task 3: Results &amp; Critical Evaluation</w:t>
      </w:r>
    </w:p>
    <w:tbl>
      <w:tblPr>
        <w:tblStyle w:val="TableGrid"/>
        <w:tblW w:w="0" w:type="auto"/>
        <w:jc w:val="center"/>
        <w:tblLook w:val="04A0" w:firstRow="1" w:lastRow="0" w:firstColumn="1" w:lastColumn="0" w:noHBand="0" w:noVBand="1"/>
      </w:tblPr>
      <w:tblGrid>
        <w:gridCol w:w="4963"/>
        <w:gridCol w:w="4963"/>
      </w:tblGrid>
      <w:tr w:rsidR="000D2ED0" w:rsidRPr="00FC223D" w14:paraId="22EA47D5" w14:textId="77777777">
        <w:trPr>
          <w:jc w:val="center"/>
        </w:trPr>
        <w:tc>
          <w:tcPr>
            <w:tcW w:w="4968" w:type="dxa"/>
            <w:vAlign w:val="center"/>
          </w:tcPr>
          <w:p w14:paraId="7A026596"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Reported result</w:t>
            </w:r>
          </w:p>
        </w:tc>
        <w:tc>
          <w:tcPr>
            <w:tcW w:w="4968" w:type="dxa"/>
            <w:vAlign w:val="center"/>
          </w:tcPr>
          <w:p w14:paraId="4900131E"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Meaning</w:t>
            </w:r>
          </w:p>
        </w:tc>
      </w:tr>
      <w:tr w:rsidR="000D2ED0" w:rsidRPr="00FC223D" w14:paraId="4F84F831" w14:textId="77777777">
        <w:trPr>
          <w:jc w:val="center"/>
        </w:trPr>
        <w:tc>
          <w:tcPr>
            <w:tcW w:w="4968" w:type="dxa"/>
          </w:tcPr>
          <w:p w14:paraId="10D2795E"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1,296 states and 15 actions</w:t>
            </w:r>
          </w:p>
        </w:tc>
        <w:tc>
          <w:tcPr>
            <w:tcW w:w="4968" w:type="dxa"/>
          </w:tcPr>
          <w:p w14:paraId="7586CD75"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Supports a richer treatment-decision representation.</w:t>
            </w:r>
          </w:p>
        </w:tc>
      </w:tr>
      <w:tr w:rsidR="000D2ED0" w:rsidRPr="00FC223D" w14:paraId="0E6EE263" w14:textId="77777777">
        <w:trPr>
          <w:jc w:val="center"/>
        </w:trPr>
        <w:tc>
          <w:tcPr>
            <w:tcW w:w="4968" w:type="dxa"/>
          </w:tcPr>
          <w:p w14:paraId="3B323EDA"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Monotherapy recommendation for patients &gt;45 decreased from 37% to 17% as severity increased</w:t>
            </w:r>
          </w:p>
        </w:tc>
        <w:tc>
          <w:tcPr>
            <w:tcW w:w="4968" w:type="dxa"/>
          </w:tcPr>
          <w:p w14:paraId="11A1FCE0"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The learned policy becomes more intensive for more severe patients.</w:t>
            </w:r>
          </w:p>
        </w:tc>
      </w:tr>
      <w:tr w:rsidR="000D2ED0" w:rsidRPr="00FC223D" w14:paraId="10F0EF4F" w14:textId="77777777">
        <w:trPr>
          <w:jc w:val="center"/>
        </w:trPr>
        <w:tc>
          <w:tcPr>
            <w:tcW w:w="4968" w:type="dxa"/>
          </w:tcPr>
          <w:p w14:paraId="4EEFAE9B"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FPG, BMI and BP decreased for patients following recommendations</w:t>
            </w:r>
          </w:p>
        </w:tc>
        <w:tc>
          <w:tcPr>
            <w:tcW w:w="4968" w:type="dxa"/>
          </w:tcPr>
          <w:p w14:paraId="5C0A4474"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Indicates potential improvement in important clinical measures.</w:t>
            </w:r>
          </w:p>
        </w:tc>
      </w:tr>
      <w:tr w:rsidR="000D2ED0" w:rsidRPr="00FC223D" w14:paraId="589031AD" w14:textId="77777777">
        <w:trPr>
          <w:jc w:val="center"/>
        </w:trPr>
        <w:tc>
          <w:tcPr>
            <w:tcW w:w="4968" w:type="dxa"/>
          </w:tcPr>
          <w:p w14:paraId="06196306"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Complication occurrence was delayed</w:t>
            </w:r>
          </w:p>
        </w:tc>
        <w:tc>
          <w:tcPr>
            <w:tcW w:w="4968" w:type="dxa"/>
          </w:tcPr>
          <w:p w14:paraId="16F88EEF"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Suggests possible long-term benefit, but does not alone establish causality.</w:t>
            </w:r>
          </w:p>
        </w:tc>
      </w:tr>
      <w:tr w:rsidR="000D2ED0" w:rsidRPr="00FC223D" w14:paraId="7402A65D" w14:textId="77777777">
        <w:trPr>
          <w:jc w:val="center"/>
        </w:trPr>
        <w:tc>
          <w:tcPr>
            <w:tcW w:w="4968" w:type="dxa"/>
          </w:tcPr>
          <w:p w14:paraId="2ECEA54C"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Comparison with six RL baselines</w:t>
            </w:r>
          </w:p>
        </w:tc>
        <w:tc>
          <w:tcPr>
            <w:tcW w:w="4968" w:type="dxa"/>
          </w:tcPr>
          <w:p w14:paraId="48A81A38"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Provides a broader benchmark.</w:t>
            </w:r>
          </w:p>
        </w:tc>
      </w:tr>
    </w:tbl>
    <w:p w14:paraId="24B53DB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lastRenderedPageBreak/>
        <w:t>The retrieved article information does not expose every numeric value from all comparison tables, so unsupported accuracy or F1 values are not invented. The evaluation should therefore distinguish the reported clinical trends from causal claims.</w:t>
      </w:r>
    </w:p>
    <w:p w14:paraId="580C652C" w14:textId="77777777"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t>Critical evaluation</w:t>
      </w:r>
    </w:p>
    <w:p w14:paraId="6E9239D3" w14:textId="77777777" w:rsidR="000D2ED0" w:rsidRPr="00FC223D" w:rsidRDefault="00000000" w:rsidP="00FC223D">
      <w:pPr>
        <w:pStyle w:val="ListBullet"/>
        <w:spacing w:line="360" w:lineRule="auto"/>
        <w:rPr>
          <w:rFonts w:ascii="Times New Roman" w:hAnsi="Times New Roman" w:cs="Times New Roman"/>
          <w:sz w:val="28"/>
          <w:szCs w:val="28"/>
        </w:rPr>
      </w:pPr>
      <w:r w:rsidRPr="00FC223D">
        <w:rPr>
          <w:rFonts w:ascii="Times New Roman" w:hAnsi="Times New Roman" w:cs="Times New Roman"/>
          <w:sz w:val="28"/>
          <w:szCs w:val="28"/>
        </w:rPr>
        <w:t>Retrospective observational data cannot by themselves prove that the model caused improved outcomes.</w:t>
      </w:r>
    </w:p>
    <w:p w14:paraId="7AC1429E" w14:textId="77777777" w:rsidR="000D2ED0" w:rsidRPr="00FC223D" w:rsidRDefault="00000000" w:rsidP="00FC223D">
      <w:pPr>
        <w:pStyle w:val="ListBullet"/>
        <w:spacing w:line="360" w:lineRule="auto"/>
        <w:rPr>
          <w:rFonts w:ascii="Times New Roman" w:hAnsi="Times New Roman" w:cs="Times New Roman"/>
          <w:sz w:val="28"/>
          <w:szCs w:val="28"/>
        </w:rPr>
      </w:pPr>
      <w:r w:rsidRPr="00FC223D">
        <w:rPr>
          <w:rFonts w:ascii="Times New Roman" w:hAnsi="Times New Roman" w:cs="Times New Roman"/>
          <w:sz w:val="28"/>
          <w:szCs w:val="28"/>
        </w:rPr>
        <w:t>A single EHR source may encode local population and prescribing biases.</w:t>
      </w:r>
    </w:p>
    <w:p w14:paraId="6325A80C" w14:textId="77777777" w:rsidR="000D2ED0" w:rsidRPr="00FC223D" w:rsidRDefault="00000000" w:rsidP="00FC223D">
      <w:pPr>
        <w:pStyle w:val="ListBullet"/>
        <w:spacing w:line="360" w:lineRule="auto"/>
        <w:rPr>
          <w:rFonts w:ascii="Times New Roman" w:hAnsi="Times New Roman" w:cs="Times New Roman"/>
          <w:sz w:val="28"/>
          <w:szCs w:val="28"/>
        </w:rPr>
      </w:pPr>
      <w:r w:rsidRPr="00FC223D">
        <w:rPr>
          <w:rFonts w:ascii="Times New Roman" w:hAnsi="Times New Roman" w:cs="Times New Roman"/>
          <w:sz w:val="28"/>
          <w:szCs w:val="28"/>
        </w:rPr>
        <w:t>Non-public data make independent replication difficult.</w:t>
      </w:r>
    </w:p>
    <w:p w14:paraId="36ACCFEB" w14:textId="77777777" w:rsidR="000D2ED0" w:rsidRPr="00FC223D" w:rsidRDefault="00000000" w:rsidP="00FC223D">
      <w:pPr>
        <w:pStyle w:val="ListBullet"/>
        <w:spacing w:line="360" w:lineRule="auto"/>
        <w:rPr>
          <w:rFonts w:ascii="Times New Roman" w:hAnsi="Times New Roman" w:cs="Times New Roman"/>
          <w:sz w:val="28"/>
          <w:szCs w:val="28"/>
        </w:rPr>
      </w:pPr>
      <w:r w:rsidRPr="00FC223D">
        <w:rPr>
          <w:rFonts w:ascii="Times New Roman" w:hAnsi="Times New Roman" w:cs="Times New Roman"/>
          <w:sz w:val="28"/>
          <w:szCs w:val="28"/>
        </w:rPr>
        <w:t>External validation on another health system would strengthen generalisability.</w:t>
      </w:r>
    </w:p>
    <w:p w14:paraId="1EB13201" w14:textId="77777777" w:rsidR="000D2ED0" w:rsidRPr="00FC223D" w:rsidRDefault="00000000" w:rsidP="00FC223D">
      <w:pPr>
        <w:pStyle w:val="ListBullet"/>
        <w:spacing w:line="360" w:lineRule="auto"/>
        <w:rPr>
          <w:rFonts w:ascii="Times New Roman" w:hAnsi="Times New Roman" w:cs="Times New Roman"/>
          <w:sz w:val="28"/>
          <w:szCs w:val="28"/>
        </w:rPr>
      </w:pPr>
      <w:r w:rsidRPr="00FC223D">
        <w:rPr>
          <w:rFonts w:ascii="Times New Roman" w:hAnsi="Times New Roman" w:cs="Times New Roman"/>
          <w:sz w:val="28"/>
          <w:szCs w:val="28"/>
        </w:rPr>
        <w:t>Prospective silent trials, subgroup fairness analysis, missing-data sensitivity and clinician review would strengthen the evidence.</w:t>
      </w:r>
    </w:p>
    <w:p w14:paraId="0ED81CB8" w14:textId="77777777"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t>3(c) Real-world applicability</w:t>
      </w:r>
    </w:p>
    <w:p w14:paraId="13D275D8"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The approach could support clinical decision systems that assist physicians with diabetes medication planning. Scaling requires secure EHR interoperability, high-quality longitudinal data, monitoring for distribution shift, privacy protection, computational infrastructure, clinical oversight and regulatory validation. Automation bias, explainability and fairness are important safety concerns.</w:t>
      </w:r>
    </w:p>
    <w:p w14:paraId="0BFF9F63" w14:textId="77777777" w:rsidR="000D2ED0" w:rsidRPr="00FC223D" w:rsidRDefault="00000000" w:rsidP="00FC223D">
      <w:pPr>
        <w:pStyle w:val="Heading1"/>
        <w:spacing w:line="360" w:lineRule="auto"/>
        <w:rPr>
          <w:rFonts w:ascii="Times New Roman" w:hAnsi="Times New Roman" w:cs="Times New Roman"/>
        </w:rPr>
      </w:pPr>
      <w:r w:rsidRPr="00FC223D">
        <w:rPr>
          <w:rFonts w:ascii="Times New Roman" w:hAnsi="Times New Roman" w:cs="Times New Roman"/>
        </w:rPr>
        <w:t>Task 4: Reflection &amp; Learning Outcome</w:t>
      </w:r>
    </w:p>
    <w:tbl>
      <w:tblPr>
        <w:tblStyle w:val="TableGrid"/>
        <w:tblW w:w="0" w:type="auto"/>
        <w:jc w:val="center"/>
        <w:tblLook w:val="04A0" w:firstRow="1" w:lastRow="0" w:firstColumn="1" w:lastColumn="0" w:noHBand="0" w:noVBand="1"/>
      </w:tblPr>
      <w:tblGrid>
        <w:gridCol w:w="4963"/>
        <w:gridCol w:w="4963"/>
      </w:tblGrid>
      <w:tr w:rsidR="000D2ED0" w:rsidRPr="00FC223D" w14:paraId="55EA2BFC" w14:textId="77777777">
        <w:trPr>
          <w:jc w:val="center"/>
        </w:trPr>
        <w:tc>
          <w:tcPr>
            <w:tcW w:w="4968" w:type="dxa"/>
            <w:vAlign w:val="center"/>
          </w:tcPr>
          <w:p w14:paraId="68924A1E"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Insight</w:t>
            </w:r>
          </w:p>
        </w:tc>
        <w:tc>
          <w:tcPr>
            <w:tcW w:w="4968" w:type="dxa"/>
            <w:vAlign w:val="center"/>
          </w:tcPr>
          <w:p w14:paraId="4F3240BB"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b/>
                <w:sz w:val="28"/>
                <w:szCs w:val="28"/>
              </w:rPr>
              <w:t>CO4 concept</w:t>
            </w:r>
          </w:p>
        </w:tc>
      </w:tr>
      <w:tr w:rsidR="000D2ED0" w:rsidRPr="00FC223D" w14:paraId="7E5B9B84" w14:textId="77777777">
        <w:trPr>
          <w:jc w:val="center"/>
        </w:trPr>
        <w:tc>
          <w:tcPr>
            <w:tcW w:w="4968" w:type="dxa"/>
          </w:tcPr>
          <w:p w14:paraId="13A64B86"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Rich patient states are important for sequential decision-making.</w:t>
            </w:r>
          </w:p>
        </w:tc>
        <w:tc>
          <w:tcPr>
            <w:tcW w:w="4968" w:type="dxa"/>
          </w:tcPr>
          <w:p w14:paraId="6DAC1983"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RL / MDP state design</w:t>
            </w:r>
          </w:p>
        </w:tc>
      </w:tr>
      <w:tr w:rsidR="000D2ED0" w:rsidRPr="00FC223D" w14:paraId="5FDEA585" w14:textId="77777777">
        <w:trPr>
          <w:jc w:val="center"/>
        </w:trPr>
        <w:tc>
          <w:tcPr>
            <w:tcW w:w="4968" w:type="dxa"/>
          </w:tcPr>
          <w:p w14:paraId="1B6A0A92"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Contextual bandits can simplify some high-dimensional decision problems.</w:t>
            </w:r>
          </w:p>
        </w:tc>
        <w:tc>
          <w:tcPr>
            <w:tcW w:w="4968" w:type="dxa"/>
          </w:tcPr>
          <w:p w14:paraId="4E24410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Reinforcement Learning</w:t>
            </w:r>
          </w:p>
        </w:tc>
      </w:tr>
      <w:tr w:rsidR="000D2ED0" w:rsidRPr="00FC223D" w14:paraId="1049B420" w14:textId="77777777">
        <w:trPr>
          <w:jc w:val="center"/>
        </w:trPr>
        <w:tc>
          <w:tcPr>
            <w:tcW w:w="4968" w:type="dxa"/>
          </w:tcPr>
          <w:p w14:paraId="7B80B734"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Strong baselines are needed to judge whether a proposed policy is genuinely useful.</w:t>
            </w:r>
          </w:p>
        </w:tc>
        <w:tc>
          <w:tcPr>
            <w:tcW w:w="4968" w:type="dxa"/>
          </w:tcPr>
          <w:p w14:paraId="14014892"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Model evaluation and decision-making</w:t>
            </w:r>
          </w:p>
        </w:tc>
      </w:tr>
    </w:tbl>
    <w:p w14:paraId="768FF41B" w14:textId="77777777" w:rsidR="000D2ED0" w:rsidRPr="00FC223D" w:rsidRDefault="00000000" w:rsidP="00FC223D">
      <w:pPr>
        <w:pStyle w:val="Heading2"/>
        <w:spacing w:line="360" w:lineRule="auto"/>
        <w:rPr>
          <w:rFonts w:ascii="Times New Roman" w:hAnsi="Times New Roman" w:cs="Times New Roman"/>
          <w:sz w:val="28"/>
          <w:szCs w:val="28"/>
        </w:rPr>
      </w:pPr>
      <w:r w:rsidRPr="00FC223D">
        <w:rPr>
          <w:rFonts w:ascii="Times New Roman" w:hAnsi="Times New Roman" w:cs="Times New Roman"/>
          <w:sz w:val="28"/>
          <w:szCs w:val="28"/>
        </w:rPr>
        <w:lastRenderedPageBreak/>
        <w:t>4(b) Proposed extension</w:t>
      </w:r>
    </w:p>
    <w:p w14:paraId="0B94B0C4"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A feasible extension is external validation using a multi-hospital, multi-country EHR dataset while adding HbA1c. The experiment should measure recommendation agreement, safety constraints, calibration, subgroup performance and clinical outcomes. This would directly test transferability and address limitations identified in the study.</w:t>
      </w:r>
    </w:p>
    <w:p w14:paraId="624DF38B" w14:textId="77777777" w:rsidR="000D2ED0" w:rsidRPr="00FC223D" w:rsidRDefault="00000000" w:rsidP="00FC223D">
      <w:pPr>
        <w:pStyle w:val="Heading1"/>
        <w:spacing w:line="360" w:lineRule="auto"/>
        <w:rPr>
          <w:rFonts w:ascii="Times New Roman" w:hAnsi="Times New Roman" w:cs="Times New Roman"/>
        </w:rPr>
      </w:pPr>
      <w:r w:rsidRPr="00FC223D">
        <w:rPr>
          <w:rFonts w:ascii="Times New Roman" w:hAnsi="Times New Roman" w:cs="Times New Roman"/>
        </w:rPr>
        <w:t>Reference</w:t>
      </w:r>
    </w:p>
    <w:p w14:paraId="6384F901" w14:textId="77777777" w:rsidR="000D2ED0" w:rsidRPr="00FC223D" w:rsidRDefault="00000000" w:rsidP="00FC223D">
      <w:pPr>
        <w:spacing w:line="360" w:lineRule="auto"/>
        <w:rPr>
          <w:rFonts w:ascii="Times New Roman" w:hAnsi="Times New Roman" w:cs="Times New Roman"/>
          <w:sz w:val="28"/>
          <w:szCs w:val="28"/>
        </w:rPr>
      </w:pPr>
      <w:r w:rsidRPr="00FC223D">
        <w:rPr>
          <w:rFonts w:ascii="Times New Roman" w:hAnsi="Times New Roman" w:cs="Times New Roman"/>
          <w:sz w:val="28"/>
          <w:szCs w:val="28"/>
        </w:rPr>
        <w:t>Oh, S. H., Park, J., Lee, S. J., Kang, S., &amp; Mo, J. (2022). Reinforcement learning-based expanded personalized diabetes treatment recommendation using South Korean electronic health records. Expert Systems with Applications, 206, 117932. DOI: 10.1016/j.eswa.2022.117932.</w:t>
      </w:r>
    </w:p>
    <w:sectPr w:rsidR="000D2ED0" w:rsidRPr="00FC223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4E845" w14:textId="77777777" w:rsidR="00C906C4" w:rsidRDefault="00C906C4">
      <w:pPr>
        <w:spacing w:after="0" w:line="240" w:lineRule="auto"/>
      </w:pPr>
      <w:r>
        <w:separator/>
      </w:r>
    </w:p>
  </w:endnote>
  <w:endnote w:type="continuationSeparator" w:id="0">
    <w:p w14:paraId="38E5F417" w14:textId="77777777" w:rsidR="00C906C4" w:rsidRDefault="00C90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4A61" w14:textId="77777777" w:rsidR="000D2ED0" w:rsidRDefault="00000000">
    <w:pPr>
      <w:pStyle w:val="Footer"/>
      <w:jc w:val="center"/>
    </w:pPr>
    <w:r>
      <w:t xml:space="preserve">CSA17 – Artificial Intelligence | CO4 | Page </w:t>
    </w:r>
    <w:r>
      <w:fldChar w:fldCharType="begin"/>
    </w:r>
    <w:r>
      <w:instrText>PAGE</w:instrText>
    </w:r>
    <w:r w:rsidR="00FC223D">
      <w:fldChar w:fldCharType="separate"/>
    </w:r>
    <w:r w:rsidR="00FC22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30D3" w14:textId="77777777" w:rsidR="00C906C4" w:rsidRDefault="00C906C4">
      <w:pPr>
        <w:spacing w:after="0" w:line="240" w:lineRule="auto"/>
      </w:pPr>
      <w:r>
        <w:separator/>
      </w:r>
    </w:p>
  </w:footnote>
  <w:footnote w:type="continuationSeparator" w:id="0">
    <w:p w14:paraId="47DC843D" w14:textId="77777777" w:rsidR="00C906C4" w:rsidRDefault="00C90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896792">
    <w:abstractNumId w:val="8"/>
  </w:num>
  <w:num w:numId="2" w16cid:durableId="737440950">
    <w:abstractNumId w:val="6"/>
  </w:num>
  <w:num w:numId="3" w16cid:durableId="1158421758">
    <w:abstractNumId w:val="5"/>
  </w:num>
  <w:num w:numId="4" w16cid:durableId="511267040">
    <w:abstractNumId w:val="4"/>
  </w:num>
  <w:num w:numId="5" w16cid:durableId="879972495">
    <w:abstractNumId w:val="7"/>
  </w:num>
  <w:num w:numId="6" w16cid:durableId="1480609183">
    <w:abstractNumId w:val="3"/>
  </w:num>
  <w:num w:numId="7" w16cid:durableId="694380262">
    <w:abstractNumId w:val="2"/>
  </w:num>
  <w:num w:numId="8" w16cid:durableId="184907076">
    <w:abstractNumId w:val="1"/>
  </w:num>
  <w:num w:numId="9" w16cid:durableId="147478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ED0"/>
    <w:rsid w:val="0015074B"/>
    <w:rsid w:val="0029639D"/>
    <w:rsid w:val="00326F90"/>
    <w:rsid w:val="00465818"/>
    <w:rsid w:val="006636C6"/>
    <w:rsid w:val="00AA1D8D"/>
    <w:rsid w:val="00B47730"/>
    <w:rsid w:val="00C906C4"/>
    <w:rsid w:val="00CB0664"/>
    <w:rsid w:val="00FC2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15F18"/>
  <w14:defaultImageDpi w14:val="300"/>
  <w15:docId w15:val="{A8D2D308-6C55-41C5-80E7-940C1771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2026-08-18T11:15:00Z</dcterms:created>
  <dcterms:modified xsi:type="dcterms:W3CDTF">2026-08-18T11:15:00Z</dcterms:modified>
  <cp:category/>
</cp:coreProperties>
</file>