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5A64BA" w14:textId="28520326" w:rsidR="00205AF9" w:rsidRPr="00467C0C" w:rsidRDefault="00205AF9">
      <w:pPr>
        <w:rPr>
          <w:rFonts w:ascii="微软雅黑" w:eastAsia="微软雅黑" w:hAnsi="微软雅黑"/>
          <w:b/>
          <w:bCs/>
        </w:rPr>
      </w:pPr>
      <w:r w:rsidRPr="00995A60">
        <w:rPr>
          <w:rFonts w:ascii="微软雅黑" w:eastAsia="微软雅黑" w:hAnsi="微软雅黑" w:hint="eastAsia"/>
          <w:b/>
          <w:bCs/>
        </w:rPr>
        <w:t>实际应用中并发点对点查询的需求</w:t>
      </w:r>
    </w:p>
    <w:p w14:paraId="08641B41" w14:textId="37BAC6D9" w:rsidR="00205AF9" w:rsidRPr="00995A60" w:rsidRDefault="00A66E8C">
      <w:pPr>
        <w:rPr>
          <w:rFonts w:ascii="微软雅黑" w:eastAsia="微软雅黑" w:hAnsi="微软雅黑"/>
          <w:b/>
          <w:bCs/>
        </w:rPr>
      </w:pPr>
      <w:r w:rsidRPr="00995A60">
        <w:rPr>
          <w:rFonts w:ascii="微软雅黑" w:eastAsia="微软雅黑" w:hAnsi="微软雅黑" w:hint="eastAsia"/>
          <w:b/>
          <w:bCs/>
        </w:rPr>
        <w:t>1</w:t>
      </w:r>
      <w:r w:rsidRPr="00995A60">
        <w:rPr>
          <w:rFonts w:ascii="微软雅黑" w:eastAsia="微软雅黑" w:hAnsi="微软雅黑"/>
          <w:b/>
          <w:bCs/>
        </w:rPr>
        <w:t>.</w:t>
      </w:r>
      <w:r w:rsidR="00D755F8" w:rsidRPr="00995A60">
        <w:rPr>
          <w:rFonts w:ascii="微软雅黑" w:eastAsia="微软雅黑" w:hAnsi="微软雅黑"/>
          <w:b/>
          <w:bCs/>
        </w:rPr>
        <w:t>G</w:t>
      </w:r>
      <w:r w:rsidR="00D755F8" w:rsidRPr="00995A60">
        <w:rPr>
          <w:rFonts w:ascii="微软雅黑" w:eastAsia="微软雅黑" w:hAnsi="微软雅黑" w:hint="eastAsia"/>
          <w:b/>
          <w:bCs/>
        </w:rPr>
        <w:t>oogle</w:t>
      </w:r>
      <w:r w:rsidR="00D755F8" w:rsidRPr="00995A60">
        <w:rPr>
          <w:rFonts w:ascii="微软雅黑" w:eastAsia="微软雅黑" w:hAnsi="微软雅黑"/>
          <w:b/>
          <w:bCs/>
        </w:rPr>
        <w:t xml:space="preserve"> M</w:t>
      </w:r>
      <w:r w:rsidR="00D755F8" w:rsidRPr="00995A60">
        <w:rPr>
          <w:rFonts w:ascii="微软雅黑" w:eastAsia="微软雅黑" w:hAnsi="微软雅黑" w:hint="eastAsia"/>
          <w:b/>
          <w:bCs/>
        </w:rPr>
        <w:t>ap</w:t>
      </w:r>
    </w:p>
    <w:p w14:paraId="43D8199A" w14:textId="1643EB86" w:rsidR="005110D8" w:rsidRPr="007A44A5" w:rsidRDefault="005110D8" w:rsidP="00B17BE8">
      <w:pPr>
        <w:pStyle w:val="a3"/>
        <w:shd w:val="clear" w:color="auto" w:fill="FFFFFF"/>
        <w:spacing w:before="0" w:beforeAutospacing="0" w:line="276" w:lineRule="auto"/>
        <w:rPr>
          <w:rFonts w:ascii="微软雅黑" w:eastAsia="微软雅黑" w:hAnsi="微软雅黑" w:cs="Arial"/>
          <w:color w:val="4A4980"/>
          <w:sz w:val="21"/>
          <w:szCs w:val="21"/>
        </w:rPr>
      </w:pPr>
      <w:r w:rsidRPr="007A44A5">
        <w:rPr>
          <w:rFonts w:ascii="微软雅黑" w:eastAsia="微软雅黑" w:hAnsi="微软雅黑" w:cs="Arial"/>
          <w:color w:val="4A4980"/>
          <w:sz w:val="21"/>
          <w:szCs w:val="21"/>
        </w:rPr>
        <w:t>More than a billion people use Google Maps every month. (</w:t>
      </w:r>
      <w:hyperlink r:id="rId4" w:tgtFrame="_blank" w:history="1">
        <w:r w:rsidRPr="007A44A5">
          <w:rPr>
            <w:rStyle w:val="a4"/>
            <w:rFonts w:ascii="微软雅黑" w:eastAsia="微软雅黑" w:hAnsi="微软雅黑" w:cs="Arial"/>
            <w:color w:val="3662E3"/>
            <w:sz w:val="21"/>
            <w:szCs w:val="21"/>
            <w:u w:val="none"/>
          </w:rPr>
          <w:t>Google Cloud</w:t>
        </w:r>
      </w:hyperlink>
      <w:r w:rsidRPr="007A44A5">
        <w:rPr>
          <w:rFonts w:ascii="微软雅黑" w:eastAsia="微软雅黑" w:hAnsi="微软雅黑" w:cs="Arial"/>
          <w:color w:val="4A4980"/>
          <w:sz w:val="21"/>
          <w:szCs w:val="21"/>
        </w:rPr>
        <w:t>)</w:t>
      </w:r>
    </w:p>
    <w:p w14:paraId="545B0E8C" w14:textId="12926BF2" w:rsidR="005110D8" w:rsidRPr="007A44A5" w:rsidRDefault="005110D8" w:rsidP="00B17BE8">
      <w:pPr>
        <w:pStyle w:val="a3"/>
        <w:shd w:val="clear" w:color="auto" w:fill="FFFFFF"/>
        <w:spacing w:before="0" w:beforeAutospacing="0" w:line="276" w:lineRule="auto"/>
        <w:rPr>
          <w:rFonts w:ascii="微软雅黑" w:eastAsia="微软雅黑" w:hAnsi="微软雅黑" w:cs="Arial"/>
          <w:color w:val="4A4980"/>
          <w:sz w:val="21"/>
          <w:szCs w:val="21"/>
        </w:rPr>
      </w:pPr>
      <w:r w:rsidRPr="007A44A5">
        <w:rPr>
          <w:rFonts w:ascii="微软雅黑" w:eastAsia="微软雅黑" w:hAnsi="微软雅黑" w:cs="Arial"/>
          <w:color w:val="4A4980"/>
          <w:sz w:val="21"/>
          <w:szCs w:val="21"/>
        </w:rPr>
        <w:t>5 million active apps and websites use Google Maps Platform core products weekly. (</w:t>
      </w:r>
      <w:hyperlink r:id="rId5" w:tgtFrame="_blank" w:history="1">
        <w:r w:rsidRPr="007A44A5">
          <w:rPr>
            <w:rStyle w:val="a4"/>
            <w:rFonts w:ascii="微软雅黑" w:eastAsia="微软雅黑" w:hAnsi="微软雅黑" w:cs="Arial"/>
            <w:color w:val="3662E3"/>
            <w:sz w:val="21"/>
            <w:szCs w:val="21"/>
            <w:u w:val="none"/>
          </w:rPr>
          <w:t>Google Cloud</w:t>
        </w:r>
      </w:hyperlink>
      <w:r w:rsidRPr="007A44A5">
        <w:rPr>
          <w:rFonts w:ascii="微软雅黑" w:eastAsia="微软雅黑" w:hAnsi="微软雅黑" w:cs="Arial"/>
          <w:color w:val="4A4980"/>
          <w:sz w:val="21"/>
          <w:szCs w:val="21"/>
        </w:rPr>
        <w:t>)</w:t>
      </w:r>
    </w:p>
    <w:p w14:paraId="67F070FC" w14:textId="2CFF4E73" w:rsidR="00D755F8" w:rsidRDefault="005110D8" w:rsidP="00B17BE8">
      <w:pPr>
        <w:spacing w:line="276" w:lineRule="auto"/>
        <w:rPr>
          <w:rFonts w:ascii="微软雅黑" w:eastAsia="微软雅黑" w:hAnsi="微软雅黑" w:cs="Arial"/>
          <w:color w:val="4A4980"/>
          <w:szCs w:val="21"/>
          <w:shd w:val="clear" w:color="auto" w:fill="FFFFFF"/>
        </w:rPr>
      </w:pPr>
      <w:r w:rsidRPr="007A44A5">
        <w:rPr>
          <w:rFonts w:ascii="微软雅黑" w:eastAsia="微软雅黑" w:hAnsi="微软雅黑" w:cs="Arial"/>
          <w:color w:val="4A4980"/>
          <w:szCs w:val="21"/>
          <w:shd w:val="clear" w:color="auto" w:fill="FFFFFF"/>
        </w:rPr>
        <w:t>The average monthly time spent on Google Maps seems to be 152 minutes</w:t>
      </w:r>
      <w:r w:rsidRPr="007A44A5">
        <w:rPr>
          <w:rFonts w:ascii="微软雅黑" w:eastAsia="微软雅黑" w:hAnsi="微软雅黑" w:cs="Arial" w:hint="eastAsia"/>
          <w:color w:val="4A4980"/>
          <w:szCs w:val="21"/>
          <w:shd w:val="clear" w:color="auto" w:fill="FFFFFF"/>
        </w:rPr>
        <w:t xml:space="preserve">. </w:t>
      </w:r>
      <w:r w:rsidRPr="007A44A5">
        <w:rPr>
          <w:rFonts w:ascii="微软雅黑" w:eastAsia="微软雅黑" w:hAnsi="微软雅黑" w:cs="Arial"/>
          <w:color w:val="4A4980"/>
          <w:szCs w:val="21"/>
          <w:shd w:val="clear" w:color="auto" w:fill="FFFFFF"/>
        </w:rPr>
        <w:t>People seem to be using Google Maps about 50 times a month for roughly 3 minutes per session.</w:t>
      </w:r>
      <w:r w:rsidR="00A02D83">
        <w:rPr>
          <w:rFonts w:ascii="微软雅黑" w:eastAsia="微软雅黑" w:hAnsi="微软雅黑" w:cs="Arial"/>
          <w:color w:val="4A4980"/>
          <w:szCs w:val="21"/>
          <w:shd w:val="clear" w:color="auto" w:fill="FFFFFF"/>
        </w:rPr>
        <w:t xml:space="preserve"> </w:t>
      </w:r>
      <w:r w:rsidRPr="007A44A5">
        <w:rPr>
          <w:rFonts w:ascii="微软雅黑" w:eastAsia="微软雅黑" w:hAnsi="微软雅黑" w:cs="Arial"/>
          <w:color w:val="4A4980"/>
          <w:szCs w:val="21"/>
          <w:shd w:val="clear" w:color="auto" w:fill="FFFFFF"/>
        </w:rPr>
        <w:t>(</w:t>
      </w:r>
      <w:hyperlink r:id="rId6" w:history="1">
        <w:r w:rsidR="00B17BE8" w:rsidRPr="007A44A5">
          <w:rPr>
            <w:rStyle w:val="a4"/>
            <w:rFonts w:ascii="微软雅黑" w:eastAsia="微软雅黑" w:hAnsi="微软雅黑" w:cs="Arial"/>
            <w:szCs w:val="21"/>
            <w:shd w:val="clear" w:color="auto" w:fill="FFFFFF"/>
          </w:rPr>
          <w:t>https://www.insiderintelligence.com/chart/234831/leading-us-map-navigation-smartphone-apps-ranked-by-monthly-unique-users-aug-2019</w:t>
        </w:r>
      </w:hyperlink>
      <w:r w:rsidRPr="007A44A5">
        <w:rPr>
          <w:rFonts w:ascii="微软雅黑" w:eastAsia="微软雅黑" w:hAnsi="微软雅黑" w:cs="Arial"/>
          <w:color w:val="4A4980"/>
          <w:szCs w:val="21"/>
          <w:shd w:val="clear" w:color="auto" w:fill="FFFFFF"/>
        </w:rPr>
        <w:t>)</w:t>
      </w:r>
    </w:p>
    <w:p w14:paraId="478ACED8" w14:textId="0614B63A" w:rsidR="00100283" w:rsidRDefault="00F665D3" w:rsidP="00B17BE8">
      <w:pPr>
        <w:spacing w:line="276" w:lineRule="auto"/>
        <w:rPr>
          <w:rFonts w:ascii="微软雅黑" w:eastAsia="微软雅黑" w:hAnsi="微软雅黑" w:cs="Arial"/>
          <w:color w:val="4A4980"/>
          <w:szCs w:val="21"/>
          <w:shd w:val="clear" w:color="auto" w:fill="FFFFFF"/>
        </w:rPr>
      </w:pPr>
      <w:r>
        <w:rPr>
          <w:rFonts w:ascii="微软雅黑" w:eastAsia="微软雅黑" w:hAnsi="微软雅黑" w:cs="Arial" w:hint="eastAsia"/>
          <w:color w:val="4A4980"/>
          <w:szCs w:val="21"/>
          <w:shd w:val="clear" w:color="auto" w:fill="FFFFFF"/>
        </w:rPr>
        <w:t>没有查到每秒钟多少次点对点查询的具体数据，根据上面信息可以估算，每秒处理的请求数约为1</w:t>
      </w:r>
      <w:r>
        <w:rPr>
          <w:rFonts w:ascii="微软雅黑" w:eastAsia="微软雅黑" w:hAnsi="微软雅黑" w:cs="Arial"/>
          <w:color w:val="4A4980"/>
          <w:szCs w:val="21"/>
          <w:shd w:val="clear" w:color="auto" w:fill="FFFFFF"/>
        </w:rPr>
        <w:t>000000</w:t>
      </w:r>
      <w:r>
        <w:rPr>
          <w:rFonts w:ascii="微软雅黑" w:eastAsia="微软雅黑" w:hAnsi="微软雅黑" w:cs="Arial" w:hint="eastAsia"/>
          <w:color w:val="4A4980"/>
          <w:szCs w:val="21"/>
          <w:shd w:val="clear" w:color="auto" w:fill="FFFFFF"/>
        </w:rPr>
        <w:t>×</w:t>
      </w:r>
      <w:r>
        <w:rPr>
          <w:rFonts w:ascii="微软雅黑" w:eastAsia="微软雅黑" w:hAnsi="微软雅黑" w:cs="Arial"/>
          <w:color w:val="4A4980"/>
          <w:szCs w:val="21"/>
          <w:shd w:val="clear" w:color="auto" w:fill="FFFFFF"/>
        </w:rPr>
        <w:t>50</w:t>
      </w:r>
      <w:r>
        <w:rPr>
          <w:rFonts w:ascii="微软雅黑" w:eastAsia="微软雅黑" w:hAnsi="微软雅黑" w:cs="Arial" w:hint="eastAsia"/>
          <w:color w:val="4A4980"/>
          <w:szCs w:val="21"/>
          <w:shd w:val="clear" w:color="auto" w:fill="FFFFFF"/>
        </w:rPr>
        <w:t>/</w:t>
      </w:r>
      <w:r>
        <w:rPr>
          <w:rFonts w:ascii="微软雅黑" w:eastAsia="微软雅黑" w:hAnsi="微软雅黑" w:cs="Arial"/>
          <w:color w:val="4A4980"/>
          <w:szCs w:val="21"/>
          <w:shd w:val="clear" w:color="auto" w:fill="FFFFFF"/>
        </w:rPr>
        <w:t>30/24/60=1157</w:t>
      </w:r>
      <w:r>
        <w:rPr>
          <w:rFonts w:ascii="微软雅黑" w:eastAsia="微软雅黑" w:hAnsi="微软雅黑" w:cs="Arial" w:hint="eastAsia"/>
          <w:color w:val="4A4980"/>
          <w:szCs w:val="21"/>
          <w:shd w:val="clear" w:color="auto" w:fill="FFFFFF"/>
        </w:rPr>
        <w:t>。</w:t>
      </w:r>
    </w:p>
    <w:p w14:paraId="5C18BCB7" w14:textId="77777777" w:rsidR="00F665D3" w:rsidRDefault="00F665D3" w:rsidP="00B17BE8">
      <w:pPr>
        <w:spacing w:line="276" w:lineRule="auto"/>
        <w:rPr>
          <w:rFonts w:ascii="微软雅黑" w:eastAsia="微软雅黑" w:hAnsi="微软雅黑" w:cs="Arial"/>
          <w:color w:val="4A4980"/>
          <w:szCs w:val="21"/>
          <w:shd w:val="clear" w:color="auto" w:fill="FFFFFF"/>
        </w:rPr>
      </w:pPr>
    </w:p>
    <w:p w14:paraId="5EEC46F3" w14:textId="4055AF4F" w:rsidR="00100283" w:rsidRPr="00995A60" w:rsidRDefault="00100283" w:rsidP="00100283">
      <w:pPr>
        <w:rPr>
          <w:rFonts w:ascii="微软雅黑" w:eastAsia="微软雅黑" w:hAnsi="微软雅黑"/>
          <w:b/>
          <w:bCs/>
        </w:rPr>
      </w:pPr>
      <w:r>
        <w:rPr>
          <w:rFonts w:ascii="微软雅黑" w:eastAsia="微软雅黑" w:hAnsi="微软雅黑"/>
          <w:b/>
          <w:bCs/>
        </w:rPr>
        <w:t>2</w:t>
      </w:r>
      <w:r w:rsidRPr="00995A60">
        <w:rPr>
          <w:rFonts w:ascii="微软雅黑" w:eastAsia="微软雅黑" w:hAnsi="微软雅黑"/>
          <w:b/>
          <w:bCs/>
        </w:rPr>
        <w:t>.</w:t>
      </w:r>
      <w:r w:rsidR="00D322D5">
        <w:rPr>
          <w:rFonts w:ascii="微软雅黑" w:eastAsia="微软雅黑" w:hAnsi="微软雅黑" w:hint="eastAsia"/>
          <w:b/>
          <w:bCs/>
        </w:rPr>
        <w:t>金融欺诈检测</w:t>
      </w:r>
    </w:p>
    <w:p w14:paraId="5CDB15A9" w14:textId="7E20D4F1" w:rsidR="00051A15" w:rsidRDefault="00051A15" w:rsidP="00B17BE8">
      <w:pPr>
        <w:spacing w:line="276" w:lineRule="auto"/>
      </w:pPr>
      <w:r>
        <w:t>When detection is performed on off-platform systems, detection response times can reach upwards of 80 milliseconds, with throughput rates in the 1,000–1,500 transactions per second (tps) range.</w:t>
      </w:r>
    </w:p>
    <w:p w14:paraId="7152D56E" w14:textId="438B110D" w:rsidR="00051A15" w:rsidRPr="00B06C2E" w:rsidRDefault="00051A15" w:rsidP="00B17BE8">
      <w:pPr>
        <w:spacing w:line="276" w:lineRule="auto"/>
      </w:pPr>
      <w:r>
        <w:rPr>
          <w:rFonts w:hint="eastAsia"/>
        </w:rPr>
        <w:t>参考</w:t>
      </w:r>
      <w:r w:rsidRPr="00B06C2E">
        <w:rPr>
          <w:rFonts w:hint="eastAsia"/>
        </w:rPr>
        <w:t>：</w:t>
      </w:r>
      <w:hyperlink r:id="rId7" w:history="1">
        <w:r w:rsidRPr="00B06C2E">
          <w:rPr>
            <w:rStyle w:val="a4"/>
          </w:rPr>
          <w:t>https://www.ibm.com/downloads/cas/DOXY3Q94</w:t>
        </w:r>
      </w:hyperlink>
      <w:r w:rsidR="00B06C2E" w:rsidRPr="00B06C2E">
        <w:rPr>
          <w:rStyle w:val="a4"/>
          <w:rFonts w:hint="eastAsia"/>
          <w:color w:val="auto"/>
          <w:u w:val="none"/>
        </w:rPr>
        <w:t>page</w:t>
      </w:r>
      <w:r w:rsidR="00B06C2E" w:rsidRPr="00B06C2E">
        <w:rPr>
          <w:rStyle w:val="a4"/>
          <w:color w:val="auto"/>
          <w:u w:val="none"/>
        </w:rPr>
        <w:t>9</w:t>
      </w:r>
    </w:p>
    <w:p w14:paraId="38DF465C" w14:textId="3A8BE2F5" w:rsidR="00051A15" w:rsidRPr="00B06C2E" w:rsidRDefault="00051A15" w:rsidP="00B17BE8">
      <w:pPr>
        <w:spacing w:line="276" w:lineRule="auto"/>
      </w:pPr>
    </w:p>
    <w:p w14:paraId="387125A7" w14:textId="26A74F7B" w:rsidR="005F055A" w:rsidRDefault="006E64C5" w:rsidP="00B17BE8">
      <w:pPr>
        <w:spacing w:line="276" w:lineRule="auto"/>
      </w:pPr>
      <w:r>
        <w:rPr>
          <w:noProof/>
        </w:rPr>
        <w:drawing>
          <wp:inline distT="0" distB="0" distL="0" distR="0" wp14:anchorId="7BA0DB73" wp14:editId="5F5952F2">
            <wp:extent cx="5274310" cy="1023620"/>
            <wp:effectExtent l="0" t="0" r="2540" b="5080"/>
            <wp:docPr id="122593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9363" name=""/>
                    <pic:cNvPicPr/>
                  </pic:nvPicPr>
                  <pic:blipFill>
                    <a:blip r:embed="rId8"/>
                    <a:stretch>
                      <a:fillRect/>
                    </a:stretch>
                  </pic:blipFill>
                  <pic:spPr>
                    <a:xfrm>
                      <a:off x="0" y="0"/>
                      <a:ext cx="5274310" cy="1023620"/>
                    </a:xfrm>
                    <a:prstGeom prst="rect">
                      <a:avLst/>
                    </a:prstGeom>
                  </pic:spPr>
                </pic:pic>
              </a:graphicData>
            </a:graphic>
          </wp:inline>
        </w:drawing>
      </w:r>
    </w:p>
    <w:p w14:paraId="4616E4F6" w14:textId="314FB30D" w:rsidR="006E64C5" w:rsidRPr="005F055A" w:rsidRDefault="006E64C5" w:rsidP="00B17BE8">
      <w:pPr>
        <w:spacing w:line="276" w:lineRule="auto"/>
      </w:pPr>
      <w:r>
        <w:rPr>
          <w:noProof/>
        </w:rPr>
        <w:drawing>
          <wp:inline distT="0" distB="0" distL="0" distR="0" wp14:anchorId="5994B464" wp14:editId="38D942C9">
            <wp:extent cx="2044805" cy="527077"/>
            <wp:effectExtent l="0" t="0" r="0" b="6350"/>
            <wp:docPr id="18686061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606114" name=""/>
                    <pic:cNvPicPr/>
                  </pic:nvPicPr>
                  <pic:blipFill>
                    <a:blip r:embed="rId9"/>
                    <a:stretch>
                      <a:fillRect/>
                    </a:stretch>
                  </pic:blipFill>
                  <pic:spPr>
                    <a:xfrm>
                      <a:off x="0" y="0"/>
                      <a:ext cx="2044805" cy="527077"/>
                    </a:xfrm>
                    <a:prstGeom prst="rect">
                      <a:avLst/>
                    </a:prstGeom>
                  </pic:spPr>
                </pic:pic>
              </a:graphicData>
            </a:graphic>
          </wp:inline>
        </w:drawing>
      </w:r>
    </w:p>
    <w:p w14:paraId="7443AEC9" w14:textId="61AB71AC" w:rsidR="00051A15" w:rsidRDefault="005F055A" w:rsidP="00B17BE8">
      <w:pPr>
        <w:spacing w:line="276" w:lineRule="auto"/>
      </w:pPr>
      <w:r>
        <w:rPr>
          <w:rFonts w:hint="eastAsia"/>
        </w:rPr>
        <w:t>参考：</w:t>
      </w:r>
      <w:hyperlink r:id="rId10" w:history="1">
        <w:r w:rsidRPr="00482FA2">
          <w:rPr>
            <w:rStyle w:val="a4"/>
          </w:rPr>
          <w:t>https://www.infosys.com/services/data-analytics/insights/documents/real-time-fraud-detection-engine.pdf</w:t>
        </w:r>
      </w:hyperlink>
    </w:p>
    <w:p w14:paraId="485486C8" w14:textId="77777777" w:rsidR="005F055A" w:rsidRDefault="005F055A" w:rsidP="00B17BE8">
      <w:pPr>
        <w:spacing w:line="276" w:lineRule="auto"/>
      </w:pPr>
    </w:p>
    <w:p w14:paraId="7BA89BA3" w14:textId="1ADF5F09" w:rsidR="005F055A" w:rsidRDefault="005F055A" w:rsidP="00B17BE8">
      <w:pPr>
        <w:spacing w:line="276" w:lineRule="auto"/>
        <w:rPr>
          <w:rFonts w:ascii="微软雅黑" w:eastAsia="微软雅黑" w:hAnsi="微软雅黑"/>
          <w:b/>
          <w:bCs/>
        </w:rPr>
      </w:pPr>
      <w:r>
        <w:rPr>
          <w:rFonts w:ascii="微软雅黑" w:eastAsia="微软雅黑" w:hAnsi="微软雅黑"/>
          <w:b/>
          <w:bCs/>
        </w:rPr>
        <w:t>3</w:t>
      </w:r>
      <w:r w:rsidRPr="00995A60">
        <w:rPr>
          <w:rFonts w:ascii="微软雅黑" w:eastAsia="微软雅黑" w:hAnsi="微软雅黑"/>
          <w:b/>
          <w:bCs/>
        </w:rPr>
        <w:t>.</w:t>
      </w:r>
      <w:r w:rsidR="00954D34">
        <w:rPr>
          <w:rFonts w:ascii="微软雅黑" w:eastAsia="微软雅黑" w:hAnsi="微软雅黑"/>
          <w:b/>
          <w:bCs/>
        </w:rPr>
        <w:t>F</w:t>
      </w:r>
      <w:r w:rsidR="00954D34">
        <w:rPr>
          <w:rFonts w:ascii="微软雅黑" w:eastAsia="微软雅黑" w:hAnsi="微软雅黑" w:hint="eastAsia"/>
          <w:b/>
          <w:bCs/>
        </w:rPr>
        <w:t>acebook用户网络点对点查询</w:t>
      </w:r>
    </w:p>
    <w:p w14:paraId="66326239" w14:textId="78777976" w:rsidR="00954D34" w:rsidRPr="00954D34" w:rsidRDefault="00954D34" w:rsidP="00B17BE8">
      <w:pPr>
        <w:spacing w:line="276" w:lineRule="auto"/>
      </w:pPr>
      <w:r w:rsidRPr="00954D34">
        <w:t>Core Data invents, builds, and operates Facebook’s online transaction processing (OLTP) infrastructure. We provide access and storage to Facebook’s online data, including the social graph. The infrastructure is among the largest of its kind in the world, processing billions of queries each second.</w:t>
      </w:r>
    </w:p>
    <w:p w14:paraId="3087C5EA" w14:textId="42DA055D" w:rsidR="00954D34" w:rsidRDefault="00954D34" w:rsidP="00B17BE8">
      <w:pPr>
        <w:spacing w:line="276" w:lineRule="auto"/>
      </w:pPr>
      <w:r>
        <w:rPr>
          <w:rFonts w:hint="eastAsia"/>
        </w:rPr>
        <w:t>参考：</w:t>
      </w:r>
      <w:hyperlink r:id="rId11" w:history="1">
        <w:r w:rsidRPr="00482FA2">
          <w:rPr>
            <w:rStyle w:val="a4"/>
          </w:rPr>
          <w:t>https://engineering.fb.com/category/core-data/</w:t>
        </w:r>
      </w:hyperlink>
    </w:p>
    <w:p w14:paraId="6F849755" w14:textId="77777777" w:rsidR="00954D34" w:rsidRDefault="00954D34" w:rsidP="00B17BE8">
      <w:pPr>
        <w:spacing w:line="276" w:lineRule="auto"/>
      </w:pPr>
    </w:p>
    <w:p w14:paraId="5F7605F9" w14:textId="1402B657" w:rsidR="00AB6928" w:rsidRPr="00AB6928" w:rsidRDefault="00AB6928" w:rsidP="00AB6928">
      <w:pPr>
        <w:spacing w:line="276" w:lineRule="auto"/>
        <w:rPr>
          <w:rFonts w:ascii="微软雅黑" w:eastAsia="微软雅黑" w:hAnsi="微软雅黑" w:hint="eastAsia"/>
          <w:b/>
          <w:bCs/>
        </w:rPr>
      </w:pPr>
      <w:r>
        <w:rPr>
          <w:rFonts w:ascii="微软雅黑" w:eastAsia="微软雅黑" w:hAnsi="微软雅黑"/>
          <w:b/>
          <w:bCs/>
        </w:rPr>
        <w:t>4</w:t>
      </w:r>
      <w:r w:rsidRPr="00995A60">
        <w:rPr>
          <w:rFonts w:ascii="微软雅黑" w:eastAsia="微软雅黑" w:hAnsi="微软雅黑"/>
          <w:b/>
          <w:bCs/>
        </w:rPr>
        <w:t>.</w:t>
      </w:r>
      <w:r w:rsidR="00A97CAF">
        <w:rPr>
          <w:rFonts w:ascii="微软雅黑" w:eastAsia="微软雅黑" w:hAnsi="微软雅黑" w:hint="eastAsia"/>
          <w:b/>
          <w:bCs/>
        </w:rPr>
        <w:t>R</w:t>
      </w:r>
      <w:r>
        <w:rPr>
          <w:rFonts w:ascii="微软雅黑" w:eastAsia="微软雅黑" w:hAnsi="微软雅黑" w:hint="eastAsia"/>
          <w:b/>
          <w:bCs/>
        </w:rPr>
        <w:t>iot公司使用</w:t>
      </w:r>
      <w:r>
        <w:rPr>
          <w:rFonts w:ascii="微软雅黑" w:eastAsia="微软雅黑" w:hAnsi="微软雅黑" w:hint="eastAsia"/>
          <w:b/>
          <w:bCs/>
        </w:rPr>
        <w:t>点对点</w:t>
      </w:r>
      <w:r>
        <w:rPr>
          <w:rFonts w:ascii="微软雅黑" w:eastAsia="微软雅黑" w:hAnsi="微软雅黑" w:hint="eastAsia"/>
          <w:b/>
          <w:bCs/>
        </w:rPr>
        <w:t>循环网络</w:t>
      </w:r>
    </w:p>
    <w:p w14:paraId="40BFCF12" w14:textId="7A1494EC" w:rsidR="00AB6928" w:rsidRDefault="00AB6928" w:rsidP="00B17BE8">
      <w:pPr>
        <w:spacing w:line="276" w:lineRule="auto"/>
      </w:pPr>
      <w:r w:rsidRPr="00AB6928">
        <w:t>Riot deployed a custom-built transmission kit featuring an Evertz router along with encoders and decoders for the various feeds coming in and going out. Typically, for a high-profile in-person event like this, Riot would use a point-to-point circuit on its Riot Direct dedicated network. However, after using the public internet to produce dozens of tournaments over the past year, Riot opted for a 10-Gbps DIA (dedicated internet</w:t>
      </w:r>
      <w:bookmarkStart w:id="0" w:name="_Hlk146485923"/>
      <w:r w:rsidRPr="00AB6928">
        <w:t xml:space="preserve"> access) public-internet connection (with a secondary line for backup) and heavily used SRT video-streaming protocol.</w:t>
      </w:r>
      <w:bookmarkEnd w:id="0"/>
    </w:p>
    <w:p w14:paraId="1698C085" w14:textId="6D0BD708" w:rsidR="003F538B" w:rsidRDefault="003F538B" w:rsidP="00B17BE8">
      <w:pPr>
        <w:spacing w:line="276" w:lineRule="auto"/>
      </w:pPr>
      <w:r>
        <w:rPr>
          <w:rFonts w:hint="eastAsia"/>
        </w:rPr>
        <w:t>参考：</w:t>
      </w:r>
      <w:hyperlink r:id="rId12" w:history="1">
        <w:r>
          <w:rPr>
            <w:rStyle w:val="a4"/>
          </w:rPr>
          <w:t>SVG Rewind: How Riot Games Pulled Off Its First LCS Event in Over a Year With Mid-Season Showdown (beverlyhillsaerials.com)</w:t>
        </w:r>
      </w:hyperlink>
    </w:p>
    <w:p w14:paraId="1C8F5097" w14:textId="767F5CD5" w:rsidR="00C2480B" w:rsidRDefault="00C2480B" w:rsidP="00B17BE8">
      <w:pPr>
        <w:spacing w:line="276" w:lineRule="auto"/>
        <w:rPr>
          <w:rFonts w:ascii="微软雅黑" w:eastAsia="微软雅黑" w:hAnsi="微软雅黑"/>
          <w:b/>
          <w:bCs/>
        </w:rPr>
      </w:pPr>
      <w:r>
        <w:rPr>
          <w:rFonts w:ascii="微软雅黑" w:eastAsia="微软雅黑" w:hAnsi="微软雅黑"/>
          <w:b/>
          <w:bCs/>
        </w:rPr>
        <w:t>5</w:t>
      </w:r>
      <w:r w:rsidRPr="00995A60">
        <w:rPr>
          <w:rFonts w:ascii="微软雅黑" w:eastAsia="微软雅黑" w:hAnsi="微软雅黑"/>
          <w:b/>
          <w:bCs/>
        </w:rPr>
        <w:t>.</w:t>
      </w:r>
      <w:r>
        <w:rPr>
          <w:rFonts w:ascii="微软雅黑" w:eastAsia="微软雅黑" w:hAnsi="微软雅黑" w:hint="eastAsia"/>
          <w:b/>
          <w:bCs/>
        </w:rPr>
        <w:t>美国西南航空公司航空网</w:t>
      </w:r>
    </w:p>
    <w:p w14:paraId="1E3746C5" w14:textId="09C702DD" w:rsidR="008C0C20" w:rsidRPr="00C2480B" w:rsidRDefault="008C0C20" w:rsidP="00B17BE8">
      <w:pPr>
        <w:spacing w:line="276" w:lineRule="auto"/>
        <w:rPr>
          <w:rFonts w:ascii="微软雅黑" w:eastAsia="微软雅黑" w:hAnsi="微软雅黑" w:hint="eastAsia"/>
          <w:b/>
          <w:bCs/>
        </w:rPr>
      </w:pPr>
      <w:r w:rsidRPr="008C0C20">
        <w:t>Southwest increased the number of routes (airport-pairs) by more than 300%, from 81 routes in 1990 to 375 routes in 2006 while increasing the number of airports by only 100% during the same period. As a result, the average number of destinations out of an airport has increased from 5 in 1990 to 12 in 2006.</w:t>
      </w:r>
    </w:p>
    <w:p w14:paraId="4F68E223" w14:textId="009383B3" w:rsidR="00C2480B" w:rsidRDefault="00C2480B" w:rsidP="00B17BE8">
      <w:pPr>
        <w:spacing w:line="276" w:lineRule="auto"/>
      </w:pPr>
      <w:r>
        <w:rPr>
          <w:rFonts w:hint="eastAsia"/>
        </w:rPr>
        <w:t>参考：</w:t>
      </w:r>
      <w:hyperlink r:id="rId13" w:history="1">
        <w:r>
          <w:rPr>
            <w:rStyle w:val="a4"/>
          </w:rPr>
          <w:t>点对点网络效应探索：西南航空网络空间格局研究 — 理大学者中心 (polyu.edu.hk)</w:t>
        </w:r>
      </w:hyperlink>
    </w:p>
    <w:p w14:paraId="6B29A29D" w14:textId="4149BC0F" w:rsidR="00C2480B" w:rsidRPr="00C2480B" w:rsidRDefault="00C2480B" w:rsidP="00B17BE8">
      <w:pPr>
        <w:spacing w:line="276" w:lineRule="auto"/>
        <w:rPr>
          <w:rFonts w:hint="eastAsia"/>
        </w:rPr>
      </w:pPr>
      <w:hyperlink r:id="rId14" w:history="1">
        <w:r>
          <w:rPr>
            <w:rStyle w:val="a4"/>
          </w:rPr>
          <w:t>点对点网络效应探索：西南航空网络空间格局研究 - ScienceDirect</w:t>
        </w:r>
      </w:hyperlink>
    </w:p>
    <w:sectPr w:rsidR="00C2480B" w:rsidRPr="00C2480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DFB"/>
    <w:rsid w:val="00051A15"/>
    <w:rsid w:val="00100283"/>
    <w:rsid w:val="00205AF9"/>
    <w:rsid w:val="003F538B"/>
    <w:rsid w:val="00467C0C"/>
    <w:rsid w:val="005110D8"/>
    <w:rsid w:val="005F055A"/>
    <w:rsid w:val="006018A9"/>
    <w:rsid w:val="006E33B4"/>
    <w:rsid w:val="006E64C5"/>
    <w:rsid w:val="007A44A5"/>
    <w:rsid w:val="008C0C20"/>
    <w:rsid w:val="00954D34"/>
    <w:rsid w:val="00995A60"/>
    <w:rsid w:val="009F5895"/>
    <w:rsid w:val="00A02D83"/>
    <w:rsid w:val="00A66E8C"/>
    <w:rsid w:val="00A97CAF"/>
    <w:rsid w:val="00AA7DFB"/>
    <w:rsid w:val="00AB6928"/>
    <w:rsid w:val="00B06C2E"/>
    <w:rsid w:val="00B17BE8"/>
    <w:rsid w:val="00C2480B"/>
    <w:rsid w:val="00D322D5"/>
    <w:rsid w:val="00D755F8"/>
    <w:rsid w:val="00DC0652"/>
    <w:rsid w:val="00F665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955A7"/>
  <w15:chartTrackingRefBased/>
  <w15:docId w15:val="{7CE608E2-A127-4DED-A523-EF037A45E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110D8"/>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5110D8"/>
    <w:rPr>
      <w:color w:val="0000FF"/>
      <w:u w:val="single"/>
    </w:rPr>
  </w:style>
  <w:style w:type="character" w:styleId="a5">
    <w:name w:val="FollowedHyperlink"/>
    <w:basedOn w:val="a0"/>
    <w:uiPriority w:val="99"/>
    <w:semiHidden/>
    <w:unhideWhenUsed/>
    <w:rsid w:val="005110D8"/>
    <w:rPr>
      <w:color w:val="954F72" w:themeColor="followedHyperlink"/>
      <w:u w:val="single"/>
    </w:rPr>
  </w:style>
  <w:style w:type="character" w:styleId="a6">
    <w:name w:val="Unresolved Mention"/>
    <w:basedOn w:val="a0"/>
    <w:uiPriority w:val="99"/>
    <w:semiHidden/>
    <w:unhideWhenUsed/>
    <w:rsid w:val="005110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9505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research.polyu.edu.hk/en/publications/exploring-network-effects-of-point-to-point-networks-an-investiga" TargetMode="External"/><Relationship Id="rId3" Type="http://schemas.openxmlformats.org/officeDocument/2006/relationships/webSettings" Target="webSettings.xml"/><Relationship Id="rId7" Type="http://schemas.openxmlformats.org/officeDocument/2006/relationships/hyperlink" Target="https://www.ibm.com/downloads/cas/DOXY3Q94" TargetMode="External"/><Relationship Id="rId12" Type="http://schemas.openxmlformats.org/officeDocument/2006/relationships/hyperlink" Target="https://www.beverlyhillsaerials.com/post/svg-rewind-how-riot-games-pulled-off-its-first-lcs-event-in-over-a-year-with-mid-season-showdown"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insiderintelligence.com/chart/234831/leading-us-map-navigation-smartphone-apps-ranked-by-monthly-unique-users-aug-2019" TargetMode="External"/><Relationship Id="rId11" Type="http://schemas.openxmlformats.org/officeDocument/2006/relationships/hyperlink" Target="https://engineering.fb.com/category/core-data/" TargetMode="External"/><Relationship Id="rId5" Type="http://schemas.openxmlformats.org/officeDocument/2006/relationships/hyperlink" Target="https://cloud.google.com/blog/products/maps-platform/9-things-know-about-googles-maps-data-beyond-map" TargetMode="External"/><Relationship Id="rId15" Type="http://schemas.openxmlformats.org/officeDocument/2006/relationships/fontTable" Target="fontTable.xml"/><Relationship Id="rId10" Type="http://schemas.openxmlformats.org/officeDocument/2006/relationships/hyperlink" Target="https://www.infosys.com/services/data-analytics/insights/documents/real-time-fraud-detection-engine.pdf" TargetMode="External"/><Relationship Id="rId4" Type="http://schemas.openxmlformats.org/officeDocument/2006/relationships/hyperlink" Target="https://cloud.google.com/blog/products/maps-platform/9-things-know-about-googles-maps-data-beyond-map" TargetMode="External"/><Relationship Id="rId9" Type="http://schemas.openxmlformats.org/officeDocument/2006/relationships/image" Target="media/image2.png"/><Relationship Id="rId14" Type="http://schemas.openxmlformats.org/officeDocument/2006/relationships/hyperlink" Target="https://www.sciencedirect.com/science/article/pii/S0967070X1730898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371</TotalTime>
  <Pages>2</Pages>
  <Words>509</Words>
  <Characters>2902</Characters>
  <Application>Microsoft Office Word</Application>
  <DocSecurity>0</DocSecurity>
  <Lines>24</Lines>
  <Paragraphs>6</Paragraphs>
  <ScaleCrop>false</ScaleCrop>
  <Company/>
  <LinksUpToDate>false</LinksUpToDate>
  <CharactersWithSpaces>3405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嘉鹏 李</dc:creator>
  <cp:keywords/>
  <dc:description/>
  <cp:lastModifiedBy>Latir Ryan</cp:lastModifiedBy>
  <cp:revision>21</cp:revision>
  <dcterms:created xsi:type="dcterms:W3CDTF">2023-09-24T07:29:00Z</dcterms:created>
  <dcterms:modified xsi:type="dcterms:W3CDTF">2023-09-24T14:11:00Z</dcterms:modified>
</cp:coreProperties>
</file>