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40" w:before="0"/>
        <w:jc w:val="center"/>
      </w:pPr>
      <w:r>
        <w:rPr>
          <w:rFonts w:ascii="Arial" w:cs="Arial" w:eastAsia="Arial" w:hAnsi="Arial"/>
          <w:b/>
          <w:bCs/>
          <w:color w:val="1F3864"/>
          <w:sz w:val="64"/>
          <w:szCs w:val="64"/>
        </w:rPr>
        <w:t xml:space="preserve">SUPPLY CHAIN</w:t>
      </w:r>
    </w:p>
    <w:p>
      <w:pPr>
        <w:spacing w:after="80" w:before="0"/>
        <w:jc w:val="center"/>
      </w:pPr>
      <w:r>
        <w:rPr>
          <w:rFonts w:ascii="Arial" w:cs="Arial" w:eastAsia="Arial" w:hAnsi="Arial"/>
          <w:b/>
          <w:bCs/>
          <w:color w:val="2E75B6"/>
          <w:sz w:val="44"/>
          <w:szCs w:val="44"/>
        </w:rPr>
        <w:t xml:space="preserve">End-to-End Analytics Project</w:t>
      </w:r>
    </w:p>
    <w:p>
      <w:pPr>
        <w:pBdr>
          <w:bottom w:val="single" w:color="2E75B6" w:sz="8" w:space="1"/>
        </w:pBdr>
        <w:spacing w:after="60" w:before="60"/>
      </w:pPr>
    </w:p>
    <w:p>
      <w:pPr>
        <w:spacing w:after="200" w:before="200"/>
      </w:pPr>
    </w:p>
    <w:p>
      <w:pPr>
        <w:spacing w:after="120" w:before="0"/>
        <w:jc w:val="center"/>
      </w:pPr>
      <w:r>
        <w:rPr>
          <w:rFonts w:ascii="Arial" w:cs="Arial" w:eastAsia="Arial" w:hAnsi="Arial"/>
          <w:i/>
          <w:iCs/>
          <w:color w:val="1A1A2E"/>
          <w:sz w:val="26"/>
          <w:szCs w:val="26"/>
        </w:rPr>
        <w:t xml:space="preserve">A Comprehensive Data Analytics Solution</w:t>
      </w:r>
    </w:p>
    <w:p>
      <w:pPr>
        <w:spacing w:after="400" w:before="0"/>
        <w:jc w:val="center"/>
      </w:pPr>
      <w:r>
        <w:rPr>
          <w:rFonts w:ascii="Arial" w:cs="Arial" w:eastAsia="Arial" w:hAnsi="Arial"/>
          <w:b/>
          <w:bCs/>
          <w:color w:val="2E75B6"/>
          <w:sz w:val="24"/>
          <w:szCs w:val="24"/>
        </w:rPr>
        <w:t xml:space="preserve">SQL  |  Excel  |  Power BI  |  Python</w:t>
      </w:r>
    </w:p>
    <w:p>
      <w:pPr>
        <w:spacing w:after="0" w:before="600"/>
      </w:pPr>
    </w:p>
    <w:p>
      <w:pPr>
        <w:spacing w:after="80" w:before="0"/>
        <w:jc w:val="center"/>
      </w:pPr>
      <w:r>
        <w:rPr>
          <w:rFonts w:ascii="Arial" w:cs="Arial" w:eastAsia="Arial" w:hAnsi="Arial"/>
          <w:b/>
          <w:bCs/>
          <w:color w:val="1F3864"/>
          <w:sz w:val="24"/>
          <w:szCs w:val="24"/>
        </w:rPr>
        <w:t xml:space="preserve">Digital Egypt Pioneers Initiative (DEPI)</w:t>
      </w:r>
    </w:p>
    <w:p>
      <w:pPr>
        <w:spacing w:after="80" w:before="0"/>
        <w:jc w:val="center"/>
      </w:pPr>
      <w:r>
        <w:rPr>
          <w:rFonts w:ascii="Arial" w:cs="Arial" w:eastAsia="Arial" w:hAnsi="Arial"/>
          <w:color w:val="1A1A2E"/>
          <w:sz w:val="22"/>
          <w:szCs w:val="22"/>
        </w:rPr>
        <w:t xml:space="preserve">Graduation Project  |  2026</w:t>
      </w:r>
    </w:p>
    <w:p>
      <w:pPr>
        <w:spacing w:after="80" w:before="0"/>
        <w:jc w:val="center"/>
      </w:pPr>
      <w:r>
        <w:rPr>
          <w:rFonts w:ascii="Arial" w:cs="Arial" w:eastAsia="Arial" w:hAnsi="Arial"/>
          <w:i/>
          <w:iCs/>
          <w:color w:val="1A1A2E"/>
          <w:sz w:val="22"/>
          <w:szCs w:val="22"/>
        </w:rPr>
        <w:t xml:space="preserve">Supervised by: Eng. Sara Besher</w:t>
      </w:r>
    </w:p>
    <w:p>
      <w:r>
        <w:br w:type="page"/>
      </w:r>
    </w:p>
    <w:p>
      <w:pPr>
        <w:pStyle w:val="Heading1"/>
        <w:spacing w:after="120" w:before="320"/>
      </w:pPr>
      <w:r>
        <w:rPr>
          <w:rFonts w:ascii="Arial" w:cs="Arial" w:eastAsia="Arial" w:hAnsi="Arial"/>
          <w:b/>
          <w:bCs/>
          <w:color w:val="1F3864"/>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20"/>
      </w:pPr>
      <w:r>
        <w:rPr>
          <w:rFonts w:ascii="Arial" w:cs="Arial" w:eastAsia="Arial" w:hAnsi="Arial"/>
          <w:b/>
          <w:bCs/>
          <w:color w:val="1F3864"/>
          <w:sz w:val="34"/>
          <w:szCs w:val="34"/>
        </w:rPr>
        <w:t xml:space="preserve">1. Executive Summary</w:t>
      </w:r>
    </w:p>
    <w:p>
      <w:pPr>
        <w:pBdr>
          <w:bottom w:val="single" w:color="2E75B6" w:sz="8" w:space="1"/>
        </w:pBdr>
        <w:spacing w:after="60" w:before="60"/>
      </w:pPr>
    </w:p>
    <w:p>
      <w:pPr>
        <w:spacing w:after="80" w:before="60"/>
      </w:pPr>
      <w:r>
        <w:rPr>
          <w:rFonts w:ascii="Arial" w:cs="Arial" w:eastAsia="Arial" w:hAnsi="Arial"/>
          <w:color w:val="1A1A2E"/>
          <w:sz w:val="22"/>
          <w:szCs w:val="22"/>
        </w:rPr>
        <w:t xml:space="preserve">This report presents the complete documentation of the Supply Chain End-to-End Analytics Project, developed as a graduation project for the Digital Egypt Pioneers Initiative (DEPI). The project delivers a production-grade, multi-layer business intelligence solution designed to transform raw supply chain transactional data into actionable strategic insights.</w:t>
      </w:r>
    </w:p>
    <w:p>
      <w:pPr>
        <w:spacing w:after="80" w:before="60"/>
      </w:pPr>
      <w:r>
        <w:rPr>
          <w:rFonts w:ascii="Arial" w:cs="Arial" w:eastAsia="Arial" w:hAnsi="Arial"/>
          <w:color w:val="1A1A2E"/>
          <w:sz w:val="22"/>
          <w:szCs w:val="22"/>
        </w:rPr>
        <w:t xml:space="preserve">The solution spans four integrated analytical layers: a SQL Server star schema data warehouse, an interactive Microsoft Excel operational dashboard, an executive Power BI report with time intelligence capabilities, and a Python-based Exploratory Data Analysis (EDA) pipeline comprising 13 analytical visualizations.</w:t>
      </w:r>
    </w:p>
    <w:p>
      <w:pPr>
        <w:spacing w:after="80" w:before="60"/>
      </w:pPr>
      <w:r>
        <w:rPr>
          <w:rFonts w:ascii="Arial" w:cs="Arial" w:eastAsia="Arial" w:hAnsi="Arial"/>
          <w:color w:val="1A1A2E"/>
          <w:sz w:val="22"/>
          <w:szCs w:val="22"/>
        </w:rPr>
        <w:t xml:space="preserve">Key findings include a systemic late delivery rate of 54.8% across all global markets, a year-over-year revenue decline from 2016 through 2017, significant profit margin variation across product departments, and a heavily Consumer-skewed customer segmentation. These findings are translated into concrete business recommendations throughout this document.</w:t>
      </w:r>
    </w:p>
    <w:p>
      <w:pPr>
        <w:spacing w:after="60" w:before="120"/>
      </w:pPr>
    </w:p>
    <w:p>
      <w:pPr>
        <w:pStyle w:val="Heading3"/>
        <w:spacing w:after="80" w:before="180"/>
      </w:pPr>
      <w:r>
        <w:rPr>
          <w:rFonts w:ascii="Arial" w:cs="Arial" w:eastAsia="Arial" w:hAnsi="Arial"/>
          <w:b/>
          <w:bCs/>
          <w:color w:val="1A1A2E"/>
          <w:sz w:val="24"/>
          <w:szCs w:val="24"/>
        </w:rPr>
        <w:t xml:space="preserve">Key Performance Indicators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KPI</w:t>
            </w:r>
          </w:p>
        </w:tc>
        <w:tc>
          <w:tcPr>
            <w:tcW w:type="dxa" w:w="4513"/>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r>
      <w:tr>
        <w:tc>
          <w:tcPr>
            <w:tcW w:type="dxa" w:w="4513"/>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Total Revenue (2015-2017)</w:t>
            </w:r>
          </w:p>
        </w:tc>
        <w:tc>
          <w:tcPr>
            <w:tcW w:type="dxa" w:w="4513"/>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$36.4 Million</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Total Order Line Items Analyzed</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180,519</w:t>
            </w:r>
          </w:p>
        </w:tc>
      </w:tr>
      <w:tr>
        <w:tc>
          <w:tcPr>
            <w:tcW w:type="dxa" w:w="4513"/>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Average Late Delivery Rate</w:t>
            </w:r>
          </w:p>
        </w:tc>
        <w:tc>
          <w:tcPr>
            <w:tcW w:type="dxa" w:w="4513"/>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54.8% across all markets</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Top Revenue Product</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Field &amp; Stream Sportsman 16 Gun Fire Safe ($6.93M)</w:t>
            </w:r>
          </w:p>
        </w:tc>
      </w:tr>
      <w:tr>
        <w:tc>
          <w:tcPr>
            <w:tcW w:type="dxa" w:w="4513"/>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Top Revenue Department</w:t>
            </w:r>
          </w:p>
        </w:tc>
        <w:tc>
          <w:tcPr>
            <w:tcW w:type="dxa" w:w="4513"/>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Fan Shop (~$17M)</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Highest Profit Margin Department</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Fitness (~12.7%)</w:t>
            </w:r>
          </w:p>
        </w:tc>
      </w:tr>
      <w:tr>
        <w:tc>
          <w:tcPr>
            <w:tcW w:type="dxa" w:w="4513"/>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Dominant Payment Method</w:t>
            </w:r>
          </w:p>
        </w:tc>
        <w:tc>
          <w:tcPr>
            <w:tcW w:type="dxa" w:w="4513"/>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Debit (38.4%)</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Average Actual Shipping Days</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3.5 days</w:t>
            </w:r>
          </w:p>
        </w:tc>
      </w:tr>
      <w:tr>
        <w:tc>
          <w:tcPr>
            <w:tcW w:type="dxa" w:w="4513"/>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YoY Revenue Change (2016 to 2017)</w:t>
            </w:r>
          </w:p>
        </w:tc>
        <w:tc>
          <w:tcPr>
            <w:tcW w:type="dxa" w:w="4513"/>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-4.0%</w:t>
            </w:r>
          </w:p>
        </w:tc>
      </w:tr>
    </w:tbl>
    <w:p>
      <w:r>
        <w:br w:type="page"/>
      </w:r>
    </w:p>
    <w:p>
      <w:pPr>
        <w:pStyle w:val="Heading1"/>
        <w:spacing w:after="120" w:before="320"/>
      </w:pPr>
      <w:r>
        <w:rPr>
          <w:rFonts w:ascii="Arial" w:cs="Arial" w:eastAsia="Arial" w:hAnsi="Arial"/>
          <w:b/>
          <w:bCs/>
          <w:color w:val="1F3864"/>
          <w:sz w:val="34"/>
          <w:szCs w:val="34"/>
        </w:rPr>
        <w:t xml:space="preserve">2. Business Problem</w:t>
      </w:r>
    </w:p>
    <w:p>
      <w:pPr>
        <w:pBdr>
          <w:bottom w:val="single" w:color="2E75B6" w:sz="8" w:space="1"/>
        </w:pBdr>
        <w:spacing w:after="60" w:before="60"/>
      </w:pPr>
    </w:p>
    <w:p>
      <w:pPr>
        <w:spacing w:after="80" w:before="60"/>
      </w:pPr>
      <w:r>
        <w:rPr>
          <w:rFonts w:ascii="Arial" w:cs="Arial" w:eastAsia="Arial" w:hAnsi="Arial"/>
          <w:color w:val="1A1A2E"/>
          <w:sz w:val="22"/>
          <w:szCs w:val="22"/>
        </w:rPr>
        <w:t xml:space="preserve">Modern supply chain operations generate substantial volumes of transactional data spanning order processing, logistics, customer interactions, product performance, and financial outcomes. In the absence of a structured analytical framework, this data remains fragmented across operational systems, preventing decision-makers from obtaining a unified view of business performance.</w:t>
      </w:r>
    </w:p>
    <w:p>
      <w:pPr>
        <w:spacing w:after="40" w:before="80"/>
      </w:pPr>
    </w:p>
    <w:p>
      <w:pPr>
        <w:pStyle w:val="Heading2"/>
        <w:spacing w:after="100" w:before="240"/>
      </w:pPr>
      <w:r>
        <w:rPr>
          <w:rFonts w:ascii="Arial" w:cs="Arial" w:eastAsia="Arial" w:hAnsi="Arial"/>
          <w:b/>
          <w:bCs/>
          <w:color w:val="2E75B6"/>
          <w:sz w:val="28"/>
          <w:szCs w:val="28"/>
        </w:rPr>
        <w:t xml:space="preserve">2.1 Problem Statement</w:t>
      </w:r>
    </w:p>
    <w:p>
      <w:pPr>
        <w:spacing w:after="80" w:before="60"/>
      </w:pPr>
      <w:r>
        <w:rPr>
          <w:rFonts w:ascii="Arial" w:cs="Arial" w:eastAsia="Arial" w:hAnsi="Arial"/>
          <w:color w:val="1A1A2E"/>
          <w:sz w:val="22"/>
          <w:szCs w:val="22"/>
        </w:rPr>
        <w:t xml:space="preserve">The following critical business questions were identified as unresolved prior to this project:</w:t>
      </w:r>
    </w:p>
    <w:p>
      <w:pPr>
        <w:pStyle w:val="ListParagraph"/>
        <w:numPr>
          <w:ilvl w:val="0"/>
          <w:numId w:val="2"/>
        </w:numPr>
        <w:spacing w:after="40" w:before="40"/>
      </w:pPr>
      <w:r>
        <w:rPr>
          <w:rFonts w:ascii="Arial" w:cs="Arial" w:eastAsia="Arial" w:hAnsi="Arial"/>
          <w:b w:val="false"/>
          <w:bCs w:val="false"/>
          <w:color w:val="1A1A2E"/>
          <w:sz w:val="22"/>
          <w:szCs w:val="22"/>
        </w:rPr>
        <w:t xml:space="preserve">Which customer segments and geographic markets generate the highest revenue, and how are these trends evolving over time?</w:t>
      </w:r>
    </w:p>
    <w:p>
      <w:pPr>
        <w:pStyle w:val="ListParagraph"/>
        <w:numPr>
          <w:ilvl w:val="0"/>
          <w:numId w:val="2"/>
        </w:numPr>
        <w:spacing w:after="40" w:before="40"/>
      </w:pPr>
      <w:r>
        <w:rPr>
          <w:rFonts w:ascii="Arial" w:cs="Arial" w:eastAsia="Arial" w:hAnsi="Arial"/>
          <w:b w:val="false"/>
          <w:bCs w:val="false"/>
          <w:color w:val="1A1A2E"/>
          <w:sz w:val="22"/>
          <w:szCs w:val="22"/>
        </w:rPr>
        <w:t xml:space="preserve">What is causing more than half of all customer orders to be delivered late, and does this vary by market or product type?</w:t>
      </w:r>
    </w:p>
    <w:p>
      <w:pPr>
        <w:pStyle w:val="ListParagraph"/>
        <w:numPr>
          <w:ilvl w:val="0"/>
          <w:numId w:val="2"/>
        </w:numPr>
        <w:spacing w:after="40" w:before="40"/>
      </w:pPr>
      <w:r>
        <w:rPr>
          <w:rFonts w:ascii="Arial" w:cs="Arial" w:eastAsia="Arial" w:hAnsi="Arial"/>
          <w:b w:val="false"/>
          <w:bCs w:val="false"/>
          <w:color w:val="1A1A2E"/>
          <w:sz w:val="22"/>
          <w:szCs w:val="22"/>
        </w:rPr>
        <w:t xml:space="preserve">Which product departments and specific SKUs deliver the highest profit margins, and which are underperforming?</w:t>
      </w:r>
    </w:p>
    <w:p>
      <w:pPr>
        <w:pStyle w:val="ListParagraph"/>
        <w:numPr>
          <w:ilvl w:val="0"/>
          <w:numId w:val="2"/>
        </w:numPr>
        <w:spacing w:after="40" w:before="40"/>
      </w:pPr>
      <w:r>
        <w:rPr>
          <w:rFonts w:ascii="Arial" w:cs="Arial" w:eastAsia="Arial" w:hAnsi="Arial"/>
          <w:b w:val="false"/>
          <w:bCs w:val="false"/>
          <w:color w:val="1A1A2E"/>
          <w:sz w:val="22"/>
          <w:szCs w:val="22"/>
        </w:rPr>
        <w:t xml:space="preserve">How are annual revenue and profit metrics trending, and what corrective actions are required to reverse decline?</w:t>
      </w:r>
    </w:p>
    <w:p>
      <w:pPr>
        <w:pStyle w:val="ListParagraph"/>
        <w:numPr>
          <w:ilvl w:val="0"/>
          <w:numId w:val="2"/>
        </w:numPr>
        <w:spacing w:after="40" w:before="40"/>
      </w:pPr>
      <w:r>
        <w:rPr>
          <w:rFonts w:ascii="Arial" w:cs="Arial" w:eastAsia="Arial" w:hAnsi="Arial"/>
          <w:b w:val="false"/>
          <w:bCs w:val="false"/>
          <w:color w:val="1A1A2E"/>
          <w:sz w:val="22"/>
          <w:szCs w:val="22"/>
        </w:rPr>
        <w:t xml:space="preserve">How are discount rates being applied, and are they correlated with profitability outcomes?</w:t>
      </w:r>
    </w:p>
    <w:p>
      <w:pPr>
        <w:spacing w:after="40" w:before="80"/>
      </w:pPr>
    </w:p>
    <w:p>
      <w:pPr>
        <w:pStyle w:val="Heading2"/>
        <w:spacing w:after="100" w:before="240"/>
      </w:pPr>
      <w:r>
        <w:rPr>
          <w:rFonts w:ascii="Arial" w:cs="Arial" w:eastAsia="Arial" w:hAnsi="Arial"/>
          <w:b/>
          <w:bCs/>
          <w:color w:val="2E75B6"/>
          <w:sz w:val="28"/>
          <w:szCs w:val="28"/>
        </w:rPr>
        <w:t xml:space="preserve">2.2 Business Impact of the Problem</w:t>
      </w:r>
    </w:p>
    <w:p>
      <w:pPr>
        <w:pStyle w:val="ListParagraph"/>
        <w:numPr>
          <w:ilvl w:val="0"/>
          <w:numId w:val="2"/>
        </w:numPr>
        <w:spacing w:after="40" w:before="40"/>
      </w:pPr>
      <w:r>
        <w:rPr>
          <w:rFonts w:ascii="Arial" w:cs="Arial" w:eastAsia="Arial" w:hAnsi="Arial"/>
          <w:b w:val="false"/>
          <w:bCs w:val="false"/>
          <w:color w:val="1A1A2E"/>
          <w:sz w:val="22"/>
          <w:szCs w:val="22"/>
        </w:rPr>
        <w:t xml:space="preserve">Customer dissatisfaction and churn driven by a late delivery rate exceeding 54%, affecting all global markets uniformly.</w:t>
      </w:r>
    </w:p>
    <w:p>
      <w:pPr>
        <w:pStyle w:val="ListParagraph"/>
        <w:numPr>
          <w:ilvl w:val="0"/>
          <w:numId w:val="2"/>
        </w:numPr>
        <w:spacing w:after="40" w:before="40"/>
      </w:pPr>
      <w:r>
        <w:rPr>
          <w:rFonts w:ascii="Arial" w:cs="Arial" w:eastAsia="Arial" w:hAnsi="Arial"/>
          <w:b w:val="false"/>
          <w:bCs w:val="false"/>
          <w:color w:val="1A1A2E"/>
          <w:sz w:val="22"/>
          <w:szCs w:val="22"/>
        </w:rPr>
        <w:t xml:space="preserve">Revenue leakage from unstructured discount application, contributing to a subset of orders with negative profit outcomes.</w:t>
      </w:r>
    </w:p>
    <w:p>
      <w:pPr>
        <w:pStyle w:val="ListParagraph"/>
        <w:numPr>
          <w:ilvl w:val="0"/>
          <w:numId w:val="2"/>
        </w:numPr>
        <w:spacing w:after="40" w:before="40"/>
      </w:pPr>
      <w:r>
        <w:rPr>
          <w:rFonts w:ascii="Arial" w:cs="Arial" w:eastAsia="Arial" w:hAnsi="Arial"/>
          <w:b w:val="false"/>
          <w:bCs w:val="false"/>
          <w:color w:val="1A1A2E"/>
          <w:sz w:val="22"/>
          <w:szCs w:val="22"/>
        </w:rPr>
        <w:t xml:space="preserve">Missed growth opportunities in high-margin departments such as Fitness, which generate superior margins but remain under-resourced.</w:t>
      </w:r>
    </w:p>
    <w:p>
      <w:pPr>
        <w:pStyle w:val="ListParagraph"/>
        <w:numPr>
          <w:ilvl w:val="0"/>
          <w:numId w:val="2"/>
        </w:numPr>
        <w:spacing w:after="40" w:before="40"/>
      </w:pPr>
      <w:r>
        <w:rPr>
          <w:rFonts w:ascii="Arial" w:cs="Arial" w:eastAsia="Arial" w:hAnsi="Arial"/>
          <w:b w:val="false"/>
          <w:bCs w:val="false"/>
          <w:color w:val="1A1A2E"/>
          <w:sz w:val="22"/>
          <w:szCs w:val="22"/>
        </w:rPr>
        <w:t xml:space="preserve">Inability to respond to declining year-over-year revenue trends with targeted, data-driven interventions.</w:t>
      </w:r>
    </w:p>
    <w:p>
      <w:pPr>
        <w:spacing w:after="40" w:before="80"/>
      </w:pPr>
    </w:p>
    <w:p>
      <w:pPr>
        <w:pStyle w:val="Heading2"/>
        <w:spacing w:after="100" w:before="240"/>
      </w:pPr>
      <w:r>
        <w:rPr>
          <w:rFonts w:ascii="Arial" w:cs="Arial" w:eastAsia="Arial" w:hAnsi="Arial"/>
          <w:b/>
          <w:bCs/>
          <w:color w:val="2E75B6"/>
          <w:sz w:val="28"/>
          <w:szCs w:val="28"/>
        </w:rPr>
        <w:t xml:space="preserve">2.3 Project Objective</w:t>
      </w:r>
    </w:p>
    <w:p>
      <w:pPr>
        <w:spacing w:after="80" w:before="60"/>
      </w:pPr>
      <w:r>
        <w:rPr>
          <w:rFonts w:ascii="Arial" w:cs="Arial" w:eastAsia="Arial" w:hAnsi="Arial"/>
          <w:color w:val="1A1A2E"/>
          <w:sz w:val="22"/>
          <w:szCs w:val="22"/>
        </w:rPr>
        <w:t xml:space="preserve">This project was commissioned to address these challenges by constructing a complete, end-to-end analytics pipeline that provides full visibility into supply chain performance across sales, logistics, profitability, and customer behavior dimensions.</w:t>
      </w:r>
    </w:p>
    <w:p>
      <w:r>
        <w:br w:type="page"/>
      </w:r>
    </w:p>
    <w:p>
      <w:pPr>
        <w:pStyle w:val="Heading1"/>
        <w:spacing w:after="120" w:before="320"/>
      </w:pPr>
      <w:r>
        <w:rPr>
          <w:rFonts w:ascii="Arial" w:cs="Arial" w:eastAsia="Arial" w:hAnsi="Arial"/>
          <w:b/>
          <w:bCs/>
          <w:color w:val="1F3864"/>
          <w:sz w:val="34"/>
          <w:szCs w:val="34"/>
        </w:rPr>
        <w:t xml:space="preserve">3. Project Architecture and Workflow</w:t>
      </w:r>
    </w:p>
    <w:p>
      <w:pPr>
        <w:pBdr>
          <w:bottom w:val="single" w:color="2E75B6" w:sz="8" w:space="1"/>
        </w:pBdr>
        <w:spacing w:after="60" w:before="60"/>
      </w:pPr>
    </w:p>
    <w:p>
      <w:pPr>
        <w:spacing w:after="80" w:before="60"/>
      </w:pPr>
      <w:r>
        <w:rPr>
          <w:rFonts w:ascii="Arial" w:cs="Arial" w:eastAsia="Arial" w:hAnsi="Arial"/>
          <w:color w:val="1A1A2E"/>
          <w:sz w:val="22"/>
          <w:szCs w:val="22"/>
        </w:rPr>
        <w:t xml:space="preserve">The project is structured as a four-layer analytics pipeline, with each layer serving a distinct analytical function and a different organizational audience. Data flows sequentially from raw transactional records through to strategic executive reporting.</w:t>
      </w:r>
    </w:p>
    <w:p>
      <w:pPr>
        <w:spacing w:after="4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400"/>
        <w:gridCol w:w="2100"/>
        <w:gridCol w:w="1826"/>
      </w:tblGrid>
      <w:tr>
        <w:tc>
          <w:tcPr>
            <w:tcW w:type="dxa" w:w="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Tool</w:t>
            </w:r>
          </w:p>
        </w:tc>
        <w:tc>
          <w:tcPr>
            <w:tcW w:type="dxa" w:w="21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Output</w:t>
            </w:r>
          </w:p>
        </w:tc>
        <w:tc>
          <w:tcPr>
            <w:tcW w:type="dxa" w:w="182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Audience</w:t>
            </w:r>
          </w:p>
        </w:tc>
      </w:tr>
      <w:tr>
        <w:tc>
          <w:tcPr>
            <w:tcW w:type="dxa" w:w="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1</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Data Engineering</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SQL Server</w:t>
            </w:r>
          </w:p>
        </w:tc>
        <w:tc>
          <w:tcPr>
            <w:tcW w:type="dxa" w:w="21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Star Schema Warehouse</w:t>
            </w:r>
          </w:p>
        </w:tc>
        <w:tc>
          <w:tcPr>
            <w:tcW w:type="dxa" w:w="18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 Engineers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Operational Monitoring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Microsoft Excel</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KPI Dashboard</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Operations Managers</w:t>
            </w:r>
          </w:p>
        </w:tc>
      </w:tr>
      <w:tr>
        <w:tc>
          <w:tcPr>
            <w:tcW w:type="dxa" w:w="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3</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Strategic Intelligence</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Microsoft Power BI</w:t>
            </w:r>
          </w:p>
        </w:tc>
        <w:tc>
          <w:tcPr>
            <w:tcW w:type="dxa" w:w="21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Executive BI Report</w:t>
            </w:r>
          </w:p>
        </w:tc>
        <w:tc>
          <w:tcPr>
            <w:tcW w:type="dxa" w:w="18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Executives / Leadership</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Advanced Analytics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Python (Pandas, Seaborn)</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EDA Notebook + 13 Charts</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 Analysts / Scientists</w:t>
            </w:r>
          </w:p>
        </w:tc>
      </w:tr>
    </w:tbl>
    <w:p>
      <w:pPr>
        <w:spacing w:after="80" w:before="160"/>
      </w:pPr>
    </w:p>
    <w:p>
      <w:pPr>
        <w:pStyle w:val="Heading2"/>
        <w:spacing w:after="100" w:before="240"/>
      </w:pPr>
      <w:r>
        <w:rPr>
          <w:rFonts w:ascii="Arial" w:cs="Arial" w:eastAsia="Arial" w:hAnsi="Arial"/>
          <w:b/>
          <w:bCs/>
          <w:color w:val="2E75B6"/>
          <w:sz w:val="28"/>
          <w:szCs w:val="28"/>
        </w:rPr>
        <w:t xml:space="preserve">3.1 End-to-End Data Flow</w:t>
      </w:r>
    </w:p>
    <w:p>
      <w:pPr>
        <w:pStyle w:val="ListParagraph"/>
        <w:numPr>
          <w:ilvl w:val="0"/>
          <w:numId w:val="3"/>
        </w:numPr>
        <w:spacing w:after="40" w:before="40"/>
      </w:pPr>
      <w:r>
        <w:rPr>
          <w:rFonts w:ascii="Arial" w:cs="Arial" w:eastAsia="Arial" w:hAnsi="Arial"/>
          <w:color w:val="1A1A2E"/>
          <w:sz w:val="22"/>
          <w:szCs w:val="22"/>
        </w:rPr>
        <w:t xml:space="preserve">Raw transactional data is ingested from source systems into SQL Server staging tables.</w:t>
      </w:r>
    </w:p>
    <w:p>
      <w:pPr>
        <w:pStyle w:val="ListParagraph"/>
        <w:numPr>
          <w:ilvl w:val="0"/>
          <w:numId w:val="3"/>
        </w:numPr>
        <w:spacing w:after="40" w:before="40"/>
      </w:pPr>
      <w:r>
        <w:rPr>
          <w:rFonts w:ascii="Arial" w:cs="Arial" w:eastAsia="Arial" w:hAnsi="Arial"/>
          <w:color w:val="1A1A2E"/>
          <w:sz w:val="22"/>
          <w:szCs w:val="22"/>
        </w:rPr>
        <w:t xml:space="preserve">T-SQL ETL scripts clean the data, resolve NULLs and duplicates, and load it into a star schema.</w:t>
      </w:r>
    </w:p>
    <w:p>
      <w:pPr>
        <w:pStyle w:val="ListParagraph"/>
        <w:numPr>
          <w:ilvl w:val="0"/>
          <w:numId w:val="3"/>
        </w:numPr>
        <w:spacing w:after="40" w:before="40"/>
      </w:pPr>
      <w:r>
        <w:rPr>
          <w:rFonts w:ascii="Arial" w:cs="Arial" w:eastAsia="Arial" w:hAnsi="Arial"/>
          <w:color w:val="1A1A2E"/>
          <w:sz w:val="22"/>
          <w:szCs w:val="22"/>
        </w:rPr>
        <w:t xml:space="preserve">The cleansed, modeled data is surfaced in Excel via PivotTables for operational reporting.</w:t>
      </w:r>
    </w:p>
    <w:p>
      <w:pPr>
        <w:pStyle w:val="ListParagraph"/>
        <w:numPr>
          <w:ilvl w:val="0"/>
          <w:numId w:val="3"/>
        </w:numPr>
        <w:spacing w:after="40" w:before="40"/>
      </w:pPr>
      <w:r>
        <w:rPr>
          <w:rFonts w:ascii="Arial" w:cs="Arial" w:eastAsia="Arial" w:hAnsi="Arial"/>
          <w:color w:val="1A1A2E"/>
          <w:sz w:val="22"/>
          <w:szCs w:val="22"/>
        </w:rPr>
        <w:t xml:space="preserve">Power BI connects to the warehouse to deliver interactive executive dashboards with DAX measures.</w:t>
      </w:r>
    </w:p>
    <w:p>
      <w:pPr>
        <w:pStyle w:val="ListParagraph"/>
        <w:numPr>
          <w:ilvl w:val="0"/>
          <w:numId w:val="3"/>
        </w:numPr>
        <w:spacing w:after="40" w:before="40"/>
      </w:pPr>
      <w:r>
        <w:rPr>
          <w:rFonts w:ascii="Arial" w:cs="Arial" w:eastAsia="Arial" w:hAnsi="Arial"/>
          <w:color w:val="1A1A2E"/>
          <w:sz w:val="22"/>
          <w:szCs w:val="22"/>
        </w:rPr>
        <w:t xml:space="preserve">Python reads from the data source to perform deep statistical analysis and generate visual insights.</w:t>
      </w:r>
    </w:p>
    <w:p>
      <w:r>
        <w:br w:type="page"/>
      </w:r>
    </w:p>
    <w:p>
      <w:pPr>
        <w:pStyle w:val="Heading1"/>
        <w:spacing w:after="120" w:before="320"/>
      </w:pPr>
      <w:r>
        <w:rPr>
          <w:rFonts w:ascii="Arial" w:cs="Arial" w:eastAsia="Arial" w:hAnsi="Arial"/>
          <w:b/>
          <w:bCs/>
          <w:color w:val="1F3864"/>
          <w:sz w:val="34"/>
          <w:szCs w:val="34"/>
        </w:rPr>
        <w:t xml:space="preserve">4. SQL Data Engineering Layer</w:t>
      </w:r>
    </w:p>
    <w:p>
      <w:pPr>
        <w:pBdr>
          <w:bottom w:val="single" w:color="2E75B6" w:sz="8" w:space="1"/>
        </w:pBdr>
        <w:spacing w:after="60" w:before="60"/>
      </w:pPr>
    </w:p>
    <w:p>
      <w:pPr>
        <w:pStyle w:val="Heading2"/>
        <w:spacing w:after="100" w:before="240"/>
      </w:pPr>
      <w:r>
        <w:rPr>
          <w:rFonts w:ascii="Arial" w:cs="Arial" w:eastAsia="Arial" w:hAnsi="Arial"/>
          <w:b/>
          <w:bCs/>
          <w:color w:val="2E75B6"/>
          <w:sz w:val="28"/>
          <w:szCs w:val="28"/>
        </w:rPr>
        <w:t xml:space="preserve">4.1 Objective</w:t>
      </w:r>
    </w:p>
    <w:p>
      <w:pPr>
        <w:spacing w:after="80" w:before="60"/>
      </w:pPr>
      <w:r>
        <w:rPr>
          <w:rFonts w:ascii="Arial" w:cs="Arial" w:eastAsia="Arial" w:hAnsi="Arial"/>
          <w:color w:val="1A1A2E"/>
          <w:sz w:val="22"/>
          <w:szCs w:val="22"/>
        </w:rPr>
        <w:t xml:space="preserve">The objective of the SQL engineering layer is to design and populate a scalable, query-optimized data warehouse using a star schema pattern in Microsoft SQL Server. This warehouse serves as the single source of truth for all downstream analytical layers.</w:t>
      </w:r>
    </w:p>
    <w:p>
      <w:pPr>
        <w:spacing w:after="40" w:before="80"/>
      </w:pPr>
    </w:p>
    <w:p>
      <w:pPr>
        <w:pStyle w:val="Heading2"/>
        <w:spacing w:after="100" w:before="240"/>
      </w:pPr>
      <w:r>
        <w:rPr>
          <w:rFonts w:ascii="Arial" w:cs="Arial" w:eastAsia="Arial" w:hAnsi="Arial"/>
          <w:b/>
          <w:bCs/>
          <w:color w:val="2E75B6"/>
          <w:sz w:val="28"/>
          <w:szCs w:val="28"/>
        </w:rPr>
        <w:t xml:space="preserve">4.2 Star Schema Design</w:t>
      </w:r>
    </w:p>
    <w:p>
      <w:pPr>
        <w:spacing w:after="80" w:before="60"/>
      </w:pPr>
      <w:r>
        <w:rPr>
          <w:rFonts w:ascii="Arial" w:cs="Arial" w:eastAsia="Arial" w:hAnsi="Arial"/>
          <w:color w:val="1A1A2E"/>
          <w:sz w:val="22"/>
          <w:szCs w:val="22"/>
        </w:rPr>
        <w:t xml:space="preserve">The data model follows a classic star schema: a central Fact_Sales table connected to five dimension tables via surrogate key relationships. This design enables fast, flexible aggregation queries with minimal joins.</w:t>
      </w:r>
    </w:p>
    <w:p>
      <w:pPr>
        <w:spacing w:after="60" w:before="40"/>
      </w:pPr>
    </w:p>
    <w:p>
      <w:pPr>
        <w:pStyle w:val="Heading3"/>
        <w:spacing w:after="80" w:before="180"/>
      </w:pPr>
      <w:r>
        <w:rPr>
          <w:rFonts w:ascii="Arial" w:cs="Arial" w:eastAsia="Arial" w:hAnsi="Arial"/>
          <w:b/>
          <w:bCs/>
          <w:color w:val="1A1A2E"/>
          <w:sz w:val="24"/>
          <w:szCs w:val="24"/>
        </w:rPr>
        <w:t xml:space="preserve">Fact Table: Fact_Sales</w:t>
      </w:r>
    </w:p>
    <w:p>
      <w:pPr>
        <w:spacing w:after="80" w:before="60"/>
      </w:pPr>
      <w:r>
        <w:rPr>
          <w:rFonts w:ascii="Arial" w:cs="Arial" w:eastAsia="Arial" w:hAnsi="Arial"/>
          <w:color w:val="1A1A2E"/>
          <w:sz w:val="22"/>
          <w:szCs w:val="22"/>
        </w:rPr>
        <w:t xml:space="preserve">Grain: one row per order line item. Measurable metrics stored include:</w:t>
      </w:r>
    </w:p>
    <w:p>
      <w:pPr>
        <w:pStyle w:val="ListParagraph"/>
        <w:numPr>
          <w:ilvl w:val="0"/>
          <w:numId w:val="2"/>
        </w:numPr>
        <w:spacing w:after="40" w:before="40"/>
      </w:pPr>
      <w:r>
        <w:rPr>
          <w:rFonts w:ascii="Arial" w:cs="Arial" w:eastAsia="Arial" w:hAnsi="Arial"/>
          <w:b w:val="false"/>
          <w:bCs w:val="false"/>
          <w:color w:val="1A1A2E"/>
          <w:sz w:val="22"/>
          <w:szCs w:val="22"/>
        </w:rPr>
        <w:t xml:space="preserve">Sales, Order_Item_Total, Order_Item_Discount, Order_Item_Discount_Rate</w:t>
      </w:r>
    </w:p>
    <w:p>
      <w:pPr>
        <w:pStyle w:val="ListParagraph"/>
        <w:numPr>
          <w:ilvl w:val="0"/>
          <w:numId w:val="2"/>
        </w:numPr>
        <w:spacing w:after="40" w:before="40"/>
      </w:pPr>
      <w:r>
        <w:rPr>
          <w:rFonts w:ascii="Arial" w:cs="Arial" w:eastAsia="Arial" w:hAnsi="Arial"/>
          <w:b w:val="false"/>
          <w:bCs w:val="false"/>
          <w:color w:val="1A1A2E"/>
          <w:sz w:val="22"/>
          <w:szCs w:val="22"/>
        </w:rPr>
        <w:t xml:space="preserve">Order_Item_Profit_Ratio, Order_Profit_Per_Order</w:t>
      </w:r>
    </w:p>
    <w:p>
      <w:pPr>
        <w:pStyle w:val="ListParagraph"/>
        <w:numPr>
          <w:ilvl w:val="0"/>
          <w:numId w:val="2"/>
        </w:numPr>
        <w:spacing w:after="40" w:before="40"/>
      </w:pPr>
      <w:r>
        <w:rPr>
          <w:rFonts w:ascii="Arial" w:cs="Arial" w:eastAsia="Arial" w:hAnsi="Arial"/>
          <w:b w:val="false"/>
          <w:bCs w:val="false"/>
          <w:color w:val="1A1A2E"/>
          <w:sz w:val="22"/>
          <w:szCs w:val="22"/>
        </w:rPr>
        <w:t xml:space="preserve">Days_Shipping_Real, Days_Shipment_Scheduled</w:t>
      </w:r>
    </w:p>
    <w:p>
      <w:pPr>
        <w:pStyle w:val="ListParagraph"/>
        <w:numPr>
          <w:ilvl w:val="0"/>
          <w:numId w:val="2"/>
        </w:numPr>
        <w:spacing w:after="40" w:before="40"/>
      </w:pPr>
      <w:r>
        <w:rPr>
          <w:rFonts w:ascii="Arial" w:cs="Arial" w:eastAsia="Arial" w:hAnsi="Arial"/>
          <w:b w:val="false"/>
          <w:bCs w:val="false"/>
          <w:color w:val="1A1A2E"/>
          <w:sz w:val="22"/>
          <w:szCs w:val="22"/>
        </w:rPr>
        <w:t xml:space="preserve">Payment_Type, Order_Status</w:t>
      </w:r>
    </w:p>
    <w:p>
      <w:pPr>
        <w:pStyle w:val="ListParagraph"/>
        <w:numPr>
          <w:ilvl w:val="0"/>
          <w:numId w:val="2"/>
        </w:numPr>
        <w:spacing w:after="40" w:before="40"/>
      </w:pPr>
      <w:r>
        <w:rPr>
          <w:rFonts w:ascii="Arial" w:cs="Arial" w:eastAsia="Arial" w:hAnsi="Arial"/>
          <w:b w:val="false"/>
          <w:bCs w:val="false"/>
          <w:color w:val="1A1A2E"/>
          <w:sz w:val="22"/>
          <w:szCs w:val="22"/>
        </w:rPr>
        <w:t xml:space="preserve">Foreign keys to all five dimension tables</w:t>
      </w:r>
    </w:p>
    <w:p>
      <w:pPr>
        <w:spacing w:after="40" w:before="80"/>
      </w:pPr>
    </w:p>
    <w:p>
      <w:pPr>
        <w:pStyle w:val="Heading3"/>
        <w:spacing w:after="80" w:before="180"/>
      </w:pPr>
      <w:r>
        <w:rPr>
          <w:rFonts w:ascii="Arial" w:cs="Arial" w:eastAsia="Arial" w:hAnsi="Arial"/>
          <w:b/>
          <w:bCs/>
          <w:color w:val="1A1A2E"/>
          <w:sz w:val="24"/>
          <w:szCs w:val="24"/>
        </w:rPr>
        <w:t xml:space="preserve">Dimension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26"/>
      </w:tblGrid>
      <w:tr>
        <w:tc>
          <w:tcPr>
            <w:tcW w:type="dxa" w:w="21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Table</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Primary Key</w:t>
            </w:r>
          </w:p>
        </w:tc>
        <w:tc>
          <w:tcPr>
            <w:tcW w:type="dxa" w:w="542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Attributes</w:t>
            </w:r>
          </w:p>
        </w:tc>
      </w:tr>
      <w:tr>
        <w:tc>
          <w:tcPr>
            <w:tcW w:type="dxa" w:w="21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Dim_Customer</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Customer_SK</w:t>
            </w:r>
          </w:p>
        </w:tc>
        <w:tc>
          <w:tcPr>
            <w:tcW w:type="dxa" w:w="54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Segment, City, State, Country, Zipcode</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Dim_Product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Product_SK</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Product Name, Price, Status, Category_SK</w:t>
            </w:r>
          </w:p>
        </w:tc>
      </w:tr>
      <w:tr>
        <w:tc>
          <w:tcPr>
            <w:tcW w:type="dxa" w:w="21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Dim_Location</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Location_SK</w:t>
            </w:r>
          </w:p>
        </w:tc>
        <w:tc>
          <w:tcPr>
            <w:tcW w:type="dxa" w:w="54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City, State, Region, Market, Latitude, Longitude</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Dim_Date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Date_SK</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Full Date, Day, Month, Month Name, Quarter, Year, Week</w:t>
            </w:r>
          </w:p>
        </w:tc>
      </w:tr>
      <w:tr>
        <w:tc>
          <w:tcPr>
            <w:tcW w:type="dxa" w:w="21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Dim_Category</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Category_SK</w:t>
            </w:r>
          </w:p>
        </w:tc>
        <w:tc>
          <w:tcPr>
            <w:tcW w:type="dxa" w:w="54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Category Name, Department_SK</w:t>
            </w:r>
          </w:p>
        </w:tc>
      </w:tr>
    </w:tbl>
    <w:p>
      <w:pPr>
        <w:spacing w:after="40" w:before="160"/>
      </w:pPr>
    </w:p>
    <w:p>
      <w:pPr>
        <w:pStyle w:val="Heading2"/>
        <w:spacing w:after="100" w:before="240"/>
      </w:pPr>
      <w:r>
        <w:rPr>
          <w:rFonts w:ascii="Arial" w:cs="Arial" w:eastAsia="Arial" w:hAnsi="Arial"/>
          <w:b/>
          <w:bCs/>
          <w:color w:val="2E75B6"/>
          <w:sz w:val="28"/>
          <w:szCs w:val="28"/>
        </w:rPr>
        <w:t xml:space="preserve">4.3 ETL Process</w:t>
      </w:r>
    </w:p>
    <w:p>
      <w:pPr>
        <w:pStyle w:val="Heading3"/>
        <w:spacing w:after="80" w:before="180"/>
      </w:pPr>
      <w:r>
        <w:rPr>
          <w:rFonts w:ascii="Arial" w:cs="Arial" w:eastAsia="Arial" w:hAnsi="Arial"/>
          <w:b/>
          <w:bCs/>
          <w:color w:val="1A1A2E"/>
          <w:sz w:val="24"/>
          <w:szCs w:val="24"/>
        </w:rPr>
        <w:t xml:space="preserve">Step 1: DDL - Table Creation</w:t>
      </w:r>
    </w:p>
    <w:p>
      <w:pPr>
        <w:spacing w:after="80" w:before="60"/>
      </w:pPr>
      <w:r>
        <w:rPr>
          <w:rFonts w:ascii="Arial" w:cs="Arial" w:eastAsia="Arial" w:hAnsi="Arial"/>
          <w:color w:val="1A1A2E"/>
          <w:sz w:val="22"/>
          <w:szCs w:val="22"/>
        </w:rPr>
        <w:t xml:space="preserve">All dimension and fact tables were created with explicit PRIMARY KEY and FOREIGN KEY constraints. Correct data types were applied to all columns to enforce data integrity at the schema level.</w:t>
      </w:r>
    </w:p>
    <w:p>
      <w:pPr>
        <w:pStyle w:val="Heading3"/>
        <w:spacing w:after="80" w:before="180"/>
      </w:pPr>
      <w:r>
        <w:rPr>
          <w:rFonts w:ascii="Arial" w:cs="Arial" w:eastAsia="Arial" w:hAnsi="Arial"/>
          <w:b/>
          <w:bCs/>
          <w:color w:val="1A1A2E"/>
          <w:sz w:val="24"/>
          <w:szCs w:val="24"/>
        </w:rPr>
        <w:t xml:space="preserve">Step 2: Dimension Loading</w:t>
      </w:r>
    </w:p>
    <w:p>
      <w:pPr>
        <w:spacing w:after="80" w:before="60"/>
      </w:pPr>
      <w:r>
        <w:rPr>
          <w:rFonts w:ascii="Arial" w:cs="Arial" w:eastAsia="Arial" w:hAnsi="Arial"/>
          <w:color w:val="1A1A2E"/>
          <w:sz w:val="22"/>
          <w:szCs w:val="22"/>
        </w:rPr>
        <w:t xml:space="preserve">Dimension tables were populated using INSERT INTO ... SELECT statements from pre-existing staging tables (identified by the _0 suffix). The Dim_Date table was enriched using T-SQL date functions (DAY, MONTH, DATENAME, DATEPART) to derive all calendar attributes from the source date column.</w:t>
      </w:r>
    </w:p>
    <w:p>
      <w:pPr>
        <w:pStyle w:val="Heading3"/>
        <w:spacing w:after="80" w:before="180"/>
      </w:pPr>
      <w:r>
        <w:rPr>
          <w:rFonts w:ascii="Arial" w:cs="Arial" w:eastAsia="Arial" w:hAnsi="Arial"/>
          <w:b/>
          <w:bCs/>
          <w:color w:val="1A1A2E"/>
          <w:sz w:val="24"/>
          <w:szCs w:val="24"/>
        </w:rPr>
        <w:t xml:space="preserve">Step 3: Dimension Enrichment</w:t>
      </w:r>
    </w:p>
    <w:p>
      <w:pPr>
        <w:spacing w:after="80" w:before="60"/>
      </w:pPr>
      <w:r>
        <w:rPr>
          <w:rFonts w:ascii="Arial" w:cs="Arial" w:eastAsia="Arial" w:hAnsi="Arial"/>
          <w:color w:val="1A1A2E"/>
          <w:sz w:val="22"/>
          <w:szCs w:val="22"/>
        </w:rPr>
        <w:t xml:space="preserve">A Category_SK column was added to Dim_Product via ALTER TABLE, then populated with a correlated UPDATE JOIN against the staging table. A final INSERT with NOT EXISTS ensured no records were missed.</w:t>
      </w:r>
    </w:p>
    <w:p>
      <w:pPr>
        <w:pStyle w:val="Heading3"/>
        <w:spacing w:after="80" w:before="180"/>
      </w:pPr>
      <w:r>
        <w:rPr>
          <w:rFonts w:ascii="Arial" w:cs="Arial" w:eastAsia="Arial" w:hAnsi="Arial"/>
          <w:b/>
          <w:bCs/>
          <w:color w:val="1A1A2E"/>
          <w:sz w:val="24"/>
          <w:szCs w:val="24"/>
        </w:rPr>
        <w:t xml:space="preserve">Step 4: Fact Table Loading</w:t>
      </w:r>
    </w:p>
    <w:p>
      <w:pPr>
        <w:spacing w:after="80" w:before="60"/>
      </w:pPr>
      <w:r>
        <w:rPr>
          <w:rFonts w:ascii="Arial" w:cs="Arial" w:eastAsia="Arial" w:hAnsi="Arial"/>
          <w:color w:val="1A1A2E"/>
          <w:sz w:val="22"/>
          <w:szCs w:val="22"/>
        </w:rPr>
        <w:t xml:space="preserve">The Fact_Sales table was populated from the Fact_Sales0 staging table, preserving all metric columns and foreign key relationships in a single INSERT INTO ... SELECT statement.</w:t>
      </w:r>
    </w:p>
    <w:p>
      <w:pPr>
        <w:pStyle w:val="Heading3"/>
        <w:spacing w:after="80" w:before="180"/>
      </w:pPr>
      <w:r>
        <w:rPr>
          <w:rFonts w:ascii="Arial" w:cs="Arial" w:eastAsia="Arial" w:hAnsi="Arial"/>
          <w:b/>
          <w:bCs/>
          <w:color w:val="1A1A2E"/>
          <w:sz w:val="24"/>
          <w:szCs w:val="24"/>
        </w:rPr>
        <w:t xml:space="preserve">Step 5: Data Validation</w:t>
      </w:r>
    </w:p>
    <w:p>
      <w:pPr>
        <w:pStyle w:val="ListParagraph"/>
        <w:numPr>
          <w:ilvl w:val="0"/>
          <w:numId w:val="2"/>
        </w:numPr>
        <w:spacing w:after="40" w:before="40"/>
      </w:pPr>
      <w:r>
        <w:rPr>
          <w:rFonts w:ascii="Arial" w:cs="Arial" w:eastAsia="Arial" w:hAnsi="Arial"/>
          <w:b w:val="false"/>
          <w:bCs w:val="false"/>
          <w:color w:val="1A1A2E"/>
          <w:sz w:val="22"/>
          <w:szCs w:val="22"/>
        </w:rPr>
        <w:t xml:space="preserve">Row count verification across all six tables</w:t>
      </w:r>
    </w:p>
    <w:p>
      <w:pPr>
        <w:pStyle w:val="ListParagraph"/>
        <w:numPr>
          <w:ilvl w:val="0"/>
          <w:numId w:val="2"/>
        </w:numPr>
        <w:spacing w:after="40" w:before="40"/>
      </w:pPr>
      <w:r>
        <w:rPr>
          <w:rFonts w:ascii="Arial" w:cs="Arial" w:eastAsia="Arial" w:hAnsi="Arial"/>
          <w:b w:val="false"/>
          <w:bCs w:val="false"/>
          <w:color w:val="1A1A2E"/>
          <w:sz w:val="22"/>
          <w:szCs w:val="22"/>
        </w:rPr>
        <w:t xml:space="preserve">NULL check on all four foreign key columns in Fact_Sales</w:t>
      </w:r>
    </w:p>
    <w:p>
      <w:pPr>
        <w:pStyle w:val="ListParagraph"/>
        <w:numPr>
          <w:ilvl w:val="0"/>
          <w:numId w:val="2"/>
        </w:numPr>
        <w:spacing w:after="40" w:before="40"/>
      </w:pPr>
      <w:r>
        <w:rPr>
          <w:rFonts w:ascii="Arial" w:cs="Arial" w:eastAsia="Arial" w:hAnsi="Arial"/>
          <w:b w:val="false"/>
          <w:bCs w:val="false"/>
          <w:color w:val="1A1A2E"/>
          <w:sz w:val="22"/>
          <w:szCs w:val="22"/>
        </w:rPr>
        <w:t xml:space="preserve">Business total reconciliation: Total Sales, Total Quantity, Total Profit</w:t>
      </w:r>
    </w:p>
    <w:p>
      <w:pPr>
        <w:pStyle w:val="ListParagraph"/>
        <w:numPr>
          <w:ilvl w:val="0"/>
          <w:numId w:val="2"/>
        </w:numPr>
        <w:spacing w:after="40" w:before="40"/>
      </w:pPr>
      <w:r>
        <w:rPr>
          <w:rFonts w:ascii="Arial" w:cs="Arial" w:eastAsia="Arial" w:hAnsi="Arial"/>
          <w:b w:val="false"/>
          <w:bCs w:val="false"/>
          <w:color w:val="1A1A2E"/>
          <w:sz w:val="22"/>
          <w:szCs w:val="22"/>
        </w:rPr>
        <w:t xml:space="preserve">Referential integrity check via LEFT JOIN null detection for Customer, Product, and Location keys</w:t>
      </w:r>
    </w:p>
    <w:p>
      <w:r>
        <w:br w:type="page"/>
      </w:r>
    </w:p>
    <w:p>
      <w:pPr>
        <w:pStyle w:val="Heading1"/>
        <w:spacing w:after="120" w:before="320"/>
      </w:pPr>
      <w:r>
        <w:rPr>
          <w:rFonts w:ascii="Arial" w:cs="Arial" w:eastAsia="Arial" w:hAnsi="Arial"/>
          <w:b/>
          <w:bCs/>
          <w:color w:val="1F3864"/>
          <w:sz w:val="34"/>
          <w:szCs w:val="34"/>
        </w:rPr>
        <w:t xml:space="preserve">5. Excel Operational Dashboard</w:t>
      </w:r>
    </w:p>
    <w:p>
      <w:pPr>
        <w:pBdr>
          <w:bottom w:val="single" w:color="2E75B6" w:sz="8" w:space="1"/>
        </w:pBdr>
        <w:spacing w:after="60" w:before="60"/>
      </w:pPr>
    </w:p>
    <w:p>
      <w:pPr>
        <w:pStyle w:val="Heading2"/>
        <w:spacing w:after="100" w:before="240"/>
      </w:pPr>
      <w:r>
        <w:rPr>
          <w:rFonts w:ascii="Arial" w:cs="Arial" w:eastAsia="Arial" w:hAnsi="Arial"/>
          <w:b/>
          <w:bCs/>
          <w:color w:val="2E75B6"/>
          <w:sz w:val="28"/>
          <w:szCs w:val="28"/>
        </w:rPr>
        <w:t xml:space="preserve">5.1 Objective</w:t>
      </w:r>
    </w:p>
    <w:p>
      <w:pPr>
        <w:spacing w:after="80" w:before="60"/>
      </w:pPr>
      <w:r>
        <w:rPr>
          <w:rFonts w:ascii="Arial" w:cs="Arial" w:eastAsia="Arial" w:hAnsi="Arial"/>
          <w:color w:val="1A1A2E"/>
          <w:sz w:val="22"/>
          <w:szCs w:val="22"/>
        </w:rPr>
        <w:t xml:space="preserve">The Excel dashboard layer provides operations managers with a self-service, interactive tool for monitoring day-to-day KPIs without requiring access to a dedicated BI platform. It was designed for accessibility, clarity, and ease of use in a standard business environment.</w:t>
      </w:r>
    </w:p>
    <w:p>
      <w:pPr>
        <w:spacing w:after="40" w:before="80"/>
      </w:pPr>
    </w:p>
    <w:p>
      <w:pPr>
        <w:pStyle w:val="Heading2"/>
        <w:spacing w:after="100" w:before="240"/>
      </w:pPr>
      <w:r>
        <w:rPr>
          <w:rFonts w:ascii="Arial" w:cs="Arial" w:eastAsia="Arial" w:hAnsi="Arial"/>
          <w:b/>
          <w:bCs/>
          <w:color w:val="2E75B6"/>
          <w:sz w:val="28"/>
          <w:szCs w:val="28"/>
        </w:rPr>
        <w:t xml:space="preserve">5.2 Features and Capabilities</w:t>
      </w:r>
    </w:p>
    <w:p>
      <w:pPr>
        <w:pStyle w:val="ListParagraph"/>
        <w:numPr>
          <w:ilvl w:val="0"/>
          <w:numId w:val="2"/>
        </w:numPr>
        <w:spacing w:after="40" w:before="40"/>
      </w:pPr>
      <w:r>
        <w:rPr>
          <w:rFonts w:ascii="Arial" w:cs="Arial" w:eastAsia="Arial" w:hAnsi="Arial"/>
          <w:b w:val="false"/>
          <w:bCs w:val="false"/>
          <w:color w:val="1A1A2E"/>
          <w:sz w:val="22"/>
          <w:szCs w:val="22"/>
        </w:rPr>
        <w:t xml:space="preserve">Revenue analysis broken down by product category, customer segment, and time period</w:t>
      </w:r>
    </w:p>
    <w:p>
      <w:pPr>
        <w:pStyle w:val="ListParagraph"/>
        <w:numPr>
          <w:ilvl w:val="0"/>
          <w:numId w:val="2"/>
        </w:numPr>
        <w:spacing w:after="40" w:before="40"/>
      </w:pPr>
      <w:r>
        <w:rPr>
          <w:rFonts w:ascii="Arial" w:cs="Arial" w:eastAsia="Arial" w:hAnsi="Arial"/>
          <w:b w:val="false"/>
          <w:bCs w:val="false"/>
          <w:color w:val="1A1A2E"/>
          <w:sz w:val="22"/>
          <w:szCs w:val="22"/>
        </w:rPr>
        <w:t xml:space="preserve">Cost versus profit tracking with visual trend indicators</w:t>
      </w:r>
    </w:p>
    <w:p>
      <w:pPr>
        <w:pStyle w:val="ListParagraph"/>
        <w:numPr>
          <w:ilvl w:val="0"/>
          <w:numId w:val="2"/>
        </w:numPr>
        <w:spacing w:after="40" w:before="40"/>
      </w:pPr>
      <w:r>
        <w:rPr>
          <w:rFonts w:ascii="Arial" w:cs="Arial" w:eastAsia="Arial" w:hAnsi="Arial"/>
          <w:b w:val="false"/>
          <w:bCs w:val="false"/>
          <w:color w:val="1A1A2E"/>
          <w:sz w:val="22"/>
          <w:szCs w:val="22"/>
        </w:rPr>
        <w:t xml:space="preserve">Delivery efficiency monitoring including on-time versus late delivery rates</w:t>
      </w:r>
    </w:p>
    <w:p>
      <w:pPr>
        <w:pStyle w:val="ListParagraph"/>
        <w:numPr>
          <w:ilvl w:val="0"/>
          <w:numId w:val="2"/>
        </w:numPr>
        <w:spacing w:after="40" w:before="40"/>
      </w:pPr>
      <w:r>
        <w:rPr>
          <w:rFonts w:ascii="Arial" w:cs="Arial" w:eastAsia="Arial" w:hAnsi="Arial"/>
          <w:b w:val="false"/>
          <w:bCs w:val="false"/>
          <w:color w:val="1A1A2E"/>
          <w:sz w:val="22"/>
          <w:szCs w:val="22"/>
        </w:rPr>
        <w:t xml:space="preserve">Interactive slicers enabling dynamic filtering by year, segment, market, and department</w:t>
      </w:r>
    </w:p>
    <w:p>
      <w:pPr>
        <w:pStyle w:val="ListParagraph"/>
        <w:numPr>
          <w:ilvl w:val="0"/>
          <w:numId w:val="2"/>
        </w:numPr>
        <w:spacing w:after="40" w:before="40"/>
      </w:pPr>
      <w:r>
        <w:rPr>
          <w:rFonts w:ascii="Arial" w:cs="Arial" w:eastAsia="Arial" w:hAnsi="Arial"/>
          <w:b w:val="false"/>
          <w:bCs w:val="false"/>
          <w:color w:val="1A1A2E"/>
          <w:sz w:val="22"/>
          <w:szCs w:val="22"/>
        </w:rPr>
        <w:t xml:space="preserve">PivotTable-driven charts that update automatically when filter selections change</w:t>
      </w:r>
    </w:p>
    <w:p>
      <w:pPr>
        <w:spacing w:after="40" w:before="80"/>
      </w:pPr>
    </w:p>
    <w:p>
      <w:pPr>
        <w:pStyle w:val="Heading2"/>
        <w:spacing w:after="100" w:before="240"/>
      </w:pPr>
      <w:r>
        <w:rPr>
          <w:rFonts w:ascii="Arial" w:cs="Arial" w:eastAsia="Arial" w:hAnsi="Arial"/>
          <w:b/>
          <w:bCs/>
          <w:color w:val="2E75B6"/>
          <w:sz w:val="28"/>
          <w:szCs w:val="28"/>
        </w:rPr>
        <w:t xml:space="preserve">5.3 Design Principles</w:t>
      </w:r>
    </w:p>
    <w:p>
      <w:pPr>
        <w:spacing w:after="80" w:before="60"/>
      </w:pPr>
      <w:r>
        <w:rPr>
          <w:rFonts w:ascii="Arial" w:cs="Arial" w:eastAsia="Arial" w:hAnsi="Arial"/>
          <w:color w:val="1A1A2E"/>
          <w:sz w:val="22"/>
          <w:szCs w:val="22"/>
        </w:rPr>
        <w:t xml:space="preserve">The dashboard was built using Microsoft Excel PivotTables, PivotCharts, and native slicer controls. All data connections reference the structured supply chain dataset, ensuring consistency with the SQL warehouse outputs. The layout presents the most critical KPIs above the fold, with detailed breakdowns accessible through drill-down interactions.</w:t>
      </w:r>
    </w:p>
    <w:p>
      <w:r>
        <w:br w:type="page"/>
      </w:r>
    </w:p>
    <w:p>
      <w:pPr>
        <w:pStyle w:val="Heading1"/>
        <w:spacing w:after="120" w:before="320"/>
      </w:pPr>
      <w:r>
        <w:rPr>
          <w:rFonts w:ascii="Arial" w:cs="Arial" w:eastAsia="Arial" w:hAnsi="Arial"/>
          <w:b/>
          <w:bCs/>
          <w:color w:val="1F3864"/>
          <w:sz w:val="34"/>
          <w:szCs w:val="34"/>
        </w:rPr>
        <w:t xml:space="preserve">6. Power BI Strategic Intelligence Report</w:t>
      </w:r>
    </w:p>
    <w:p>
      <w:pPr>
        <w:pBdr>
          <w:bottom w:val="single" w:color="2E75B6" w:sz="8" w:space="1"/>
        </w:pBdr>
        <w:spacing w:after="60" w:before="60"/>
      </w:pPr>
    </w:p>
    <w:p>
      <w:pPr>
        <w:pStyle w:val="Heading2"/>
        <w:spacing w:after="100" w:before="240"/>
      </w:pPr>
      <w:r>
        <w:rPr>
          <w:rFonts w:ascii="Arial" w:cs="Arial" w:eastAsia="Arial" w:hAnsi="Arial"/>
          <w:b/>
          <w:bCs/>
          <w:color w:val="2E75B6"/>
          <w:sz w:val="28"/>
          <w:szCs w:val="28"/>
        </w:rPr>
        <w:t xml:space="preserve">6.1 Objective</w:t>
      </w:r>
    </w:p>
    <w:p>
      <w:pPr>
        <w:spacing w:after="80" w:before="60"/>
      </w:pPr>
      <w:r>
        <w:rPr>
          <w:rFonts w:ascii="Arial" w:cs="Arial" w:eastAsia="Arial" w:hAnsi="Arial"/>
          <w:color w:val="1A1A2E"/>
          <w:sz w:val="22"/>
          <w:szCs w:val="22"/>
        </w:rPr>
        <w:t xml:space="preserve">The Power BI report delivers an executive-level business intelligence dashboard designed for strategic decision-making. It provides leadership with a unified, interactive view of supply chain performance across revenue, profitability, logistics, and product dimensions.</w:t>
      </w:r>
    </w:p>
    <w:p>
      <w:pPr>
        <w:spacing w:after="40" w:before="80"/>
      </w:pPr>
    </w:p>
    <w:p>
      <w:pPr>
        <w:pStyle w:val="Heading2"/>
        <w:spacing w:after="100" w:before="240"/>
      </w:pPr>
      <w:r>
        <w:rPr>
          <w:rFonts w:ascii="Arial" w:cs="Arial" w:eastAsia="Arial" w:hAnsi="Arial"/>
          <w:b/>
          <w:bCs/>
          <w:color w:val="2E75B6"/>
          <w:sz w:val="28"/>
          <w:szCs w:val="28"/>
        </w:rPr>
        <w:t xml:space="preserve">6.2 Report Features</w:t>
      </w:r>
    </w:p>
    <w:p>
      <w:pPr>
        <w:pStyle w:val="ListParagraph"/>
        <w:numPr>
          <w:ilvl w:val="0"/>
          <w:numId w:val="2"/>
        </w:numPr>
        <w:spacing w:after="40" w:before="40"/>
      </w:pPr>
      <w:r>
        <w:rPr>
          <w:rFonts w:ascii="Arial" w:cs="Arial" w:eastAsia="Arial" w:hAnsi="Arial"/>
          <w:b w:val="false"/>
          <w:bCs w:val="false"/>
          <w:color w:val="1A1A2E"/>
          <w:sz w:val="22"/>
          <w:szCs w:val="22"/>
        </w:rPr>
        <w:t xml:space="preserve">Advanced KPI Cards displaying Total Revenue, Total Profit, Order Count, and Late Delivery Rate at a glance</w:t>
      </w:r>
    </w:p>
    <w:p>
      <w:pPr>
        <w:pStyle w:val="ListParagraph"/>
        <w:numPr>
          <w:ilvl w:val="0"/>
          <w:numId w:val="2"/>
        </w:numPr>
        <w:spacing w:after="40" w:before="40"/>
      </w:pPr>
      <w:r>
        <w:rPr>
          <w:rFonts w:ascii="Arial" w:cs="Arial" w:eastAsia="Arial" w:hAnsi="Arial"/>
          <w:b w:val="false"/>
          <w:bCs w:val="false"/>
          <w:color w:val="1A1A2E"/>
          <w:sz w:val="22"/>
          <w:szCs w:val="22"/>
        </w:rPr>
        <w:t xml:space="preserve">Time Intelligence measures built using DAX, including Year-to-Date (YTD) and Month-to-Date (MTD) calculations</w:t>
      </w:r>
    </w:p>
    <w:p>
      <w:pPr>
        <w:pStyle w:val="ListParagraph"/>
        <w:numPr>
          <w:ilvl w:val="0"/>
          <w:numId w:val="2"/>
        </w:numPr>
        <w:spacing w:after="40" w:before="40"/>
      </w:pPr>
      <w:r>
        <w:rPr>
          <w:rFonts w:ascii="Arial" w:cs="Arial" w:eastAsia="Arial" w:hAnsi="Arial"/>
          <w:b w:val="false"/>
          <w:bCs w:val="false"/>
          <w:color w:val="1A1A2E"/>
          <w:sz w:val="22"/>
          <w:szCs w:val="22"/>
        </w:rPr>
        <w:t xml:space="preserve">Drill-down analysis enabling navigation from market level to country, city, and individual order views</w:t>
      </w:r>
    </w:p>
    <w:p>
      <w:pPr>
        <w:pStyle w:val="ListParagraph"/>
        <w:numPr>
          <w:ilvl w:val="0"/>
          <w:numId w:val="2"/>
        </w:numPr>
        <w:spacing w:after="40" w:before="40"/>
      </w:pPr>
      <w:r>
        <w:rPr>
          <w:rFonts w:ascii="Arial" w:cs="Arial" w:eastAsia="Arial" w:hAnsi="Arial"/>
          <w:b w:val="false"/>
          <w:bCs w:val="false"/>
          <w:color w:val="1A1A2E"/>
          <w:sz w:val="22"/>
          <w:szCs w:val="22"/>
        </w:rPr>
        <w:t xml:space="preserve">Category and department performance pages with profit margin overlays</w:t>
      </w:r>
    </w:p>
    <w:p>
      <w:pPr>
        <w:pStyle w:val="ListParagraph"/>
        <w:numPr>
          <w:ilvl w:val="0"/>
          <w:numId w:val="2"/>
        </w:numPr>
        <w:spacing w:after="40" w:before="40"/>
      </w:pPr>
      <w:r>
        <w:rPr>
          <w:rFonts w:ascii="Arial" w:cs="Arial" w:eastAsia="Arial" w:hAnsi="Arial"/>
          <w:b w:val="false"/>
          <w:bCs w:val="false"/>
          <w:color w:val="1A1A2E"/>
          <w:sz w:val="22"/>
          <w:szCs w:val="22"/>
        </w:rPr>
        <w:t xml:space="preserve">Customer segment analysis with cohort-level revenue contribution charts</w:t>
      </w:r>
    </w:p>
    <w:p>
      <w:pPr>
        <w:pStyle w:val="ListParagraph"/>
        <w:numPr>
          <w:ilvl w:val="0"/>
          <w:numId w:val="2"/>
        </w:numPr>
        <w:spacing w:after="40" w:before="40"/>
      </w:pPr>
      <w:r>
        <w:rPr>
          <w:rFonts w:ascii="Arial" w:cs="Arial" w:eastAsia="Arial" w:hAnsi="Arial"/>
          <w:b w:val="false"/>
          <w:bCs w:val="false"/>
          <w:color w:val="1A1A2E"/>
          <w:sz w:val="22"/>
          <w:szCs w:val="22"/>
        </w:rPr>
        <w:t xml:space="preserve">Shipping performance page visualizing scheduled versus actual delivery timelines by market</w:t>
      </w:r>
    </w:p>
    <w:p>
      <w:pPr>
        <w:spacing w:after="40" w:before="80"/>
      </w:pPr>
    </w:p>
    <w:p>
      <w:pPr>
        <w:pStyle w:val="Heading2"/>
        <w:spacing w:after="100" w:before="240"/>
      </w:pPr>
      <w:r>
        <w:rPr>
          <w:rFonts w:ascii="Arial" w:cs="Arial" w:eastAsia="Arial" w:hAnsi="Arial"/>
          <w:b/>
          <w:bCs/>
          <w:color w:val="2E75B6"/>
          <w:sz w:val="28"/>
          <w:szCs w:val="28"/>
        </w:rPr>
        <w:t xml:space="preserve">6.3 Live Report Access</w:t>
      </w:r>
    </w:p>
    <w:p>
      <w:pPr>
        <w:spacing w:after="80" w:before="60"/>
      </w:pPr>
      <w:r>
        <w:rPr>
          <w:rFonts w:ascii="Arial" w:cs="Arial" w:eastAsia="Arial" w:hAnsi="Arial"/>
          <w:color w:val="1A1A2E"/>
          <w:sz w:val="22"/>
          <w:szCs w:val="22"/>
        </w:rPr>
        <w:t xml:space="preserve">The interactive report is available at: </w:t>
      </w:r>
      <w:hyperlink w:history="1" r:id="rIdkv2vnxopyuiktxqlr6gpr">
        <w:r>
          <w:rPr>
            <w:rStyle w:val="Hyperlink"/>
            <w:rFonts w:ascii="Arial" w:cs="Arial" w:eastAsia="Arial" w:hAnsi="Arial"/>
            <w:sz w:val="22"/>
            <w:szCs w:val="22"/>
          </w:rPr>
          <w:t xml:space="preserve">Power BI Interactive Dashboard</w:t>
        </w:r>
      </w:hyperlink>
    </w:p>
    <w:p>
      <w:r>
        <w:br w:type="page"/>
      </w:r>
    </w:p>
    <w:p>
      <w:pPr>
        <w:pStyle w:val="Heading1"/>
        <w:spacing w:after="120" w:before="320"/>
      </w:pPr>
      <w:r>
        <w:rPr>
          <w:rFonts w:ascii="Arial" w:cs="Arial" w:eastAsia="Arial" w:hAnsi="Arial"/>
          <w:b/>
          <w:bCs/>
          <w:color w:val="1F3864"/>
          <w:sz w:val="34"/>
          <w:szCs w:val="34"/>
        </w:rPr>
        <w:t xml:space="preserve">7. Python Exploratory Data Analysis</w:t>
      </w:r>
    </w:p>
    <w:p>
      <w:pPr>
        <w:pBdr>
          <w:bottom w:val="single" w:color="2E75B6" w:sz="8" w:space="1"/>
        </w:pBdr>
        <w:spacing w:after="60" w:before="60"/>
      </w:pPr>
    </w:p>
    <w:p>
      <w:pPr>
        <w:pStyle w:val="Heading2"/>
        <w:spacing w:after="100" w:before="240"/>
      </w:pPr>
      <w:r>
        <w:rPr>
          <w:rFonts w:ascii="Arial" w:cs="Arial" w:eastAsia="Arial" w:hAnsi="Arial"/>
          <w:b/>
          <w:bCs/>
          <w:color w:val="2E75B6"/>
          <w:sz w:val="28"/>
          <w:szCs w:val="28"/>
        </w:rPr>
        <w:t xml:space="preserve">7.1 Objective</w:t>
      </w:r>
    </w:p>
    <w:p>
      <w:pPr>
        <w:spacing w:after="80" w:before="60"/>
      </w:pPr>
      <w:r>
        <w:rPr>
          <w:rFonts w:ascii="Arial" w:cs="Arial" w:eastAsia="Arial" w:hAnsi="Arial"/>
          <w:color w:val="1A1A2E"/>
          <w:sz w:val="22"/>
          <w:szCs w:val="22"/>
        </w:rPr>
        <w:t xml:space="preserve">The Python EDA layer performs deep statistical analysis on the supply chain dataset to uncover patterns, correlations, and anomalies that are not visible in aggregated dashboards. The analysis was conducted in a Jupyter Notebook environment and produced 13 publication-quality visualizations.</w:t>
      </w:r>
    </w:p>
    <w:p>
      <w:pPr>
        <w:spacing w:after="40" w:before="80"/>
      </w:pPr>
    </w:p>
    <w:p>
      <w:pPr>
        <w:pStyle w:val="Heading2"/>
        <w:spacing w:after="100" w:before="240"/>
      </w:pPr>
      <w:r>
        <w:rPr>
          <w:rFonts w:ascii="Arial" w:cs="Arial" w:eastAsia="Arial" w:hAnsi="Arial"/>
          <w:b/>
          <w:bCs/>
          <w:color w:val="2E75B6"/>
          <w:sz w:val="28"/>
          <w:szCs w:val="28"/>
        </w:rPr>
        <w:t xml:space="preserve">7.2 Libraries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Library</w:t>
            </w:r>
          </w:p>
        </w:tc>
        <w:tc>
          <w:tcPr>
            <w:tcW w:type="dxa" w:w="682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Pandas</w:t>
            </w:r>
          </w:p>
        </w:tc>
        <w:tc>
          <w:tcPr>
            <w:tcW w:type="dxa" w:w="68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 loading, transformation, aggregation, and feature engineering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NumPy</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Numerical operations and statistical computations</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Matplotlib</w:t>
            </w:r>
          </w:p>
        </w:tc>
        <w:tc>
          <w:tcPr>
            <w:tcW w:type="dxa" w:w="68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Base chart rendering and figure configuration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Seaborn</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Statistical visualizations including heatmaps, distributions, and correlation matrices</w:t>
            </w:r>
          </w:p>
        </w:tc>
      </w:tr>
    </w:tbl>
    <w:p>
      <w:pPr>
        <w:spacing w:after="40" w:before="160"/>
      </w:pPr>
    </w:p>
    <w:p>
      <w:pPr>
        <w:pStyle w:val="Heading2"/>
        <w:spacing w:after="100" w:before="240"/>
      </w:pPr>
      <w:r>
        <w:rPr>
          <w:rFonts w:ascii="Arial" w:cs="Arial" w:eastAsia="Arial" w:hAnsi="Arial"/>
          <w:b/>
          <w:bCs/>
          <w:color w:val="2E75B6"/>
          <w:sz w:val="28"/>
          <w:szCs w:val="28"/>
        </w:rPr>
        <w:t xml:space="preserve">7.3 Analysis Modules and Findings</w:t>
      </w:r>
    </w:p>
    <w:p>
      <w:pPr>
        <w:pStyle w:val="Heading3"/>
        <w:spacing w:after="80" w:before="180"/>
      </w:pPr>
      <w:r>
        <w:rPr>
          <w:rFonts w:ascii="Arial" w:cs="Arial" w:eastAsia="Arial" w:hAnsi="Arial"/>
          <w:b/>
          <w:bCs/>
          <w:color w:val="1A1A2E"/>
          <w:sz w:val="24"/>
          <w:szCs w:val="24"/>
        </w:rPr>
        <w:t xml:space="preserve">Module 1: Univariate Analysis</w:t>
      </w:r>
    </w:p>
    <w:p>
      <w:pPr>
        <w:spacing w:after="80" w:before="60"/>
      </w:pPr>
      <w:r>
        <w:rPr>
          <w:rFonts w:ascii="Arial" w:cs="Arial" w:eastAsia="Arial" w:hAnsi="Arial"/>
          <w:color w:val="1A1A2E"/>
          <w:sz w:val="22"/>
          <w:szCs w:val="22"/>
        </w:rPr>
        <w:t xml:space="preserve">Distribution histograms were generated for all key numeric variables: Sales, Order Total, Profit Per Order, Item Quantity, Actual Shipping Days, and Discount Rate. Mean and median reference lines were overlaid to highlight skewness. Profit Per Order has a mean of $23.3 with a median of $31.5, indicating left-skew from negative-profit outlier orders.</w:t>
      </w:r>
    </w:p>
    <w:p>
      <w:pPr>
        <w:pStyle w:val="Heading3"/>
        <w:spacing w:after="80" w:before="180"/>
      </w:pPr>
      <w:r>
        <w:rPr>
          <w:rFonts w:ascii="Arial" w:cs="Arial" w:eastAsia="Arial" w:hAnsi="Arial"/>
          <w:b/>
          <w:bCs/>
          <w:color w:val="1A1A2E"/>
          <w:sz w:val="24"/>
          <w:szCs w:val="24"/>
        </w:rPr>
        <w:t xml:space="preserve">Module 2: Bivariate Analysis - Sales by Segment and Market</w:t>
      </w:r>
    </w:p>
    <w:p>
      <w:pPr>
        <w:spacing w:after="80" w:before="60"/>
      </w:pPr>
      <w:r>
        <w:rPr>
          <w:rFonts w:ascii="Arial" w:cs="Arial" w:eastAsia="Arial" w:hAnsi="Arial"/>
          <w:color w:val="1A1A2E"/>
          <w:sz w:val="22"/>
          <w:szCs w:val="22"/>
        </w:rPr>
        <w:t xml:space="preserve">Revenue was segmented simultaneously by Customer Segment and Market. The Consumer segment dominates at $19.1M, while Europe and LATAM lead geographically at $10.9M and $10.3M respectively.</w:t>
      </w:r>
    </w:p>
    <w:p>
      <w:pPr>
        <w:pStyle w:val="Heading3"/>
        <w:spacing w:after="80" w:before="180"/>
      </w:pPr>
      <w:r>
        <w:rPr>
          <w:rFonts w:ascii="Arial" w:cs="Arial" w:eastAsia="Arial" w:hAnsi="Arial"/>
          <w:b/>
          <w:bCs/>
          <w:color w:val="1A1A2E"/>
          <w:sz w:val="24"/>
          <w:szCs w:val="24"/>
        </w:rPr>
        <w:t xml:space="preserve">Module 3: Correlation Matrix</w:t>
      </w:r>
    </w:p>
    <w:p>
      <w:pPr>
        <w:spacing w:after="80" w:before="60"/>
      </w:pPr>
      <w:r>
        <w:rPr>
          <w:rFonts w:ascii="Arial" w:cs="Arial" w:eastAsia="Arial" w:hAnsi="Arial"/>
          <w:color w:val="1A1A2E"/>
          <w:sz w:val="22"/>
          <w:szCs w:val="22"/>
        </w:rPr>
        <w:t xml:space="preserve">A Pearson correlation matrix was computed across seven key metrics. Sales and Order_Item_Total are nearly perfectly correlated (r = 0.99). Late_Delivery_Risk shows a moderate positive correlation with Days_Shipping_Real (r = 0.40), confirming actual shipping duration as the primary late delivery driver.</w:t>
      </w:r>
    </w:p>
    <w:p>
      <w:pPr>
        <w:pStyle w:val="Heading3"/>
        <w:spacing w:after="80" w:before="180"/>
      </w:pPr>
      <w:r>
        <w:rPr>
          <w:rFonts w:ascii="Arial" w:cs="Arial" w:eastAsia="Arial" w:hAnsi="Arial"/>
          <w:b/>
          <w:bCs/>
          <w:color w:val="1A1A2E"/>
          <w:sz w:val="24"/>
          <w:szCs w:val="24"/>
        </w:rPr>
        <w:t xml:space="preserve">Module 4: Monthly Revenue Heatmap</w:t>
      </w:r>
    </w:p>
    <w:p>
      <w:pPr>
        <w:spacing w:after="80" w:before="60"/>
      </w:pPr>
      <w:r>
        <w:rPr>
          <w:rFonts w:ascii="Arial" w:cs="Arial" w:eastAsia="Arial" w:hAnsi="Arial"/>
          <w:color w:val="1A1A2E"/>
          <w:sz w:val="22"/>
          <w:szCs w:val="22"/>
        </w:rPr>
        <w:t xml:space="preserve">A monthly revenue heatmap across 2015-2018 confirmed stable monthly revenue of approximately $1.0M-$1.1M throughout 2015 and 2016. A notable October 2017 spike to $1.3M was identified. The 2018 data shows only January activity, indicating a partial-year dataset for that year.</w:t>
      </w:r>
    </w:p>
    <w:p>
      <w:pPr>
        <w:pStyle w:val="Heading3"/>
        <w:spacing w:after="80" w:before="180"/>
      </w:pPr>
      <w:r>
        <w:rPr>
          <w:rFonts w:ascii="Arial" w:cs="Arial" w:eastAsia="Arial" w:hAnsi="Arial"/>
          <w:b/>
          <w:bCs/>
          <w:color w:val="1A1A2E"/>
          <w:sz w:val="24"/>
          <w:szCs w:val="24"/>
        </w:rPr>
        <w:t xml:space="preserve">Module 5: Shipping Performance</w:t>
      </w:r>
    </w:p>
    <w:p>
      <w:pPr>
        <w:spacing w:after="80" w:before="60"/>
      </w:pPr>
      <w:r>
        <w:rPr>
          <w:rFonts w:ascii="Arial" w:cs="Arial" w:eastAsia="Arial" w:hAnsi="Arial"/>
          <w:color w:val="1A1A2E"/>
          <w:sz w:val="22"/>
          <w:szCs w:val="22"/>
        </w:rPr>
        <w:t xml:space="preserve">The scheduled versus actual shipping day distribution revealed that the majority of orders are scheduled for 4-day delivery, while actual delivery clusters around 2-3 days for fast orders and extends to 5-6 days for slower shipments. The actual mean of 3.5 days suggests many orders complete on time, but a significant tail drives the aggregate late delivery rate above 54%.</w:t>
      </w:r>
    </w:p>
    <w:p>
      <w:pPr>
        <w:pStyle w:val="Heading3"/>
        <w:spacing w:after="80" w:before="180"/>
      </w:pPr>
      <w:r>
        <w:rPr>
          <w:rFonts w:ascii="Arial" w:cs="Arial" w:eastAsia="Arial" w:hAnsi="Arial"/>
          <w:b/>
          <w:bCs/>
          <w:color w:val="1A1A2E"/>
          <w:sz w:val="24"/>
          <w:szCs w:val="24"/>
        </w:rPr>
        <w:t xml:space="preserve">Module 6: Late Delivery Rate by Market</w:t>
      </w:r>
    </w:p>
    <w:p>
      <w:pPr>
        <w:spacing w:after="80" w:before="60"/>
      </w:pPr>
      <w:r>
        <w:rPr>
          <w:rFonts w:ascii="Arial" w:cs="Arial" w:eastAsia="Arial" w:hAnsi="Arial"/>
          <w:color w:val="1A1A2E"/>
          <w:sz w:val="22"/>
          <w:szCs w:val="22"/>
        </w:rPr>
        <w:t xml:space="preserve">The late delivery rate across all five markets (Europe: 55.2%, Pacific Asia: 55.0%, USCA: 54.8%, Africa: 54.6%, LATAM: 54.4%) varies by less than one percentage point, confirming that late delivery is a systemic operational issue rather than a region-specific problem.</w:t>
      </w:r>
    </w:p>
    <w:p>
      <w:pPr>
        <w:pStyle w:val="Heading3"/>
        <w:spacing w:after="80" w:before="180"/>
      </w:pPr>
      <w:r>
        <w:rPr>
          <w:rFonts w:ascii="Arial" w:cs="Arial" w:eastAsia="Arial" w:hAnsi="Arial"/>
          <w:b/>
          <w:bCs/>
          <w:color w:val="1A1A2E"/>
          <w:sz w:val="24"/>
          <w:szCs w:val="24"/>
        </w:rPr>
        <w:t xml:space="preserve">Module 7: Department Revenue and Profit Margin</w:t>
      </w:r>
    </w:p>
    <w:p>
      <w:pPr>
        <w:spacing w:after="80" w:before="60"/>
      </w:pPr>
      <w:r>
        <w:rPr>
          <w:rFonts w:ascii="Arial" w:cs="Arial" w:eastAsia="Arial" w:hAnsi="Arial"/>
          <w:color w:val="1A1A2E"/>
          <w:sz w:val="22"/>
          <w:szCs w:val="22"/>
        </w:rPr>
        <w:t xml:space="preserve">Fan Shop generates the most revenue (~$17M) but Fitness achieves the highest margin (~12.7%). Technology has the lowest profit margin (~8.6%) among mid-revenue departments, suggesting pricing or cost structure issues requiring attention.</w:t>
      </w:r>
    </w:p>
    <w:p>
      <w:pPr>
        <w:pStyle w:val="Heading3"/>
        <w:spacing w:after="80" w:before="180"/>
      </w:pPr>
      <w:r>
        <w:rPr>
          <w:rFonts w:ascii="Arial" w:cs="Arial" w:eastAsia="Arial" w:hAnsi="Arial"/>
          <w:b/>
          <w:bCs/>
          <w:color w:val="1A1A2E"/>
          <w:sz w:val="24"/>
          <w:szCs w:val="24"/>
        </w:rPr>
        <w:t xml:space="preserve">Module 8: Year-over-Year Revenue Analysis</w:t>
      </w:r>
    </w:p>
    <w:p>
      <w:pPr>
        <w:spacing w:after="80" w:before="60"/>
      </w:pPr>
      <w:r>
        <w:rPr>
          <w:rFonts w:ascii="Arial" w:cs="Arial" w:eastAsia="Arial" w:hAnsi="Arial"/>
          <w:color w:val="1A1A2E"/>
          <w:sz w:val="22"/>
          <w:szCs w:val="22"/>
        </w:rPr>
        <w:t xml:space="preserve">Annual revenue was $12.3M in both 2015 and 2016, declined to $11.8M in 2017 (-4.0% YoY), and dropped to $0.3M in 2018 (-97.2% YoY), consistent with a partial-year dataset for 2018.</w:t>
      </w:r>
    </w:p>
    <w:p>
      <w:pPr>
        <w:pStyle w:val="Heading3"/>
        <w:spacing w:after="80" w:before="180"/>
      </w:pPr>
      <w:r>
        <w:rPr>
          <w:rFonts w:ascii="Arial" w:cs="Arial" w:eastAsia="Arial" w:hAnsi="Arial"/>
          <w:b/>
          <w:bCs/>
          <w:color w:val="1A1A2E"/>
          <w:sz w:val="24"/>
          <w:szCs w:val="24"/>
        </w:rPr>
        <w:t xml:space="preserve">Module 9: Profit Distribution by Customer Segment</w:t>
      </w:r>
    </w:p>
    <w:p>
      <w:pPr>
        <w:spacing w:after="80" w:before="60"/>
      </w:pPr>
      <w:r>
        <w:rPr>
          <w:rFonts w:ascii="Arial" w:cs="Arial" w:eastAsia="Arial" w:hAnsi="Arial"/>
          <w:color w:val="1A1A2E"/>
          <w:sz w:val="22"/>
          <w:szCs w:val="22"/>
        </w:rPr>
        <w:t xml:space="preserve">Profit distribution across all three customer segments follows an overlapping right-skewed pattern, peaking near $0-$50 and extending into negative territory, with extreme losses reaching -$400 per order. The distributions are nearly identical across segments, indicating segment-independent profit drivers.</w:t>
      </w:r>
    </w:p>
    <w:p>
      <w:pPr>
        <w:pStyle w:val="Heading3"/>
        <w:spacing w:after="80" w:before="180"/>
      </w:pPr>
      <w:r>
        <w:rPr>
          <w:rFonts w:ascii="Arial" w:cs="Arial" w:eastAsia="Arial" w:hAnsi="Arial"/>
          <w:b/>
          <w:bCs/>
          <w:color w:val="1A1A2E"/>
          <w:sz w:val="24"/>
          <w:szCs w:val="24"/>
        </w:rPr>
        <w:t xml:space="preserve">Module 10: Payment Type Distribution</w:t>
      </w:r>
    </w:p>
    <w:p>
      <w:pPr>
        <w:spacing w:after="80" w:before="60"/>
      </w:pPr>
      <w:r>
        <w:rPr>
          <w:rFonts w:ascii="Arial" w:cs="Arial" w:eastAsia="Arial" w:hAnsi="Arial"/>
          <w:color w:val="1A1A2E"/>
          <w:sz w:val="22"/>
          <w:szCs w:val="22"/>
        </w:rPr>
        <w:t xml:space="preserve">Debit cards represent the dominant payment method at 38.4%, followed by Transfer (27.6%), generic Payment (23.1%), and Cash (10.9%). The low cash usage suggests a digitally mature customer base with strong preference for electronic payments.</w:t>
      </w:r>
    </w:p>
    <w:p>
      <w:pPr>
        <w:pStyle w:val="Heading3"/>
        <w:spacing w:after="80" w:before="180"/>
      </w:pPr>
      <w:r>
        <w:rPr>
          <w:rFonts w:ascii="Arial" w:cs="Arial" w:eastAsia="Arial" w:hAnsi="Arial"/>
          <w:b/>
          <w:bCs/>
          <w:color w:val="1A1A2E"/>
          <w:sz w:val="24"/>
          <w:szCs w:val="24"/>
        </w:rPr>
        <w:t xml:space="preserve">Module 11: Top 10 Products by Revenue</w:t>
      </w:r>
    </w:p>
    <w:p>
      <w:pPr>
        <w:spacing w:after="80" w:before="60"/>
      </w:pPr>
      <w:r>
        <w:rPr>
          <w:rFonts w:ascii="Arial" w:cs="Arial" w:eastAsia="Arial" w:hAnsi="Arial"/>
          <w:color w:val="1A1A2E"/>
          <w:sz w:val="22"/>
          <w:szCs w:val="22"/>
        </w:rPr>
        <w:t xml:space="preserve">The Field &amp; Stream Sportsman 16 Gun Fire Safe leads all products at $6.93M in revenue, representing more than 57% more revenue than the second-ranked product (Perfect Fitness Perfect Rip Deck at $4.42M).</w:t>
      </w:r>
    </w:p>
    <w:p>
      <w:r>
        <w:br w:type="page"/>
      </w:r>
    </w:p>
    <w:p>
      <w:pPr>
        <w:pStyle w:val="Heading1"/>
        <w:spacing w:after="120" w:before="320"/>
      </w:pPr>
      <w:r>
        <w:rPr>
          <w:rFonts w:ascii="Arial" w:cs="Arial" w:eastAsia="Arial" w:hAnsi="Arial"/>
          <w:b/>
          <w:bCs/>
          <w:color w:val="1F3864"/>
          <w:sz w:val="34"/>
          <w:szCs w:val="34"/>
        </w:rPr>
        <w:t xml:space="preserve">8. Key Insights and Findings</w:t>
      </w:r>
    </w:p>
    <w:p>
      <w:pPr>
        <w:pBdr>
          <w:bottom w:val="single" w:color="2E75B6" w:sz="8" w:space="1"/>
        </w:pBdr>
        <w:spacing w:after="60" w:before="60"/>
      </w:pPr>
    </w:p>
    <w:p>
      <w:pPr>
        <w:pStyle w:val="Heading2"/>
        <w:spacing w:after="100" w:before="240"/>
      </w:pPr>
      <w:r>
        <w:rPr>
          <w:rFonts w:ascii="Arial" w:cs="Arial" w:eastAsia="Arial" w:hAnsi="Arial"/>
          <w:b/>
          <w:bCs/>
          <w:color w:val="2E75B6"/>
          <w:sz w:val="28"/>
          <w:szCs w:val="28"/>
        </w:rPr>
        <w:t xml:space="preserve">8.1 Revenue and Market Performance</w:t>
      </w:r>
    </w:p>
    <w:p>
      <w:pPr>
        <w:pStyle w:val="ListParagraph"/>
        <w:numPr>
          <w:ilvl w:val="0"/>
          <w:numId w:val="2"/>
        </w:numPr>
        <w:spacing w:after="40" w:before="40"/>
      </w:pPr>
      <w:r>
        <w:rPr>
          <w:rFonts w:ascii="Arial" w:cs="Arial" w:eastAsia="Arial" w:hAnsi="Arial"/>
          <w:b w:val="false"/>
          <w:bCs w:val="false"/>
          <w:color w:val="1A1A2E"/>
          <w:sz w:val="22"/>
          <w:szCs w:val="22"/>
        </w:rPr>
        <w:t xml:space="preserve">Consumer segment accounts for 51.9% of total revenue ($19.1M), Corporate for 30.4% ($11.2M), and Home Office for 17.6% ($6.5M).</w:t>
      </w:r>
    </w:p>
    <w:p>
      <w:pPr>
        <w:pStyle w:val="ListParagraph"/>
        <w:numPr>
          <w:ilvl w:val="0"/>
          <w:numId w:val="2"/>
        </w:numPr>
        <w:spacing w:after="40" w:before="40"/>
      </w:pPr>
      <w:r>
        <w:rPr>
          <w:rFonts w:ascii="Arial" w:cs="Arial" w:eastAsia="Arial" w:hAnsi="Arial"/>
          <w:b w:val="false"/>
          <w:bCs w:val="false"/>
          <w:color w:val="1A1A2E"/>
          <w:sz w:val="22"/>
          <w:szCs w:val="22"/>
        </w:rPr>
        <w:t xml:space="preserve">Europe and LATAM are the top two markets, together representing approximately 58% of total revenue.</w:t>
      </w:r>
    </w:p>
    <w:p>
      <w:pPr>
        <w:pStyle w:val="ListParagraph"/>
        <w:numPr>
          <w:ilvl w:val="0"/>
          <w:numId w:val="2"/>
        </w:numPr>
        <w:spacing w:after="40" w:before="40"/>
      </w:pPr>
      <w:r>
        <w:rPr>
          <w:rFonts w:ascii="Arial" w:cs="Arial" w:eastAsia="Arial" w:hAnsi="Arial"/>
          <w:b w:val="false"/>
          <w:bCs w:val="false"/>
          <w:color w:val="1A1A2E"/>
          <w:sz w:val="22"/>
          <w:szCs w:val="22"/>
        </w:rPr>
        <w:t xml:space="preserve">Revenue remained stable in 2015 and 2016 ($12.3M each) before declining in 2017 ($11.8M, -4.0% YoY).</w:t>
      </w:r>
    </w:p>
    <w:p>
      <w:pPr>
        <w:spacing w:after="40" w:before="80"/>
      </w:pPr>
    </w:p>
    <w:p>
      <w:pPr>
        <w:pStyle w:val="Heading2"/>
        <w:spacing w:after="100" w:before="240"/>
      </w:pPr>
      <w:r>
        <w:rPr>
          <w:rFonts w:ascii="Arial" w:cs="Arial" w:eastAsia="Arial" w:hAnsi="Arial"/>
          <w:b/>
          <w:bCs/>
          <w:color w:val="2E75B6"/>
          <w:sz w:val="28"/>
          <w:szCs w:val="28"/>
        </w:rPr>
        <w:t xml:space="preserve">8.2 Product and Department Insights</w:t>
      </w:r>
    </w:p>
    <w:p>
      <w:pPr>
        <w:pStyle w:val="ListParagraph"/>
        <w:numPr>
          <w:ilvl w:val="0"/>
          <w:numId w:val="2"/>
        </w:numPr>
        <w:spacing w:after="40" w:before="40"/>
      </w:pPr>
      <w:r>
        <w:rPr>
          <w:rFonts w:ascii="Arial" w:cs="Arial" w:eastAsia="Arial" w:hAnsi="Arial"/>
          <w:b w:val="false"/>
          <w:bCs w:val="false"/>
          <w:color w:val="1A1A2E"/>
          <w:sz w:val="22"/>
          <w:szCs w:val="22"/>
        </w:rPr>
        <w:t xml:space="preserve">Fan Shop is the highest-revenue department at approximately $17M, driven largely by the top-selling product.</w:t>
      </w:r>
    </w:p>
    <w:p>
      <w:pPr>
        <w:pStyle w:val="ListParagraph"/>
        <w:numPr>
          <w:ilvl w:val="0"/>
          <w:numId w:val="2"/>
        </w:numPr>
        <w:spacing w:after="40" w:before="40"/>
      </w:pPr>
      <w:r>
        <w:rPr>
          <w:rFonts w:ascii="Arial" w:cs="Arial" w:eastAsia="Arial" w:hAnsi="Arial"/>
          <w:b w:val="false"/>
          <w:bCs w:val="false"/>
          <w:color w:val="1A1A2E"/>
          <w:sz w:val="22"/>
          <w:szCs w:val="22"/>
        </w:rPr>
        <w:t xml:space="preserve">Fitness achieves the highest profit margin (~12.7%) despite lower absolute revenue, indicating superior unit economics.</w:t>
      </w:r>
    </w:p>
    <w:p>
      <w:pPr>
        <w:pStyle w:val="ListParagraph"/>
        <w:numPr>
          <w:ilvl w:val="0"/>
          <w:numId w:val="2"/>
        </w:numPr>
        <w:spacing w:after="40" w:before="40"/>
      </w:pPr>
      <w:r>
        <w:rPr>
          <w:rFonts w:ascii="Arial" w:cs="Arial" w:eastAsia="Arial" w:hAnsi="Arial"/>
          <w:b w:val="false"/>
          <w:bCs w:val="false"/>
          <w:color w:val="1A1A2E"/>
          <w:sz w:val="22"/>
          <w:szCs w:val="22"/>
        </w:rPr>
        <w:t xml:space="preserve">Technology has the lowest profit margin (~8.6%) among mid-revenue departments, requiring pricing or cost review.</w:t>
      </w:r>
    </w:p>
    <w:p>
      <w:pPr>
        <w:pStyle w:val="ListParagraph"/>
        <w:numPr>
          <w:ilvl w:val="0"/>
          <w:numId w:val="2"/>
        </w:numPr>
        <w:spacing w:after="40" w:before="40"/>
      </w:pPr>
      <w:r>
        <w:rPr>
          <w:rFonts w:ascii="Arial" w:cs="Arial" w:eastAsia="Arial" w:hAnsi="Arial"/>
          <w:b w:val="false"/>
          <w:bCs w:val="false"/>
          <w:color w:val="1A1A2E"/>
          <w:sz w:val="22"/>
          <w:szCs w:val="22"/>
        </w:rPr>
        <w:t xml:space="preserve">The top 10 products generate a disproportionate share of total revenue, with the number one product alone contributing $6.93M.</w:t>
      </w:r>
    </w:p>
    <w:p>
      <w:pPr>
        <w:spacing w:after="40" w:before="80"/>
      </w:pPr>
    </w:p>
    <w:p>
      <w:pPr>
        <w:pStyle w:val="Heading2"/>
        <w:spacing w:after="100" w:before="240"/>
      </w:pPr>
      <w:r>
        <w:rPr>
          <w:rFonts w:ascii="Arial" w:cs="Arial" w:eastAsia="Arial" w:hAnsi="Arial"/>
          <w:b/>
          <w:bCs/>
          <w:color w:val="2E75B6"/>
          <w:sz w:val="28"/>
          <w:szCs w:val="28"/>
        </w:rPr>
        <w:t xml:space="preserve">8.3 Logistics and Shipping</w:t>
      </w:r>
    </w:p>
    <w:p>
      <w:pPr>
        <w:pStyle w:val="ListParagraph"/>
        <w:numPr>
          <w:ilvl w:val="0"/>
          <w:numId w:val="2"/>
        </w:numPr>
        <w:spacing w:after="40" w:before="40"/>
      </w:pPr>
      <w:r>
        <w:rPr>
          <w:rFonts w:ascii="Arial" w:cs="Arial" w:eastAsia="Arial" w:hAnsi="Arial"/>
          <w:b w:val="false"/>
          <w:bCs w:val="false"/>
          <w:color w:val="1A1A2E"/>
          <w:sz w:val="22"/>
          <w:szCs w:val="22"/>
        </w:rPr>
        <w:t xml:space="preserve">The average late delivery rate is 54.8%, with negligible variation across all five global markets (range: 54.4% to 55.2%).</w:t>
      </w:r>
    </w:p>
    <w:p>
      <w:pPr>
        <w:pStyle w:val="ListParagraph"/>
        <w:numPr>
          <w:ilvl w:val="0"/>
          <w:numId w:val="2"/>
        </w:numPr>
        <w:spacing w:after="40" w:before="40"/>
      </w:pPr>
      <w:r>
        <w:rPr>
          <w:rFonts w:ascii="Arial" w:cs="Arial" w:eastAsia="Arial" w:hAnsi="Arial"/>
          <w:b w:val="false"/>
          <w:bCs w:val="false"/>
          <w:color w:val="1A1A2E"/>
          <w:sz w:val="22"/>
          <w:szCs w:val="22"/>
        </w:rPr>
        <w:t xml:space="preserve">Late delivery is positively correlated with actual shipping duration (r = 0.40), identifying shipping time as the primary operational lever.</w:t>
      </w:r>
    </w:p>
    <w:p>
      <w:pPr>
        <w:pStyle w:val="ListParagraph"/>
        <w:numPr>
          <w:ilvl w:val="0"/>
          <w:numId w:val="2"/>
        </w:numPr>
        <w:spacing w:after="40" w:before="40"/>
      </w:pPr>
      <w:r>
        <w:rPr>
          <w:rFonts w:ascii="Arial" w:cs="Arial" w:eastAsia="Arial" w:hAnsi="Arial"/>
          <w:b w:val="false"/>
          <w:bCs w:val="false"/>
          <w:color w:val="1A1A2E"/>
          <w:sz w:val="22"/>
          <w:szCs w:val="22"/>
        </w:rPr>
        <w:t xml:space="preserve">The mean actual shipping time is 3.5 days, against a scheduled average skewed toward 4 days.</w:t>
      </w:r>
    </w:p>
    <w:p>
      <w:pPr>
        <w:spacing w:after="40" w:before="80"/>
      </w:pPr>
    </w:p>
    <w:p>
      <w:pPr>
        <w:pStyle w:val="Heading2"/>
        <w:spacing w:after="100" w:before="240"/>
      </w:pPr>
      <w:r>
        <w:rPr>
          <w:rFonts w:ascii="Arial" w:cs="Arial" w:eastAsia="Arial" w:hAnsi="Arial"/>
          <w:b/>
          <w:bCs/>
          <w:color w:val="2E75B6"/>
          <w:sz w:val="28"/>
          <w:szCs w:val="28"/>
        </w:rPr>
        <w:t xml:space="preserve">8.4 Profitability</w:t>
      </w:r>
    </w:p>
    <w:p>
      <w:pPr>
        <w:pStyle w:val="ListParagraph"/>
        <w:numPr>
          <w:ilvl w:val="0"/>
          <w:numId w:val="2"/>
        </w:numPr>
        <w:spacing w:after="40" w:before="40"/>
      </w:pPr>
      <w:r>
        <w:rPr>
          <w:rFonts w:ascii="Arial" w:cs="Arial" w:eastAsia="Arial" w:hAnsi="Arial"/>
          <w:b w:val="false"/>
          <w:bCs w:val="false"/>
          <w:color w:val="1A1A2E"/>
          <w:sz w:val="22"/>
          <w:szCs w:val="22"/>
        </w:rPr>
        <w:t xml:space="preserve">Profit Per Order has a mean of $23.3 and a median of $31.5, indicating a left-skewed distribution with meaningful negative-profit order volume.</w:t>
      </w:r>
    </w:p>
    <w:p>
      <w:pPr>
        <w:pStyle w:val="ListParagraph"/>
        <w:numPr>
          <w:ilvl w:val="0"/>
          <w:numId w:val="2"/>
        </w:numPr>
        <w:spacing w:after="40" w:before="40"/>
      </w:pPr>
      <w:r>
        <w:rPr>
          <w:rFonts w:ascii="Arial" w:cs="Arial" w:eastAsia="Arial" w:hAnsi="Arial"/>
          <w:b w:val="false"/>
          <w:bCs w:val="false"/>
          <w:color w:val="1A1A2E"/>
          <w:sz w:val="22"/>
          <w:szCs w:val="22"/>
        </w:rPr>
        <w:t xml:space="preserve">Discount rate is weakly negatively correlated with Order Item Total (r = -0.12), suggesting discounts are not systematically targeted at high-value orders.</w:t>
      </w:r>
    </w:p>
    <w:p>
      <w:pPr>
        <w:pStyle w:val="ListParagraph"/>
        <w:numPr>
          <w:ilvl w:val="0"/>
          <w:numId w:val="2"/>
        </w:numPr>
        <w:spacing w:after="40" w:before="40"/>
      </w:pPr>
      <w:r>
        <w:rPr>
          <w:rFonts w:ascii="Arial" w:cs="Arial" w:eastAsia="Arial" w:hAnsi="Arial"/>
          <w:b w:val="false"/>
          <w:bCs w:val="false"/>
          <w:color w:val="1A1A2E"/>
          <w:sz w:val="22"/>
          <w:szCs w:val="22"/>
        </w:rPr>
        <w:t xml:space="preserve">All three customer segments exhibit near-identical profit distributions, indicating profit drivers are product and logistics-based rather than segment-based.</w:t>
      </w:r>
    </w:p>
    <w:p>
      <w:pPr>
        <w:spacing w:after="40" w:before="80"/>
      </w:pPr>
    </w:p>
    <w:p>
      <w:pPr>
        <w:pStyle w:val="Heading2"/>
        <w:spacing w:after="100" w:before="240"/>
      </w:pPr>
      <w:r>
        <w:rPr>
          <w:rFonts w:ascii="Arial" w:cs="Arial" w:eastAsia="Arial" w:hAnsi="Arial"/>
          <w:b/>
          <w:bCs/>
          <w:color w:val="2E75B6"/>
          <w:sz w:val="28"/>
          <w:szCs w:val="28"/>
        </w:rPr>
        <w:t xml:space="preserve">8.5 Customer and Payment Behavior</w:t>
      </w:r>
    </w:p>
    <w:p>
      <w:pPr>
        <w:pStyle w:val="ListParagraph"/>
        <w:numPr>
          <w:ilvl w:val="0"/>
          <w:numId w:val="2"/>
        </w:numPr>
        <w:spacing w:after="40" w:before="40"/>
      </w:pPr>
      <w:r>
        <w:rPr>
          <w:rFonts w:ascii="Arial" w:cs="Arial" w:eastAsia="Arial" w:hAnsi="Arial"/>
          <w:b w:val="false"/>
          <w:bCs w:val="false"/>
          <w:color w:val="1A1A2E"/>
          <w:sz w:val="22"/>
          <w:szCs w:val="22"/>
        </w:rPr>
        <w:t xml:space="preserve">93,504 Consumer-segment orders versus 54,789 Corporate and 32,226 Home Office indicates significant concentration risk in a single segment.</w:t>
      </w:r>
    </w:p>
    <w:p>
      <w:pPr>
        <w:pStyle w:val="ListParagraph"/>
        <w:numPr>
          <w:ilvl w:val="0"/>
          <w:numId w:val="2"/>
        </w:numPr>
        <w:spacing w:after="40" w:before="40"/>
      </w:pPr>
      <w:r>
        <w:rPr>
          <w:rFonts w:ascii="Arial" w:cs="Arial" w:eastAsia="Arial" w:hAnsi="Arial"/>
          <w:b w:val="false"/>
          <w:bCs w:val="false"/>
          <w:color w:val="1A1A2E"/>
          <w:sz w:val="22"/>
          <w:szCs w:val="22"/>
        </w:rPr>
        <w:t xml:space="preserve">59,491 orders have a COMPLETE status, while 39,832 are in PENDING_PAYMENT status, representing a meaningful collection risk.</w:t>
      </w:r>
    </w:p>
    <w:p>
      <w:pPr>
        <w:pStyle w:val="ListParagraph"/>
        <w:numPr>
          <w:ilvl w:val="0"/>
          <w:numId w:val="2"/>
        </w:numPr>
        <w:spacing w:after="40" w:before="40"/>
      </w:pPr>
      <w:r>
        <w:rPr>
          <w:rFonts w:ascii="Arial" w:cs="Arial" w:eastAsia="Arial" w:hAnsi="Arial"/>
          <w:b w:val="false"/>
          <w:bCs w:val="false"/>
          <w:color w:val="1A1A2E"/>
          <w:sz w:val="22"/>
          <w:szCs w:val="22"/>
        </w:rPr>
        <w:t xml:space="preserve">Debit dominates payment method share at 38.4%, with Cash representing only 10.9% of transactions.</w:t>
      </w:r>
    </w:p>
    <w:p>
      <w:r>
        <w:br w:type="page"/>
      </w:r>
    </w:p>
    <w:p>
      <w:pPr>
        <w:pStyle w:val="Heading1"/>
        <w:spacing w:after="120" w:before="320"/>
      </w:pPr>
      <w:r>
        <w:rPr>
          <w:rFonts w:ascii="Arial" w:cs="Arial" w:eastAsia="Arial" w:hAnsi="Arial"/>
          <w:b/>
          <w:bCs/>
          <w:color w:val="1F3864"/>
          <w:sz w:val="34"/>
          <w:szCs w:val="34"/>
        </w:rPr>
        <w:t xml:space="preserve">9. Business Impact and Recommendations</w:t>
      </w:r>
    </w:p>
    <w:p>
      <w:pPr>
        <w:pBdr>
          <w:bottom w:val="single" w:color="2E75B6" w:sz="8" w:space="1"/>
        </w:pBd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Finding</w:t>
            </w:r>
          </w:p>
        </w:tc>
        <w:tc>
          <w:tcPr>
            <w:tcW w:type="dxa" w:w="562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Recommended Action</w:t>
            </w:r>
          </w:p>
        </w:tc>
      </w:tr>
      <w:tr>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54.8% average late delivery rate across all markets</w:t>
            </w:r>
          </w:p>
        </w:tc>
        <w:tc>
          <w:tcPr>
            <w:tcW w:type="dxa" w:w="56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Investigate logistics partner SLAs and fulfillment center capacity. Implement carrier performance scoring and penalize consistently late partners.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Late delivery driven primarily by actual shipping duration (r=0.40)</w:t>
            </w:r>
          </w:p>
        </w:tc>
        <w:tc>
          <w:tcPr>
            <w:tcW w:type="dxa" w:w="5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Focus improvement efforts on shipping speed. Evaluate expedited shipping tier expansion and carrier route optimization.</w:t>
            </w:r>
          </w:p>
        </w:tc>
      </w:tr>
      <w:tr>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Technology department has the lowest profit margin</w:t>
            </w:r>
          </w:p>
        </w:tc>
        <w:tc>
          <w:tcPr>
            <w:tcW w:type="dxa" w:w="56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Conduct a full cost-to-serve analysis for Technology SKUs. Review supplier contracts and evaluate price repositioning.</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Fitness achieves highest margin despite low revenue</w:t>
            </w:r>
          </w:p>
        </w:tc>
        <w:tc>
          <w:tcPr>
            <w:tcW w:type="dxa" w:w="5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Increase marketing investment and inventory depth in the Fitness department to capture higher-margin revenue at scale.</w:t>
            </w:r>
          </w:p>
        </w:tc>
      </w:tr>
      <w:tr>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Negative-profit orders in left tail of distribution</w:t>
            </w:r>
          </w:p>
        </w:tc>
        <w:tc>
          <w:tcPr>
            <w:tcW w:type="dxa" w:w="56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Implement minimum discount floor rules and attribute return and cancellation costs to originating orders to improve P&amp;L accuracy.</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Consumer segment represents 60%+ of order volume</w:t>
            </w:r>
          </w:p>
        </w:tc>
        <w:tc>
          <w:tcPr>
            <w:tcW w:type="dxa" w:w="5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Develop targeted corporate loyalty and volume discount programs to reduce segment concentration risk.</w:t>
            </w:r>
          </w:p>
        </w:tc>
      </w:tr>
      <w:tr>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Revenue declined 4.0% YoY in 2017</w:t>
            </w:r>
          </w:p>
        </w:tc>
        <w:tc>
          <w:tcPr>
            <w:tcW w:type="dxa" w:w="56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Conduct customer cohort analysis to identify retention rates and order frequency trends. Re-engage lapsed high-value customers.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39,832 orders in PENDING_PAYMENT status</w:t>
            </w:r>
          </w:p>
        </w:tc>
        <w:tc>
          <w:tcPr>
            <w:tcW w:type="dxa" w:w="5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Implement automated payment follow-up workflows and review payment gateway reliability across markets.</w:t>
            </w:r>
          </w:p>
        </w:tc>
      </w:tr>
    </w:tbl>
    <w:p>
      <w:r>
        <w:br w:type="page"/>
      </w:r>
    </w:p>
    <w:p>
      <w:pPr>
        <w:pStyle w:val="Heading1"/>
        <w:spacing w:after="120" w:before="320"/>
      </w:pPr>
      <w:r>
        <w:rPr>
          <w:rFonts w:ascii="Arial" w:cs="Arial" w:eastAsia="Arial" w:hAnsi="Arial"/>
          <w:b/>
          <w:bCs/>
          <w:color w:val="1F3864"/>
          <w:sz w:val="34"/>
          <w:szCs w:val="34"/>
        </w:rPr>
        <w:t xml:space="preserve">10. Tools and Technologies</w:t>
      </w:r>
    </w:p>
    <w:p>
      <w:pPr>
        <w:pBdr>
          <w:bottom w:val="single" w:color="2E75B6" w:sz="8" w:space="1"/>
        </w:pBd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c>
          <w:tcPr>
            <w:tcW w:type="dxa" w:w="442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Application in This Project</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Database and Modeling</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Microsoft SQL Server</w:t>
            </w:r>
          </w:p>
        </w:tc>
        <w:tc>
          <w:tcPr>
            <w:tcW w:type="dxa" w:w="44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Star schema design, ETL, data validation, T-SQL scripting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Query Language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T-SQL</w:t>
            </w:r>
          </w:p>
        </w:tc>
        <w:tc>
          <w:tcPr>
            <w:tcW w:type="dxa" w:w="4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DDL, DML, INSERT/SELECT pipelines, ALTER TABLE, integrity checks</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Operational Reporting</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Microsoft Excel</w:t>
            </w:r>
          </w:p>
        </w:tc>
        <w:tc>
          <w:tcPr>
            <w:tcW w:type="dxa" w:w="44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PivotTables, PivotCharts, Slicers, KPI dashboard design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Business Intelligence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Microsoft Power BI</w:t>
            </w:r>
          </w:p>
        </w:tc>
        <w:tc>
          <w:tcPr>
            <w:tcW w:type="dxa" w:w="4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DAX measures, YTD/MTD time intelligence, drill-through, KPI cards</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Programming Language</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Python 3.x</w:t>
            </w:r>
          </w:p>
        </w:tc>
        <w:tc>
          <w:tcPr>
            <w:tcW w:type="dxa" w:w="44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EDA pipeline, statistical analysis, visualization generation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Data Manipulation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Pandas, NumPy</w:t>
            </w:r>
          </w:p>
        </w:tc>
        <w:tc>
          <w:tcPr>
            <w:tcW w:type="dxa" w:w="4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 loading, transformation, grouping, aggregation, feature engineering</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Visualization</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Matplotlib, Seaborn</w:t>
            </w:r>
          </w:p>
        </w:tc>
        <w:tc>
          <w:tcPr>
            <w:tcW w:type="dxa" w:w="44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13-chart EDA visualization suite including heatmaps, distributions, and correlation matrices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Development Environment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Jupyter Notebook</w:t>
            </w:r>
          </w:p>
        </w:tc>
        <w:tc>
          <w:tcPr>
            <w:tcW w:type="dxa" w:w="4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Interactive Python development, documentation, and chart export</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Version Control</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Git / GitHub</w:t>
            </w:r>
          </w:p>
        </w:tc>
        <w:tc>
          <w:tcPr>
            <w:tcW w:type="dxa" w:w="44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Source code management, team collaboration, project portfolio hosting</w:t>
            </w:r>
          </w:p>
        </w:tc>
      </w:tr>
    </w:tbl>
    <w:p>
      <w:r>
        <w:br w:type="page"/>
      </w:r>
    </w:p>
    <w:p>
      <w:pPr>
        <w:pStyle w:val="Heading1"/>
        <w:spacing w:after="120" w:before="320"/>
      </w:pPr>
      <w:r>
        <w:rPr>
          <w:rFonts w:ascii="Arial" w:cs="Arial" w:eastAsia="Arial" w:hAnsi="Arial"/>
          <w:b/>
          <w:bCs/>
          <w:color w:val="1F3864"/>
          <w:sz w:val="34"/>
          <w:szCs w:val="34"/>
        </w:rPr>
        <w:t xml:space="preserve">11. Project Team and Contributions</w:t>
      </w:r>
    </w:p>
    <w:p>
      <w:pPr>
        <w:pBdr>
          <w:bottom w:val="single" w:color="2E75B6" w:sz="8" w:space="1"/>
        </w:pBdr>
        <w:spacing w:after="60" w:before="60"/>
      </w:pPr>
    </w:p>
    <w:p>
      <w:pPr>
        <w:pStyle w:val="Heading2"/>
        <w:spacing w:after="100" w:before="240"/>
      </w:pPr>
      <w:r>
        <w:rPr>
          <w:rFonts w:ascii="Arial" w:cs="Arial" w:eastAsia="Arial" w:hAnsi="Arial"/>
          <w:b/>
          <w:bCs/>
          <w:color w:val="2E75B6"/>
          <w:sz w:val="28"/>
          <w:szCs w:val="28"/>
        </w:rPr>
        <w:t xml:space="preserve">11.1 Program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Program</w:t>
            </w:r>
          </w:p>
        </w:tc>
        <w:tc>
          <w:tcPr>
            <w:tcW w:type="dxa" w:w="65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Digital Egypt Pioneers Initiative (DEPI)</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Project Type</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Graduation Project - Data Analytics Track</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Supervisor</w:t>
            </w:r>
          </w:p>
        </w:tc>
        <w:tc>
          <w:tcPr>
            <w:tcW w:type="dxa" w:w="65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Eng. Sara Besher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Year</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2026</w:t>
            </w:r>
          </w:p>
        </w:tc>
      </w:tr>
    </w:tbl>
    <w:p>
      <w:pPr>
        <w:spacing w:after="40" w:before="160"/>
      </w:pPr>
    </w:p>
    <w:p>
      <w:pPr>
        <w:pStyle w:val="Heading2"/>
        <w:spacing w:after="100" w:before="240"/>
      </w:pPr>
      <w:r>
        <w:rPr>
          <w:rFonts w:ascii="Arial" w:cs="Arial" w:eastAsia="Arial" w:hAnsi="Arial"/>
          <w:b/>
          <w:bCs/>
          <w:color w:val="2E75B6"/>
          <w:sz w:val="28"/>
          <w:szCs w:val="28"/>
        </w:rPr>
        <w:t xml:space="preserve">11.2 Team Members and Contributions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Team Member</w:t>
            </w:r>
          </w:p>
        </w:tc>
        <w:tc>
          <w:tcPr>
            <w:tcW w:type="dxa" w:w="582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Primary Contribution</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Hesham Lotfy</w:t>
            </w:r>
          </w:p>
        </w:tc>
        <w:tc>
          <w:tcPr>
            <w:tcW w:type="dxa" w:w="58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SQL data engineering: star schema design, ETL scripting, and data validation pipeline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Abdallah Hossam Eldin</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SQL data modeling and dimension enrichment; Power BI report architecture and DAX measure development</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Fatma Ahmed Ali Fahmy</w:t>
            </w:r>
          </w:p>
        </w:tc>
        <w:tc>
          <w:tcPr>
            <w:tcW w:type="dxa" w:w="58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Python EDA pipeline: univariate and bivariate analysis, profit and shipping visualizations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Nada Abdelghany Abdeltwap</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Excel dashboard design: KPI layout, PivotTable development, and slicer configuration</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Marim Ibrahim Abdelsalam</w:t>
            </w:r>
          </w:p>
        </w:tc>
        <w:tc>
          <w:tcPr>
            <w:tcW w:type="dxa" w:w="58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Python EDA pipeline: correlation analysis, heatmap generation, and department performance analysis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Mariam Gamal Abdelgawad</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Project documentation, GitHub repository management, README authoring, and final report compilation</w:t>
            </w:r>
          </w:p>
        </w:tc>
      </w:tr>
    </w:tbl>
    <w:p>
      <w:pPr>
        <w:spacing w:after="40" w:before="160"/>
      </w:pPr>
    </w:p>
    <w:p>
      <w:pPr>
        <w:pStyle w:val="Heading2"/>
        <w:spacing w:after="100" w:before="240"/>
      </w:pPr>
      <w:r>
        <w:rPr>
          <w:rFonts w:ascii="Arial" w:cs="Arial" w:eastAsia="Arial" w:hAnsi="Arial"/>
          <w:b/>
          <w:bCs/>
          <w:color w:val="2E75B6"/>
          <w:sz w:val="28"/>
          <w:szCs w:val="28"/>
        </w:rPr>
        <w:t xml:space="preserve">11.3 Collaborative Methodology</w:t>
      </w:r>
    </w:p>
    <w:p>
      <w:pPr>
        <w:spacing w:after="80" w:before="60"/>
      </w:pPr>
      <w:r>
        <w:rPr>
          <w:rFonts w:ascii="Arial" w:cs="Arial" w:eastAsia="Arial" w:hAnsi="Arial"/>
          <w:color w:val="1A1A2E"/>
          <w:sz w:val="22"/>
          <w:szCs w:val="22"/>
        </w:rPr>
        <w:t xml:space="preserve">The team followed a structured data pipeline methodology with clear ownership boundaries for each analytical layer. Work was coordinated through regular team reviews to ensure consistency between layers and alignment with project objectives. All code and assets are version-controlled on GitHub, enabling full reproducibility of all findings and analyses.</w:t>
      </w:r>
    </w:p>
    <w:p>
      <w:r>
        <w:br w:type="page"/>
      </w:r>
    </w:p>
    <w:p>
      <w:pPr>
        <w:pStyle w:val="Heading1"/>
        <w:spacing w:after="120" w:before="320"/>
      </w:pPr>
      <w:r>
        <w:rPr>
          <w:rFonts w:ascii="Arial" w:cs="Arial" w:eastAsia="Arial" w:hAnsi="Arial"/>
          <w:b/>
          <w:bCs/>
          <w:color w:val="1F3864"/>
          <w:sz w:val="34"/>
          <w:szCs w:val="34"/>
        </w:rPr>
        <w:t xml:space="preserve">12. Project Structure</w:t>
      </w:r>
    </w:p>
    <w:p>
      <w:pPr>
        <w:pBdr>
          <w:bottom w:val="single" w:color="2E75B6" w:sz="8" w:space="1"/>
        </w:pBd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Path</w:t>
            </w:r>
          </w:p>
        </w:tc>
        <w:tc>
          <w:tcPr>
            <w:tcW w:type="dxa" w:w="602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Contents</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sql/</w:t>
            </w:r>
          </w:p>
        </w:tc>
        <w:tc>
          <w:tcPr>
            <w:tcW w:type="dxa" w:w="60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DDL, DML, and ETL SQL scripts; star schema creation and validation queries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excel/</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Interactive Excel KPI dashboard (Dashboard.xlsx)</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power-bi/</w:t>
            </w:r>
          </w:p>
        </w:tc>
        <w:tc>
          <w:tcPr>
            <w:tcW w:type="dxa" w:w="60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Power BI Desktop report file (.pbix)</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python/</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Jupyter Notebook (ecommerce_analysis.ipynb) with full EDA code</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charts/</w:t>
            </w:r>
          </w:p>
        </w:tc>
        <w:tc>
          <w:tcPr>
            <w:tcW w:type="dxa" w:w="60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13 exported EDA visualization PNG files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Suply chain/image/</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Project banner, dashboard GIFs, and star schema screenshot</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2E"/>
                <w:sz w:val="20"/>
                <w:szCs w:val="20"/>
              </w:rPr>
              <w:t xml:space="preserve">README.md</w:t>
            </w:r>
          </w:p>
        </w:tc>
        <w:tc>
          <w:tcPr>
            <w:tcW w:type="dxa" w:w="60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Full GitHub project documentation with visual gallery and architecture overview</w:t>
            </w:r>
          </w:p>
        </w:tc>
      </w:tr>
    </w:tbl>
    <w:p>
      <w:r>
        <w:br w:type="page"/>
      </w:r>
    </w:p>
    <w:p>
      <w:pPr>
        <w:pStyle w:val="Heading1"/>
        <w:spacing w:after="120" w:before="320"/>
      </w:pPr>
      <w:r>
        <w:rPr>
          <w:rFonts w:ascii="Arial" w:cs="Arial" w:eastAsia="Arial" w:hAnsi="Arial"/>
          <w:b/>
          <w:bCs/>
          <w:color w:val="1F3864"/>
          <w:sz w:val="34"/>
          <w:szCs w:val="34"/>
        </w:rPr>
        <w:t xml:space="preserve">13. Conclusion</w:t>
      </w:r>
    </w:p>
    <w:p>
      <w:pPr>
        <w:pBdr>
          <w:bottom w:val="single" w:color="2E75B6" w:sz="8" w:space="1"/>
        </w:pBdr>
        <w:spacing w:after="60" w:before="60"/>
      </w:pPr>
    </w:p>
    <w:p>
      <w:pPr>
        <w:spacing w:after="80" w:before="60"/>
      </w:pPr>
      <w:r>
        <w:rPr>
          <w:rFonts w:ascii="Arial" w:cs="Arial" w:eastAsia="Arial" w:hAnsi="Arial"/>
          <w:color w:val="1A1A2E"/>
          <w:sz w:val="22"/>
          <w:szCs w:val="22"/>
        </w:rPr>
        <w:t xml:space="preserve">This project demonstrates a complete, production-aligned data analytics workflow applied to a real-world supply chain dataset. By constructing a rigorously engineered star schema data warehouse, building multi-audience dashboards, and performing systematic statistical analysis, the team has delivered a solution that provides both operational visibility and strategic insight.</w:t>
      </w:r>
    </w:p>
    <w:p>
      <w:pPr>
        <w:spacing w:after="80" w:before="60"/>
      </w:pPr>
      <w:r>
        <w:rPr>
          <w:rFonts w:ascii="Arial" w:cs="Arial" w:eastAsia="Arial" w:hAnsi="Arial"/>
          <w:color w:val="1A1A2E"/>
          <w:sz w:val="22"/>
          <w:szCs w:val="22"/>
        </w:rPr>
        <w:t xml:space="preserve">The most operationally critical finding is that more than half of all customer orders are delivered late, uniformly across every global market. This systemic issue, driven primarily by actual shipping duration, represents the highest-priority area for operational improvement and customer experience investment.</w:t>
      </w:r>
    </w:p>
    <w:p>
      <w:pPr>
        <w:spacing w:after="80" w:before="60"/>
      </w:pPr>
      <w:r>
        <w:rPr>
          <w:rFonts w:ascii="Arial" w:cs="Arial" w:eastAsia="Arial" w:hAnsi="Arial"/>
          <w:color w:val="1A1A2E"/>
          <w:sz w:val="22"/>
          <w:szCs w:val="22"/>
        </w:rPr>
        <w:t xml:space="preserve">From a financial perspective, the analysis reveals meaningful profit leakage through unstructured discounting and high-cost Technology SKUs, while simultaneously identifying untapped margin potential in the Fitness department. The year-over-year revenue analysis provides an evidence base for targeted customer retention and re-engagement programs.</w:t>
      </w:r>
    </w:p>
    <w:p>
      <w:pPr>
        <w:spacing w:after="80" w:before="60"/>
      </w:pPr>
      <w:r>
        <w:rPr>
          <w:rFonts w:ascii="Arial" w:cs="Arial" w:eastAsia="Arial" w:hAnsi="Arial"/>
          <w:color w:val="1A1A2E"/>
          <w:sz w:val="22"/>
          <w:szCs w:val="22"/>
        </w:rPr>
        <w:t xml:space="preserve">All findings produced by this pipeline are traceable to the underlying data through the star schema warehouse, fully reproducible via the documented ETL and Python code, and actionable through the interactive Power BI dashboard. This architecture ensures the solution can be maintained, extended, and built upon for future predictive modeling, demand forecasting, or logistics optimization initiatives.</w:t>
      </w:r>
    </w:p>
    <w:p>
      <w:pPr>
        <w:spacing w:after="80" w:before="160"/>
      </w:pPr>
    </w:p>
    <w:p>
      <w:pPr>
        <w:pBdr>
          <w:bottom w:val="single" w:color="2E75B6" w:sz="8" w:space="1"/>
        </w:pBdr>
        <w:spacing w:after="60" w:before="60"/>
      </w:pPr>
    </w:p>
    <w:p>
      <w:pPr>
        <w:spacing w:after="80" w:before="160"/>
        <w:jc w:val="center"/>
      </w:pPr>
      <w:r>
        <w:rPr>
          <w:rFonts w:ascii="Arial" w:cs="Arial" w:eastAsia="Arial" w:hAnsi="Arial"/>
          <w:b/>
          <w:bCs/>
          <w:color w:val="1F3864"/>
          <w:sz w:val="22"/>
          <w:szCs w:val="22"/>
        </w:rPr>
        <w:t xml:space="preserve">Supply Chain End-to-End Analytics Project</w:t>
      </w:r>
    </w:p>
    <w:p>
      <w:pPr>
        <w:spacing w:after="80" w:before="0"/>
        <w:jc w:val="center"/>
      </w:pPr>
      <w:r>
        <w:rPr>
          <w:rFonts w:ascii="Arial" w:cs="Arial" w:eastAsia="Arial" w:hAnsi="Arial"/>
          <w:color w:val="1A1A2E"/>
          <w:sz w:val="20"/>
          <w:szCs w:val="20"/>
        </w:rPr>
        <w:t xml:space="preserve">Digital Egypt Pioneers Initiative (DEPI)  |  Graduation Project  |  2026</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Supply Chain End-to-End Analytics Project</w:t>
    </w:r>
    <w:r>
      <w:rPr>
        <w:rFonts w:ascii="Arial" w:cs="Arial" w:eastAsia="Arial" w:hAnsi="Arial"/>
        <w:color w:val="888888"/>
        <w:sz w:val="18"/>
        <w:szCs w:val="18"/>
      </w:rPr>
      <w:t xml:space="preserve">  |  DEPI Graduation Project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v2vnxopyuiktxqlr6gpr" Type="http://schemas.openxmlformats.org/officeDocument/2006/relationships/hyperlink" Target="https://app.powerbi.com/groups/me/reports/254e4782-bdef-46ff-a6f3-5f18e4489ad0/50f66f92d057c0501c0e?experience=power-bi"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2026-04-30T10:30:42.003Z</dcterms:created>
  <dcterms:modified xsi:type="dcterms:W3CDTF">2026-04-30T10:30:42.004Z</dcterms:modified>
</cp:coreProperties>
</file>

<file path=docProps/custom.xml><?xml version="1.0" encoding="utf-8"?>
<Properties xmlns="http://schemas.openxmlformats.org/officeDocument/2006/custom-properties" xmlns:vt="http://schemas.openxmlformats.org/officeDocument/2006/docPropsVTypes"/>
</file>