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233582">
        <w:trPr>
          <w:trHeight w:hRule="exact" w:val="1418"/>
        </w:trPr>
        <w:tc>
          <w:tcPr>
            <w:tcW w:w="1428" w:type="dxa"/>
            <w:gridSpan w:val="2"/>
          </w:tcPr>
          <w:p w:rsidR="00233582" w:rsidRDefault="00067760">
            <w:r>
              <w:rPr>
                <w:noProof/>
                <w:lang w:val="en-US" w:eastAsia="zh-CN"/>
              </w:rPr>
              <w:drawing>
                <wp:anchor distT="0" distB="0" distL="114300" distR="114300" simplePos="0" relativeHeight="251657216" behindDoc="0" locked="0" layoutInCell="0" allowOverlap="1" wp14:anchorId="0BA1AA91" wp14:editId="54193CF7">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8"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233582" w:rsidRDefault="00233582">
            <w:pPr>
              <w:spacing w:before="0"/>
              <w:rPr>
                <w:b/>
                <w:sz w:val="16"/>
                <w:lang w:val="en-US"/>
              </w:rPr>
            </w:pPr>
          </w:p>
        </w:tc>
        <w:tc>
          <w:tcPr>
            <w:tcW w:w="8520" w:type="dxa"/>
            <w:gridSpan w:val="3"/>
          </w:tcPr>
          <w:p w:rsidR="00233582" w:rsidRDefault="00233582">
            <w:pPr>
              <w:spacing w:before="0"/>
              <w:rPr>
                <w:rFonts w:ascii="Arial" w:hAnsi="Arial" w:cs="Arial"/>
                <w:lang w:val="en-US"/>
              </w:rPr>
            </w:pPr>
          </w:p>
          <w:p w:rsidR="00233582" w:rsidRPr="00E21103" w:rsidRDefault="00233582">
            <w:pPr>
              <w:spacing w:before="284"/>
              <w:rPr>
                <w:rFonts w:ascii="Arial" w:hAnsi="Arial" w:cs="Arial"/>
                <w:b/>
                <w:bCs/>
                <w:sz w:val="24"/>
                <w:szCs w:val="24"/>
                <w:lang w:val="en-US"/>
              </w:rPr>
            </w:pPr>
            <w:r w:rsidRPr="00E21103">
              <w:rPr>
                <w:rFonts w:ascii="Arial" w:hAnsi="Arial" w:cs="Arial"/>
                <w:b/>
                <w:bCs/>
                <w:color w:val="808080"/>
                <w:spacing w:val="100"/>
                <w:sz w:val="24"/>
                <w:szCs w:val="24"/>
              </w:rPr>
              <w:t>International Telecommunication Union</w:t>
            </w:r>
          </w:p>
        </w:tc>
      </w:tr>
      <w:tr w:rsidR="00233582">
        <w:trPr>
          <w:trHeight w:hRule="exact" w:val="992"/>
        </w:trPr>
        <w:tc>
          <w:tcPr>
            <w:tcW w:w="1428" w:type="dxa"/>
            <w:gridSpan w:val="2"/>
          </w:tcPr>
          <w:p w:rsidR="00233582" w:rsidRDefault="00233582">
            <w:pPr>
              <w:spacing w:before="0"/>
              <w:rPr>
                <w:lang w:val="en-US"/>
              </w:rPr>
            </w:pPr>
          </w:p>
        </w:tc>
        <w:tc>
          <w:tcPr>
            <w:tcW w:w="8520" w:type="dxa"/>
            <w:gridSpan w:val="3"/>
          </w:tcPr>
          <w:p w:rsidR="00233582" w:rsidRDefault="00233582">
            <w:pPr>
              <w:rPr>
                <w:lang w:val="en-US"/>
              </w:rPr>
            </w:pPr>
          </w:p>
        </w:tc>
      </w:tr>
      <w:tr w:rsidR="00233582">
        <w:tblPrEx>
          <w:tblCellMar>
            <w:left w:w="85" w:type="dxa"/>
            <w:right w:w="85" w:type="dxa"/>
          </w:tblCellMar>
        </w:tblPrEx>
        <w:trPr>
          <w:gridBefore w:val="2"/>
          <w:wBefore w:w="1428" w:type="dxa"/>
        </w:trPr>
        <w:tc>
          <w:tcPr>
            <w:tcW w:w="2520" w:type="dxa"/>
          </w:tcPr>
          <w:p w:rsidR="00233582" w:rsidRDefault="00233582">
            <w:pPr>
              <w:rPr>
                <w:b/>
                <w:sz w:val="18"/>
                <w:lang w:val="en-US"/>
              </w:rPr>
            </w:pPr>
            <w:bookmarkStart w:id="0" w:name="dnume" w:colFirst="1" w:colLast="1"/>
            <w:r>
              <w:rPr>
                <w:rFonts w:ascii="Arial" w:hAnsi="Arial"/>
                <w:b/>
                <w:spacing w:val="40"/>
                <w:sz w:val="72"/>
                <w:lang w:val="en-US"/>
              </w:rPr>
              <w:t>ITU-T</w:t>
            </w:r>
          </w:p>
        </w:tc>
        <w:tc>
          <w:tcPr>
            <w:tcW w:w="6000" w:type="dxa"/>
            <w:gridSpan w:val="2"/>
          </w:tcPr>
          <w:p w:rsidR="00233582" w:rsidRPr="00234FCD" w:rsidRDefault="00234FCD">
            <w:pPr>
              <w:spacing w:before="240"/>
              <w:jc w:val="right"/>
              <w:rPr>
                <w:rFonts w:ascii="Arial" w:hAnsi="Arial" w:cs="Arial"/>
                <w:b/>
                <w:sz w:val="60"/>
                <w:lang w:val="en-US"/>
              </w:rPr>
            </w:pPr>
            <w:r w:rsidRPr="00234FCD">
              <w:rPr>
                <w:rFonts w:ascii="Arial" w:hAnsi="Arial" w:cs="Arial"/>
                <w:b/>
                <w:sz w:val="60"/>
                <w:lang w:val="en-US"/>
              </w:rPr>
              <w:t>H.265.2</w:t>
            </w:r>
          </w:p>
        </w:tc>
      </w:tr>
      <w:tr w:rsidR="00233582">
        <w:tblPrEx>
          <w:tblCellMar>
            <w:left w:w="85" w:type="dxa"/>
            <w:right w:w="85" w:type="dxa"/>
          </w:tblCellMar>
        </w:tblPrEx>
        <w:trPr>
          <w:gridBefore w:val="2"/>
          <w:wBefore w:w="1428" w:type="dxa"/>
          <w:trHeight w:val="974"/>
        </w:trPr>
        <w:tc>
          <w:tcPr>
            <w:tcW w:w="4549" w:type="dxa"/>
            <w:gridSpan w:val="2"/>
          </w:tcPr>
          <w:p w:rsidR="00233582" w:rsidRDefault="00233582" w:rsidP="00465AB5">
            <w:pPr>
              <w:jc w:val="left"/>
              <w:rPr>
                <w:b/>
                <w:lang w:val="en-US"/>
              </w:rPr>
            </w:pPr>
            <w:bookmarkStart w:id="1" w:name="ddatee" w:colFirst="1" w:colLast="1"/>
            <w:bookmarkEnd w:id="0"/>
            <w:r>
              <w:rPr>
                <w:rFonts w:ascii="Arial" w:hAnsi="Arial"/>
                <w:lang w:val="en-US"/>
              </w:rPr>
              <w:t>TELECOMMUNICATION</w:t>
            </w:r>
            <w:r>
              <w:rPr>
                <w:rFonts w:ascii="Arial" w:hAnsi="Arial" w:cs="Arial"/>
                <w:lang w:val="en-US"/>
              </w:rPr>
              <w:br/>
            </w:r>
            <w:r>
              <w:rPr>
                <w:rFonts w:ascii="Arial" w:hAnsi="Arial"/>
                <w:lang w:val="en-US"/>
              </w:rPr>
              <w:t>STANDARDIZATION SECTOR</w:t>
            </w:r>
            <w:r>
              <w:rPr>
                <w:rFonts w:ascii="Arial" w:hAnsi="Arial"/>
                <w:lang w:val="en-US"/>
              </w:rPr>
              <w:br/>
              <w:t>OF ITU</w:t>
            </w:r>
          </w:p>
        </w:tc>
        <w:tc>
          <w:tcPr>
            <w:tcW w:w="3971" w:type="dxa"/>
          </w:tcPr>
          <w:p w:rsidR="00233582" w:rsidRPr="00234FCD" w:rsidRDefault="00234FCD" w:rsidP="00234FCD">
            <w:pPr>
              <w:spacing w:before="0"/>
              <w:jc w:val="right"/>
              <w:rPr>
                <w:rFonts w:ascii="Arial" w:hAnsi="Arial" w:cs="Arial"/>
                <w:sz w:val="28"/>
                <w:lang w:val="en-US"/>
              </w:rPr>
            </w:pPr>
            <w:r w:rsidRPr="00234FCD">
              <w:rPr>
                <w:rFonts w:ascii="Arial" w:hAnsi="Arial" w:cs="Arial"/>
                <w:sz w:val="28"/>
                <w:lang w:val="en-US"/>
              </w:rPr>
              <w:t xml:space="preserve">(10/2014)   </w:t>
            </w:r>
          </w:p>
        </w:tc>
      </w:tr>
      <w:tr w:rsidR="00233582">
        <w:trPr>
          <w:cantSplit/>
          <w:trHeight w:hRule="exact" w:val="3402"/>
        </w:trPr>
        <w:tc>
          <w:tcPr>
            <w:tcW w:w="1418" w:type="dxa"/>
          </w:tcPr>
          <w:p w:rsidR="00233582" w:rsidRDefault="00233582">
            <w:pPr>
              <w:tabs>
                <w:tab w:val="right" w:pos="9639"/>
              </w:tabs>
              <w:rPr>
                <w:rFonts w:ascii="Arial" w:hAnsi="Arial"/>
                <w:sz w:val="18"/>
                <w:lang w:val="en-US"/>
              </w:rPr>
            </w:pPr>
            <w:bookmarkStart w:id="2" w:name="dsece" w:colFirst="1" w:colLast="1"/>
            <w:bookmarkEnd w:id="1"/>
          </w:p>
        </w:tc>
        <w:tc>
          <w:tcPr>
            <w:tcW w:w="8530" w:type="dxa"/>
            <w:gridSpan w:val="4"/>
            <w:tcBorders>
              <w:bottom w:val="single" w:sz="12" w:space="0" w:color="auto"/>
            </w:tcBorders>
            <w:vAlign w:val="bottom"/>
          </w:tcPr>
          <w:p w:rsidR="00234FCD" w:rsidRPr="00234FCD" w:rsidRDefault="00234FCD" w:rsidP="00234FCD">
            <w:pPr>
              <w:tabs>
                <w:tab w:val="right" w:pos="9639"/>
              </w:tabs>
              <w:spacing w:before="120"/>
              <w:jc w:val="left"/>
              <w:rPr>
                <w:rFonts w:ascii="Arial" w:hAnsi="Arial" w:cs="Arial"/>
                <w:sz w:val="32"/>
                <w:lang w:val="en-US"/>
              </w:rPr>
            </w:pPr>
            <w:r w:rsidRPr="00234FCD">
              <w:rPr>
                <w:rFonts w:ascii="Arial" w:hAnsi="Arial" w:cs="Arial"/>
                <w:sz w:val="32"/>
                <w:lang w:val="en-US"/>
              </w:rPr>
              <w:t>SERIES H: AUDIOVISUAL AND MULTIMEDIA SYSTEMS</w:t>
            </w:r>
          </w:p>
          <w:p w:rsidR="00234FCD" w:rsidRDefault="00234FCD" w:rsidP="00234FCD">
            <w:pPr>
              <w:tabs>
                <w:tab w:val="right" w:pos="9639"/>
              </w:tabs>
              <w:spacing w:before="120"/>
              <w:jc w:val="left"/>
              <w:rPr>
                <w:rFonts w:ascii="Arial" w:hAnsi="Arial" w:cs="Arial"/>
                <w:sz w:val="32"/>
                <w:lang w:val="en-US"/>
              </w:rPr>
            </w:pPr>
            <w:r w:rsidRPr="00234FCD">
              <w:rPr>
                <w:rFonts w:ascii="Arial" w:hAnsi="Arial" w:cs="Arial"/>
                <w:sz w:val="32"/>
                <w:lang w:val="en-US"/>
              </w:rPr>
              <w:t>Infrastructure of audiovisual services – Coding of moving video</w:t>
            </w:r>
          </w:p>
          <w:p w:rsidR="00233582" w:rsidRPr="00234FCD" w:rsidRDefault="00233582" w:rsidP="00234FCD">
            <w:pPr>
              <w:tabs>
                <w:tab w:val="right" w:pos="9639"/>
              </w:tabs>
              <w:spacing w:before="120"/>
              <w:jc w:val="left"/>
              <w:rPr>
                <w:rFonts w:ascii="Arial" w:hAnsi="Arial" w:cs="Arial"/>
                <w:sz w:val="32"/>
                <w:lang w:val="en-US"/>
              </w:rPr>
            </w:pPr>
          </w:p>
        </w:tc>
      </w:tr>
      <w:tr w:rsidR="00233582">
        <w:trPr>
          <w:cantSplit/>
          <w:trHeight w:hRule="exact" w:val="4536"/>
        </w:trPr>
        <w:tc>
          <w:tcPr>
            <w:tcW w:w="1418" w:type="dxa"/>
          </w:tcPr>
          <w:p w:rsidR="00233582" w:rsidRDefault="00233582">
            <w:pPr>
              <w:tabs>
                <w:tab w:val="right" w:pos="9639"/>
              </w:tabs>
              <w:rPr>
                <w:rFonts w:ascii="Arial" w:hAnsi="Arial"/>
                <w:sz w:val="18"/>
                <w:lang w:val="en-US"/>
              </w:rPr>
            </w:pPr>
            <w:bookmarkStart w:id="3" w:name="c1tite" w:colFirst="1" w:colLast="1"/>
            <w:bookmarkEnd w:id="2"/>
          </w:p>
        </w:tc>
        <w:tc>
          <w:tcPr>
            <w:tcW w:w="8530" w:type="dxa"/>
            <w:gridSpan w:val="4"/>
          </w:tcPr>
          <w:p w:rsidR="00233582" w:rsidRDefault="00234FCD" w:rsidP="00234FCD">
            <w:pPr>
              <w:tabs>
                <w:tab w:val="right" w:pos="9639"/>
              </w:tabs>
              <w:jc w:val="left"/>
              <w:rPr>
                <w:rFonts w:ascii="Arial" w:hAnsi="Arial"/>
                <w:b/>
                <w:bCs/>
                <w:sz w:val="36"/>
                <w:lang w:val="en-US"/>
              </w:rPr>
            </w:pPr>
            <w:r w:rsidRPr="00234FCD">
              <w:rPr>
                <w:rFonts w:ascii="Arial" w:hAnsi="Arial"/>
                <w:b/>
                <w:bCs/>
                <w:sz w:val="36"/>
              </w:rPr>
              <w:t>Reference software for ITU-T H.265 high efficiency video coding</w:t>
            </w:r>
          </w:p>
        </w:tc>
      </w:tr>
      <w:bookmarkEnd w:id="3"/>
      <w:tr w:rsidR="00233582">
        <w:trPr>
          <w:cantSplit/>
          <w:trHeight w:hRule="exact" w:val="1418"/>
        </w:trPr>
        <w:tc>
          <w:tcPr>
            <w:tcW w:w="1418" w:type="dxa"/>
          </w:tcPr>
          <w:p w:rsidR="00233582" w:rsidRDefault="00233582">
            <w:pPr>
              <w:tabs>
                <w:tab w:val="right" w:pos="9639"/>
              </w:tabs>
              <w:rPr>
                <w:rFonts w:ascii="Arial" w:hAnsi="Arial"/>
                <w:sz w:val="18"/>
                <w:lang w:val="en-US"/>
              </w:rPr>
            </w:pPr>
          </w:p>
        </w:tc>
        <w:tc>
          <w:tcPr>
            <w:tcW w:w="8530" w:type="dxa"/>
            <w:gridSpan w:val="4"/>
            <w:vAlign w:val="bottom"/>
          </w:tcPr>
          <w:p w:rsidR="00234FCD" w:rsidRDefault="00234FCD" w:rsidP="00234FCD">
            <w:pPr>
              <w:tabs>
                <w:tab w:val="right" w:pos="9639"/>
              </w:tabs>
              <w:spacing w:before="60" w:after="240"/>
              <w:jc w:val="left"/>
              <w:rPr>
                <w:rFonts w:ascii="Arial" w:hAnsi="Arial" w:cs="Arial"/>
                <w:sz w:val="32"/>
                <w:lang w:val="en-US"/>
              </w:rPr>
            </w:pPr>
            <w:bookmarkStart w:id="4" w:name="dnum2e"/>
            <w:bookmarkEnd w:id="4"/>
            <w:r w:rsidRPr="00234FCD">
              <w:rPr>
                <w:rFonts w:ascii="Arial" w:hAnsi="Arial" w:cs="Arial"/>
                <w:sz w:val="32"/>
                <w:lang w:val="en-US"/>
              </w:rPr>
              <w:t>Recommendation  ITU</w:t>
            </w:r>
            <w:r w:rsidRPr="00234FCD">
              <w:rPr>
                <w:rFonts w:ascii="Arial" w:hAnsi="Arial" w:cs="Arial"/>
                <w:sz w:val="32"/>
                <w:lang w:val="en-US"/>
              </w:rPr>
              <w:noBreakHyphen/>
              <w:t>T  H.265.2</w:t>
            </w:r>
          </w:p>
          <w:p w:rsidR="00233582" w:rsidRPr="00234FCD" w:rsidRDefault="00233582" w:rsidP="00234FCD">
            <w:pPr>
              <w:tabs>
                <w:tab w:val="right" w:pos="9639"/>
              </w:tabs>
              <w:spacing w:before="60"/>
              <w:jc w:val="left"/>
              <w:rPr>
                <w:rFonts w:ascii="Arial" w:hAnsi="Arial" w:cs="Arial"/>
                <w:sz w:val="32"/>
                <w:lang w:val="en-US"/>
              </w:rPr>
            </w:pPr>
          </w:p>
        </w:tc>
      </w:tr>
    </w:tbl>
    <w:p w:rsidR="00233582" w:rsidRDefault="00067760">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14:anchorId="6744A3B9" wp14:editId="4F49E1CC">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9"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rsidR="00233582" w:rsidRDefault="00233582" w:rsidP="00234FCD">
      <w:pPr>
        <w:spacing w:before="80"/>
        <w:jc w:val="center"/>
        <w:rPr>
          <w:lang w:val="en-US"/>
        </w:rPr>
      </w:pPr>
      <w:r>
        <w:rPr>
          <w:lang w:val="en-US"/>
        </w:rPr>
        <w:br w:type="page"/>
      </w:r>
      <w:bookmarkStart w:id="5" w:name="c2tope"/>
      <w:bookmarkEnd w:id="5"/>
      <w:r w:rsidR="00234FCD">
        <w:rPr>
          <w:lang w:val="en-US"/>
        </w:rPr>
        <w:lastRenderedPageBreak/>
        <w:t>ITU-T H-SERIES RECOMMENDATIONS</w:t>
      </w:r>
    </w:p>
    <w:p w:rsidR="00234FCD" w:rsidRDefault="00234FCD" w:rsidP="00234FCD">
      <w:pPr>
        <w:spacing w:before="80" w:after="80"/>
        <w:jc w:val="center"/>
        <w:rPr>
          <w:b/>
          <w:lang w:val="en-US"/>
        </w:rPr>
      </w:pPr>
      <w:r>
        <w:rPr>
          <w:b/>
          <w:lang w:val="en-US"/>
        </w:rPr>
        <w:t>AUDIOVISUAL AND MULTIMEDIA SYSTEMS</w:t>
      </w:r>
    </w:p>
    <w:tbl>
      <w:tblPr>
        <w:tblW w:w="9945" w:type="dxa"/>
        <w:tblInd w:w="108" w:type="dxa"/>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8211"/>
        <w:gridCol w:w="1734"/>
      </w:tblGrid>
      <w:tr w:rsidR="00234FCD" w:rsidTr="00234FCD">
        <w:tc>
          <w:tcPr>
            <w:tcW w:w="8050" w:type="dxa"/>
            <w:shd w:val="clear" w:color="auto" w:fill="auto"/>
          </w:tcPr>
          <w:p w:rsidR="00234FCD" w:rsidRDefault="00234FCD" w:rsidP="00234FCD">
            <w:pPr>
              <w:spacing w:before="30" w:after="30" w:line="190" w:lineRule="exact"/>
              <w:jc w:val="left"/>
              <w:rPr>
                <w:lang w:val="en-US"/>
              </w:rPr>
            </w:pPr>
          </w:p>
        </w:tc>
        <w:tc>
          <w:tcPr>
            <w:tcW w:w="1700" w:type="dxa"/>
            <w:shd w:val="clear" w:color="auto" w:fill="auto"/>
          </w:tcPr>
          <w:p w:rsidR="00234FCD" w:rsidRDefault="00234FCD" w:rsidP="00234FCD">
            <w:pPr>
              <w:spacing w:before="30" w:after="30" w:line="190" w:lineRule="exact"/>
              <w:jc w:val="left"/>
              <w:rPr>
                <w:lang w:val="en-US"/>
              </w:rPr>
            </w:pPr>
          </w:p>
        </w:tc>
      </w:tr>
      <w:tr w:rsidR="00234FCD" w:rsidTr="00234FCD">
        <w:tc>
          <w:tcPr>
            <w:tcW w:w="8050" w:type="dxa"/>
            <w:tcBorders>
              <w:bottom w:val="nil"/>
            </w:tcBorders>
            <w:shd w:val="clear" w:color="auto" w:fill="auto"/>
          </w:tcPr>
          <w:p w:rsidR="00234FCD" w:rsidRDefault="00234FCD" w:rsidP="00234FCD">
            <w:pPr>
              <w:spacing w:before="30" w:after="30" w:line="190" w:lineRule="exact"/>
              <w:ind w:left="113"/>
              <w:jc w:val="left"/>
              <w:rPr>
                <w:lang w:val="en-US"/>
              </w:rPr>
            </w:pPr>
            <w:r>
              <w:rPr>
                <w:lang w:val="en-US"/>
              </w:rPr>
              <w:t>CHARACTERISTICS OF VISUAL TELEPHONE SYSTEMS</w:t>
            </w:r>
          </w:p>
        </w:tc>
        <w:tc>
          <w:tcPr>
            <w:tcW w:w="1700" w:type="dxa"/>
            <w:tcBorders>
              <w:bottom w:val="nil"/>
            </w:tcBorders>
            <w:shd w:val="clear" w:color="auto" w:fill="auto"/>
          </w:tcPr>
          <w:p w:rsidR="00234FCD" w:rsidRDefault="00234FCD" w:rsidP="00234FCD">
            <w:pPr>
              <w:spacing w:before="30" w:after="30" w:line="190" w:lineRule="exact"/>
              <w:jc w:val="left"/>
              <w:rPr>
                <w:lang w:val="en-US"/>
              </w:rPr>
            </w:pPr>
            <w:r>
              <w:rPr>
                <w:lang w:val="en-US"/>
              </w:rPr>
              <w:t>H.100–H.199</w:t>
            </w:r>
          </w:p>
        </w:tc>
      </w:tr>
      <w:tr w:rsidR="00234FCD" w:rsidRPr="00234FCD" w:rsidTr="00234FCD">
        <w:tc>
          <w:tcPr>
            <w:tcW w:w="8050" w:type="dxa"/>
            <w:tcBorders>
              <w:top w:val="nil"/>
              <w:bottom w:val="nil"/>
            </w:tcBorders>
            <w:shd w:val="clear" w:color="auto" w:fill="auto"/>
          </w:tcPr>
          <w:p w:rsidR="00234FCD" w:rsidRPr="00234FCD" w:rsidRDefault="00234FCD" w:rsidP="00234FCD">
            <w:pPr>
              <w:spacing w:before="30" w:after="30" w:line="190" w:lineRule="exact"/>
              <w:ind w:left="113"/>
              <w:jc w:val="left"/>
              <w:rPr>
                <w:lang w:val="en-US"/>
              </w:rPr>
            </w:pPr>
            <w:r w:rsidRPr="00234FCD">
              <w:rPr>
                <w:lang w:val="en-US"/>
              </w:rPr>
              <w:t>INFRASTRUCTURE OF AUDIOVISUAL SERVICES</w:t>
            </w:r>
          </w:p>
        </w:tc>
        <w:tc>
          <w:tcPr>
            <w:tcW w:w="1700" w:type="dxa"/>
            <w:tcBorders>
              <w:top w:val="nil"/>
              <w:bottom w:val="nil"/>
            </w:tcBorders>
            <w:shd w:val="clear" w:color="auto" w:fill="auto"/>
          </w:tcPr>
          <w:p w:rsidR="00234FCD" w:rsidRPr="00234FCD" w:rsidRDefault="00234FCD" w:rsidP="00234FCD">
            <w:pPr>
              <w:spacing w:before="30" w:after="30" w:line="190" w:lineRule="exact"/>
              <w:jc w:val="left"/>
              <w:rPr>
                <w:lang w:val="en-US"/>
              </w:rPr>
            </w:pP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General</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H.200–H.219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Transmission multiplexing and synchronization</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H.220–H.229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Systems aspects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H.230–H.239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Communication procedures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H.240–H.259</w:t>
            </w:r>
          </w:p>
        </w:tc>
      </w:tr>
      <w:tr w:rsidR="00234FCD" w:rsidRPr="00234FCD" w:rsidTr="00234FCD">
        <w:tc>
          <w:tcPr>
            <w:tcW w:w="8050" w:type="dxa"/>
            <w:tcBorders>
              <w:top w:val="nil"/>
              <w:bottom w:val="nil"/>
            </w:tcBorders>
            <w:shd w:val="pct10" w:color="auto" w:fill="auto"/>
          </w:tcPr>
          <w:p w:rsidR="00234FCD" w:rsidRPr="00234FCD" w:rsidRDefault="00234FCD" w:rsidP="00234FCD">
            <w:pPr>
              <w:spacing w:before="30" w:after="30" w:line="190" w:lineRule="exact"/>
              <w:ind w:left="283"/>
              <w:jc w:val="left"/>
              <w:rPr>
                <w:b/>
                <w:lang w:val="en-US"/>
              </w:rPr>
            </w:pPr>
            <w:r w:rsidRPr="00234FCD">
              <w:rPr>
                <w:b/>
                <w:lang w:val="en-US"/>
              </w:rPr>
              <w:t>Coding of moving video</w:t>
            </w:r>
          </w:p>
        </w:tc>
        <w:tc>
          <w:tcPr>
            <w:tcW w:w="1700" w:type="dxa"/>
            <w:tcBorders>
              <w:top w:val="nil"/>
              <w:bottom w:val="nil"/>
            </w:tcBorders>
            <w:shd w:val="pct10" w:color="auto" w:fill="auto"/>
          </w:tcPr>
          <w:p w:rsidR="00234FCD" w:rsidRPr="00234FCD" w:rsidRDefault="00234FCD" w:rsidP="00234FCD">
            <w:pPr>
              <w:spacing w:before="30" w:after="30" w:line="190" w:lineRule="exact"/>
              <w:jc w:val="left"/>
              <w:rPr>
                <w:b/>
                <w:lang w:val="en-US"/>
              </w:rPr>
            </w:pPr>
            <w:r w:rsidRPr="00234FCD">
              <w:rPr>
                <w:b/>
                <w:lang w:val="en-US"/>
              </w:rPr>
              <w:t>H.260–H.279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Related systems aspects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H.280–H.299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Systems and terminal equipment for audiovisual services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H.300–H.349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Directory services architecture for audiovisual and multimedia services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H.350–H.359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Quality of service architecture for audiovisual and multimedia services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H.360–H.369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Telepresence</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H.420–H.429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Supplementary services for multimedia</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H.450–H.499</w:t>
            </w:r>
          </w:p>
        </w:tc>
      </w:tr>
      <w:tr w:rsidR="00234FCD" w:rsidRPr="00234FCD" w:rsidTr="00234FCD">
        <w:tc>
          <w:tcPr>
            <w:tcW w:w="8050" w:type="dxa"/>
            <w:tcBorders>
              <w:top w:val="nil"/>
              <w:bottom w:val="nil"/>
            </w:tcBorders>
            <w:shd w:val="clear" w:color="auto" w:fill="auto"/>
          </w:tcPr>
          <w:p w:rsidR="00234FCD" w:rsidRPr="00234FCD" w:rsidRDefault="00234FCD" w:rsidP="00234FCD">
            <w:pPr>
              <w:spacing w:before="30" w:after="30" w:line="190" w:lineRule="exact"/>
              <w:ind w:left="113"/>
              <w:jc w:val="left"/>
              <w:rPr>
                <w:lang w:val="en-US"/>
              </w:rPr>
            </w:pPr>
            <w:r w:rsidRPr="00234FCD">
              <w:rPr>
                <w:lang w:val="en-US"/>
              </w:rPr>
              <w:t>MOBILITY AND COLLABORATION PROCEDURES</w:t>
            </w:r>
          </w:p>
        </w:tc>
        <w:tc>
          <w:tcPr>
            <w:tcW w:w="1700" w:type="dxa"/>
            <w:tcBorders>
              <w:top w:val="nil"/>
              <w:bottom w:val="nil"/>
            </w:tcBorders>
            <w:shd w:val="clear" w:color="auto" w:fill="auto"/>
          </w:tcPr>
          <w:p w:rsidR="00234FCD" w:rsidRPr="00234FCD" w:rsidRDefault="00234FCD" w:rsidP="00234FCD">
            <w:pPr>
              <w:spacing w:before="30" w:after="30" w:line="190" w:lineRule="exact"/>
              <w:jc w:val="left"/>
              <w:rPr>
                <w:lang w:val="en-US"/>
              </w:rPr>
            </w:pP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Overview of Mobility and Collaboration, definitions, protocols and procedures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H.500–H.509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Mobility for H-Series multimedia systems and services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H.510–H.519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Mobile multimedia collaboration applications and services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H.520–H.529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Security for mobile multimedia systems and services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H.530–H.539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Security for mobile multimedia collaboration applications and services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H.540–H.549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Mobility interworking procedures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H.550–H.559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Mobile multimedia collaboration inter-working procedures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H.560–H.569</w:t>
            </w:r>
          </w:p>
        </w:tc>
      </w:tr>
      <w:tr w:rsidR="00234FCD" w:rsidRPr="00234FCD" w:rsidTr="00234FCD">
        <w:tc>
          <w:tcPr>
            <w:tcW w:w="8050" w:type="dxa"/>
            <w:tcBorders>
              <w:top w:val="nil"/>
              <w:bottom w:val="nil"/>
            </w:tcBorders>
            <w:shd w:val="clear" w:color="auto" w:fill="auto"/>
          </w:tcPr>
          <w:p w:rsidR="00234FCD" w:rsidRPr="00234FCD" w:rsidRDefault="00234FCD" w:rsidP="00234FCD">
            <w:pPr>
              <w:spacing w:before="30" w:after="30" w:line="190" w:lineRule="exact"/>
              <w:ind w:left="113"/>
              <w:jc w:val="left"/>
              <w:rPr>
                <w:lang w:val="en-US"/>
              </w:rPr>
            </w:pPr>
            <w:r w:rsidRPr="00234FCD">
              <w:rPr>
                <w:lang w:val="en-US"/>
              </w:rPr>
              <w:t>BROADBAND, TRIPLE-PLAY AND ADVANCED MULTIMEDIA SERVICES</w:t>
            </w:r>
          </w:p>
        </w:tc>
        <w:tc>
          <w:tcPr>
            <w:tcW w:w="1700" w:type="dxa"/>
            <w:tcBorders>
              <w:top w:val="nil"/>
              <w:bottom w:val="nil"/>
            </w:tcBorders>
            <w:shd w:val="clear" w:color="auto" w:fill="auto"/>
          </w:tcPr>
          <w:p w:rsidR="00234FCD" w:rsidRPr="00234FCD" w:rsidRDefault="00234FCD" w:rsidP="00234FCD">
            <w:pPr>
              <w:spacing w:before="30" w:after="30" w:line="190" w:lineRule="exact"/>
              <w:jc w:val="left"/>
              <w:rPr>
                <w:lang w:val="en-US"/>
              </w:rPr>
            </w:pP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Broadband multimedia services over VDSL</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H.610–H.619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Advanced multimedia services and applications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H.620–H.629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 xml:space="preserve">Ubiquitous sensor network applications and Internet of Things </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H.640–H.649</w:t>
            </w:r>
          </w:p>
        </w:tc>
      </w:tr>
      <w:tr w:rsidR="00234FCD" w:rsidRPr="00234FCD" w:rsidTr="00234FCD">
        <w:tc>
          <w:tcPr>
            <w:tcW w:w="8050" w:type="dxa"/>
            <w:tcBorders>
              <w:top w:val="nil"/>
              <w:bottom w:val="nil"/>
            </w:tcBorders>
            <w:shd w:val="clear" w:color="auto" w:fill="auto"/>
          </w:tcPr>
          <w:p w:rsidR="00234FCD" w:rsidRPr="00234FCD" w:rsidRDefault="00234FCD" w:rsidP="00234FCD">
            <w:pPr>
              <w:spacing w:before="30" w:after="30" w:line="190" w:lineRule="exact"/>
              <w:ind w:left="113"/>
              <w:jc w:val="left"/>
              <w:rPr>
                <w:lang w:val="en-US"/>
              </w:rPr>
            </w:pPr>
            <w:r w:rsidRPr="00234FCD">
              <w:rPr>
                <w:lang w:val="en-US"/>
              </w:rPr>
              <w:t>IPTV MULTIMEDIA SERVICES AND APPLICATIONS FOR IPTV</w:t>
            </w:r>
          </w:p>
        </w:tc>
        <w:tc>
          <w:tcPr>
            <w:tcW w:w="1700" w:type="dxa"/>
            <w:tcBorders>
              <w:top w:val="nil"/>
              <w:bottom w:val="nil"/>
            </w:tcBorders>
            <w:shd w:val="clear" w:color="auto" w:fill="auto"/>
          </w:tcPr>
          <w:p w:rsidR="00234FCD" w:rsidRPr="00234FCD" w:rsidRDefault="00234FCD" w:rsidP="00234FCD">
            <w:pPr>
              <w:spacing w:before="30" w:after="30" w:line="190" w:lineRule="exact"/>
              <w:jc w:val="left"/>
              <w:rPr>
                <w:lang w:val="en-US"/>
              </w:rPr>
            </w:pP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General aspects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H.700–H.719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IPTV terminal devices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H.720–H.729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IPTV middleware</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H.730–H.739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IPTV application event handling</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H.740–H.749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IPTV metadata</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H.750–H.759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IPTV multimedia application frameworks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H.760–H.769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IPTV service discovery up to consumption</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H.770–H.779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Digital Signage</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H.780–H.789</w:t>
            </w:r>
          </w:p>
        </w:tc>
      </w:tr>
      <w:tr w:rsidR="00234FCD" w:rsidRPr="00234FCD" w:rsidTr="00234FCD">
        <w:tc>
          <w:tcPr>
            <w:tcW w:w="8050" w:type="dxa"/>
            <w:tcBorders>
              <w:top w:val="nil"/>
              <w:bottom w:val="nil"/>
            </w:tcBorders>
            <w:shd w:val="clear" w:color="auto" w:fill="auto"/>
          </w:tcPr>
          <w:p w:rsidR="00234FCD" w:rsidRPr="00234FCD" w:rsidRDefault="00234FCD" w:rsidP="00234FCD">
            <w:pPr>
              <w:spacing w:before="30" w:after="30" w:line="190" w:lineRule="exact"/>
              <w:ind w:left="113"/>
              <w:jc w:val="left"/>
              <w:rPr>
                <w:lang w:val="en-US"/>
              </w:rPr>
            </w:pPr>
            <w:r w:rsidRPr="00234FCD">
              <w:rPr>
                <w:lang w:val="en-US"/>
              </w:rPr>
              <w:t>E-HEALTH MULTIMEDIA SERVICES AND APPLICATIONS</w:t>
            </w:r>
          </w:p>
        </w:tc>
        <w:tc>
          <w:tcPr>
            <w:tcW w:w="1700" w:type="dxa"/>
            <w:tcBorders>
              <w:top w:val="nil"/>
              <w:bottom w:val="nil"/>
            </w:tcBorders>
            <w:shd w:val="clear" w:color="auto" w:fill="auto"/>
          </w:tcPr>
          <w:p w:rsidR="00234FCD" w:rsidRPr="00234FCD" w:rsidRDefault="00234FCD" w:rsidP="00234FCD">
            <w:pPr>
              <w:spacing w:before="30" w:after="30" w:line="190" w:lineRule="exact"/>
              <w:jc w:val="left"/>
              <w:rPr>
                <w:lang w:val="en-US"/>
              </w:rPr>
            </w:pP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Interoperability compliance testing of personal health systems (HRN, PAN, LAN and WAN)</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H.820–H.859</w:t>
            </w:r>
          </w:p>
        </w:tc>
      </w:tr>
      <w:tr w:rsidR="00234FCD" w:rsidTr="00234FCD">
        <w:tc>
          <w:tcPr>
            <w:tcW w:w="8050" w:type="dxa"/>
            <w:tcBorders>
              <w:top w:val="nil"/>
              <w:bottom w:val="nil"/>
            </w:tcBorders>
            <w:shd w:val="clear" w:color="auto" w:fill="auto"/>
          </w:tcPr>
          <w:p w:rsidR="00234FCD" w:rsidRDefault="00234FCD" w:rsidP="00234FCD">
            <w:pPr>
              <w:spacing w:before="30" w:after="30" w:line="190" w:lineRule="exact"/>
              <w:ind w:left="283"/>
              <w:jc w:val="left"/>
              <w:rPr>
                <w:lang w:val="en-US"/>
              </w:rPr>
            </w:pPr>
            <w:r>
              <w:rPr>
                <w:lang w:val="en-US"/>
              </w:rPr>
              <w:t>Multimedia e-health data exchange services</w:t>
            </w:r>
          </w:p>
        </w:tc>
        <w:tc>
          <w:tcPr>
            <w:tcW w:w="1700" w:type="dxa"/>
            <w:tcBorders>
              <w:top w:val="nil"/>
              <w:bottom w:val="nil"/>
            </w:tcBorders>
            <w:shd w:val="clear" w:color="auto" w:fill="auto"/>
          </w:tcPr>
          <w:p w:rsidR="00234FCD" w:rsidRDefault="00234FCD" w:rsidP="00234FCD">
            <w:pPr>
              <w:spacing w:before="30" w:after="30" w:line="190" w:lineRule="exact"/>
              <w:jc w:val="left"/>
              <w:rPr>
                <w:lang w:val="en-US"/>
              </w:rPr>
            </w:pPr>
            <w:r>
              <w:rPr>
                <w:lang w:val="en-US"/>
              </w:rPr>
              <w:t>H.860–H.869</w:t>
            </w:r>
          </w:p>
        </w:tc>
      </w:tr>
      <w:tr w:rsidR="00234FCD" w:rsidTr="00234FCD">
        <w:tc>
          <w:tcPr>
            <w:tcW w:w="8050" w:type="dxa"/>
            <w:tcBorders>
              <w:top w:val="nil"/>
            </w:tcBorders>
            <w:shd w:val="clear" w:color="auto" w:fill="auto"/>
          </w:tcPr>
          <w:p w:rsidR="00234FCD" w:rsidRDefault="00234FCD" w:rsidP="00234FCD">
            <w:pPr>
              <w:spacing w:before="30" w:after="30" w:line="190" w:lineRule="exact"/>
              <w:ind w:left="283"/>
              <w:jc w:val="left"/>
              <w:rPr>
                <w:lang w:val="en-US"/>
              </w:rPr>
            </w:pPr>
          </w:p>
        </w:tc>
        <w:tc>
          <w:tcPr>
            <w:tcW w:w="1700" w:type="dxa"/>
            <w:tcBorders>
              <w:top w:val="nil"/>
            </w:tcBorders>
            <w:shd w:val="clear" w:color="auto" w:fill="auto"/>
          </w:tcPr>
          <w:p w:rsidR="00234FCD" w:rsidRDefault="00234FCD" w:rsidP="00234FCD">
            <w:pPr>
              <w:spacing w:before="30" w:after="30" w:line="190" w:lineRule="exact"/>
              <w:jc w:val="left"/>
              <w:rPr>
                <w:lang w:val="en-US"/>
              </w:rPr>
            </w:pPr>
          </w:p>
        </w:tc>
      </w:tr>
    </w:tbl>
    <w:p w:rsidR="00234FCD" w:rsidRPr="00234FCD" w:rsidRDefault="00234FCD" w:rsidP="00234FCD">
      <w:pPr>
        <w:spacing w:before="80" w:after="80"/>
        <w:jc w:val="left"/>
        <w:rPr>
          <w:sz w:val="18"/>
          <w:lang w:val="en-US"/>
        </w:rPr>
      </w:pPr>
      <w:r>
        <w:rPr>
          <w:i/>
          <w:sz w:val="18"/>
          <w:lang w:val="en-US"/>
        </w:rPr>
        <w:t>For further details, please refer to the list of ITU-T Recommendations.</w:t>
      </w:r>
    </w:p>
    <w:p w:rsidR="00233582" w:rsidRDefault="00233582">
      <w:pPr>
        <w:spacing w:before="80"/>
        <w:jc w:val="left"/>
        <w:rPr>
          <w:i/>
          <w:lang w:val="en-US"/>
        </w:rPr>
      </w:pPr>
    </w:p>
    <w:p w:rsidR="00233582" w:rsidRDefault="00233582">
      <w:pPr>
        <w:jc w:val="left"/>
        <w:rPr>
          <w:lang w:val="en-US"/>
        </w:rPr>
        <w:sectPr w:rsidR="00233582">
          <w:headerReference w:type="even" r:id="rId10"/>
          <w:headerReference w:type="default" r:id="rId11"/>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233582">
        <w:tc>
          <w:tcPr>
            <w:tcW w:w="9945" w:type="dxa"/>
          </w:tcPr>
          <w:p w:rsidR="00234FCD" w:rsidRDefault="00234FCD" w:rsidP="00234FCD">
            <w:pPr>
              <w:pStyle w:val="RecNo"/>
              <w:rPr>
                <w:lang w:val="en-US"/>
              </w:rPr>
            </w:pPr>
            <w:bookmarkStart w:id="6" w:name="irecnoe"/>
            <w:bookmarkEnd w:id="6"/>
            <w:r>
              <w:rPr>
                <w:lang w:val="en-US"/>
              </w:rPr>
              <w:lastRenderedPageBreak/>
              <w:t>Recommendation ITU-T H.265.2</w:t>
            </w:r>
          </w:p>
          <w:p w:rsidR="00233582" w:rsidRPr="00234FCD" w:rsidRDefault="00234FCD" w:rsidP="00234FCD">
            <w:pPr>
              <w:pStyle w:val="Rectitle"/>
              <w:rPr>
                <w:lang w:val="en-US"/>
              </w:rPr>
            </w:pPr>
            <w:r w:rsidRPr="00234FCD">
              <w:t>Reference software for ITU-T H.265 high efficiency video coding</w:t>
            </w:r>
          </w:p>
          <w:p w:rsidR="00233582" w:rsidRDefault="00233582">
            <w:pPr>
              <w:rPr>
                <w:lang w:val="en-US"/>
              </w:rPr>
            </w:pPr>
          </w:p>
        </w:tc>
      </w:tr>
    </w:tbl>
    <w:p w:rsidR="00233582" w:rsidRDefault="00233582">
      <w:pPr>
        <w:rPr>
          <w:lang w:val="en-US"/>
        </w:rPr>
      </w:pPr>
    </w:p>
    <w:p w:rsidR="00233582" w:rsidRDefault="00233582">
      <w:pPr>
        <w:rPr>
          <w:lang w:val="en-US"/>
        </w:rPr>
      </w:pPr>
    </w:p>
    <w:p w:rsidR="00234FCD" w:rsidRDefault="00234FCD">
      <w:bookmarkStart w:id="7" w:name="isume"/>
    </w:p>
    <w:tbl>
      <w:tblPr>
        <w:tblW w:w="0" w:type="auto"/>
        <w:tblLayout w:type="fixed"/>
        <w:tblLook w:val="0000" w:firstRow="0" w:lastRow="0" w:firstColumn="0" w:lastColumn="0" w:noHBand="0" w:noVBand="0"/>
      </w:tblPr>
      <w:tblGrid>
        <w:gridCol w:w="9945"/>
      </w:tblGrid>
      <w:tr w:rsidR="00233582">
        <w:tc>
          <w:tcPr>
            <w:tcW w:w="9945" w:type="dxa"/>
          </w:tcPr>
          <w:p w:rsidR="00233582" w:rsidRDefault="00233582">
            <w:pPr>
              <w:pStyle w:val="Headingb"/>
              <w:rPr>
                <w:lang w:val="en-US"/>
              </w:rPr>
            </w:pPr>
            <w:r>
              <w:rPr>
                <w:lang w:val="en-US"/>
              </w:rPr>
              <w:t>Summary</w:t>
            </w:r>
          </w:p>
          <w:p w:rsidR="00234FCD" w:rsidRPr="00234FCD" w:rsidRDefault="00234FCD" w:rsidP="003C3CFE">
            <w:r w:rsidRPr="00234FCD">
              <w:t xml:space="preserve">Recommendation </w:t>
            </w:r>
            <w:r w:rsidR="00C45CAD">
              <w:t xml:space="preserve">ITU-T H.265.2 </w:t>
            </w:r>
            <w:r w:rsidR="003C3CFE">
              <w:t xml:space="preserve">contains an </w:t>
            </w:r>
            <w:r w:rsidRPr="00234FCD">
              <w:t>accompan</w:t>
            </w:r>
            <w:r w:rsidR="003C3CFE">
              <w:t>ying</w:t>
            </w:r>
            <w:r w:rsidRPr="00234FCD">
              <w:t xml:space="preserve"> reference software for Rec. ITU-T H.265 | ISO/IEC 23008-2 </w:t>
            </w:r>
            <w:r w:rsidRPr="00234FCD">
              <w:rPr>
                <w:i/>
                <w:iCs/>
              </w:rPr>
              <w:t>High efficiency video coding</w:t>
            </w:r>
            <w:r w:rsidRPr="00234FCD">
              <w:t>. The reference software includes both encoder and decoder functionality.</w:t>
            </w:r>
          </w:p>
          <w:p w:rsidR="00234FCD" w:rsidRPr="00234FCD" w:rsidRDefault="00234FCD" w:rsidP="00234FCD">
            <w:r w:rsidRPr="00234FCD">
              <w:t>Reference software is useful in aiding users of a video coding standard to establish and test conformance and interoperability, and to educate users and demonstrate the capabilities of the standard. For these purposes, the accompanying software is provided as an aid for the study and implementation of Rec. ITU</w:t>
            </w:r>
            <w:r w:rsidRPr="00234FCD">
              <w:noBreakHyphen/>
              <w:t>T H.265 | ISO/IEC 23008-2.</w:t>
            </w:r>
          </w:p>
          <w:p w:rsidR="00234FCD" w:rsidRPr="00234FCD" w:rsidRDefault="00234FCD" w:rsidP="00234FCD">
            <w:r w:rsidRPr="00234FCD">
              <w:t>The software has been jointly developed by the ITU-T Video Coding Experts Group (VCEG, Question 6 of ITU-T Study Group 16) and the ISO/IEC Moving Picture Experts Group (MPEG, Working Group 11 of Subcommittee 29 of ISO/IEC Joint Technical Committee 1). It was developed jointly with MPEG and corresponds in a technically aligned manner to ISO/IEC 23008</w:t>
            </w:r>
            <w:r w:rsidRPr="00234FCD">
              <w:noBreakHyphen/>
              <w:t>5.</w:t>
            </w:r>
          </w:p>
          <w:p w:rsidR="00233582" w:rsidRDefault="00234FCD">
            <w:pPr>
              <w:rPr>
                <w:lang w:val="en-US"/>
              </w:rPr>
            </w:pPr>
            <w:r w:rsidRPr="00234FCD">
              <w:t xml:space="preserve">The Reference source code for </w:t>
            </w:r>
            <w:r w:rsidR="00414DE8">
              <w:t xml:space="preserve">ITU-T </w:t>
            </w:r>
            <w:r w:rsidRPr="00234FCD">
              <w:t xml:space="preserve">H.265.2 is found in the electronic attachment </w:t>
            </w:r>
            <w:r w:rsidR="00352592">
              <w:t>to this Recommendation.</w:t>
            </w:r>
            <w:bookmarkEnd w:id="7"/>
          </w:p>
        </w:tc>
      </w:tr>
    </w:tbl>
    <w:p w:rsidR="00233582" w:rsidRDefault="00233582">
      <w:pPr>
        <w:rPr>
          <w:lang w:val="en-US"/>
        </w:rPr>
      </w:pPr>
    </w:p>
    <w:p w:rsidR="00233582" w:rsidRDefault="00233582">
      <w:pPr>
        <w:rPr>
          <w:lang w:val="en-US"/>
        </w:rPr>
      </w:pPr>
    </w:p>
    <w:tbl>
      <w:tblPr>
        <w:tblW w:w="9948" w:type="dxa"/>
        <w:tblLook w:val="0000" w:firstRow="0" w:lastRow="0" w:firstColumn="0" w:lastColumn="0" w:noHBand="0" w:noVBand="0"/>
      </w:tblPr>
      <w:tblGrid>
        <w:gridCol w:w="9948"/>
      </w:tblGrid>
      <w:tr w:rsidR="00922B4D" w:rsidTr="00197095">
        <w:tc>
          <w:tcPr>
            <w:tcW w:w="9948" w:type="dxa"/>
          </w:tcPr>
          <w:p w:rsidR="00922B4D" w:rsidRDefault="00922B4D" w:rsidP="00197095">
            <w:pPr>
              <w:pStyle w:val="Headingb"/>
              <w:spacing w:after="120"/>
              <w:rPr>
                <w:lang w:val="en-US"/>
              </w:rPr>
            </w:pPr>
            <w:r>
              <w:rPr>
                <w:lang w:val="en-US"/>
              </w:rPr>
              <w:t>History</w:t>
            </w:r>
          </w:p>
          <w:tbl>
            <w:tblPr>
              <w:tblW w:w="0" w:type="auto"/>
              <w:tblLook w:val="0000" w:firstRow="0" w:lastRow="0" w:firstColumn="0" w:lastColumn="0" w:noHBand="0" w:noVBand="0"/>
            </w:tblPr>
            <w:tblGrid>
              <w:gridCol w:w="746"/>
              <w:gridCol w:w="1486"/>
              <w:gridCol w:w="1056"/>
              <w:gridCol w:w="1142"/>
              <w:gridCol w:w="1878"/>
            </w:tblGrid>
            <w:tr w:rsidR="00922B4D" w:rsidRPr="006825AF" w:rsidTr="00234FCD">
              <w:tc>
                <w:tcPr>
                  <w:tcW w:w="0" w:type="auto"/>
                  <w:shd w:val="clear" w:color="auto" w:fill="auto"/>
                  <w:vAlign w:val="center"/>
                </w:tcPr>
                <w:p w:rsidR="00922B4D" w:rsidRPr="006825AF" w:rsidRDefault="00922B4D" w:rsidP="00197095">
                  <w:pPr>
                    <w:pStyle w:val="Tabletext"/>
                    <w:jc w:val="center"/>
                  </w:pPr>
                  <w:r w:rsidRPr="006825AF">
                    <w:t>Edition</w:t>
                  </w:r>
                </w:p>
              </w:tc>
              <w:tc>
                <w:tcPr>
                  <w:tcW w:w="0" w:type="auto"/>
                  <w:shd w:val="clear" w:color="auto" w:fill="auto"/>
                  <w:vAlign w:val="center"/>
                </w:tcPr>
                <w:p w:rsidR="00922B4D" w:rsidRPr="006825AF" w:rsidRDefault="00922B4D" w:rsidP="00197095">
                  <w:pPr>
                    <w:pStyle w:val="Tabletext"/>
                  </w:pPr>
                  <w:r>
                    <w:t>Recommendation</w:t>
                  </w:r>
                </w:p>
              </w:tc>
              <w:tc>
                <w:tcPr>
                  <w:tcW w:w="0" w:type="auto"/>
                  <w:shd w:val="clear" w:color="auto" w:fill="auto"/>
                  <w:vAlign w:val="center"/>
                </w:tcPr>
                <w:p w:rsidR="00922B4D" w:rsidRPr="006825AF" w:rsidRDefault="00922B4D" w:rsidP="00197095">
                  <w:pPr>
                    <w:pStyle w:val="Tabletext"/>
                    <w:jc w:val="center"/>
                  </w:pPr>
                  <w:r w:rsidRPr="006825AF">
                    <w:t>Approval</w:t>
                  </w:r>
                </w:p>
              </w:tc>
              <w:tc>
                <w:tcPr>
                  <w:tcW w:w="0" w:type="auto"/>
                  <w:vAlign w:val="center"/>
                </w:tcPr>
                <w:p w:rsidR="00922B4D" w:rsidRPr="006825AF" w:rsidRDefault="00922B4D" w:rsidP="00197095">
                  <w:pPr>
                    <w:pStyle w:val="Tabletext"/>
                    <w:jc w:val="center"/>
                  </w:pPr>
                  <w:r>
                    <w:t>Study Group</w:t>
                  </w:r>
                </w:p>
              </w:tc>
              <w:tc>
                <w:tcPr>
                  <w:tcW w:w="0" w:type="auto"/>
                  <w:vAlign w:val="center"/>
                </w:tcPr>
                <w:p w:rsidR="00922B4D" w:rsidRPr="006825AF" w:rsidRDefault="00F04CBE" w:rsidP="00B47CE4">
                  <w:pPr>
                    <w:pStyle w:val="Tabletext"/>
                    <w:jc w:val="center"/>
                  </w:pPr>
                  <w:r>
                    <w:t>Unique ID</w:t>
                  </w:r>
                  <w:r w:rsidR="00B47CE4">
                    <w:rPr>
                      <w:rStyle w:val="FootnoteReference"/>
                    </w:rPr>
                    <w:footnoteReference w:customMarkFollows="1" w:id="1"/>
                    <w:t>*</w:t>
                  </w:r>
                </w:p>
              </w:tc>
            </w:tr>
            <w:tr w:rsidR="00922B4D" w:rsidRPr="006825AF" w:rsidTr="00234FCD">
              <w:tc>
                <w:tcPr>
                  <w:tcW w:w="0" w:type="auto"/>
                  <w:shd w:val="clear" w:color="auto" w:fill="D9D9D9"/>
                </w:tcPr>
                <w:p w:rsidR="00922B4D" w:rsidRPr="006825AF" w:rsidRDefault="00234FCD" w:rsidP="00197095">
                  <w:pPr>
                    <w:pStyle w:val="Tabletext"/>
                    <w:jc w:val="center"/>
                  </w:pPr>
                  <w:bookmarkStart w:id="8" w:name="ihistorye"/>
                  <w:bookmarkEnd w:id="8"/>
                  <w:r>
                    <w:t>1.0</w:t>
                  </w:r>
                </w:p>
              </w:tc>
              <w:tc>
                <w:tcPr>
                  <w:tcW w:w="0" w:type="auto"/>
                  <w:shd w:val="clear" w:color="auto" w:fill="D9D9D9"/>
                </w:tcPr>
                <w:p w:rsidR="00922B4D" w:rsidRPr="006825AF" w:rsidRDefault="00234FCD" w:rsidP="00993AA5">
                  <w:pPr>
                    <w:pStyle w:val="Tabletext"/>
                    <w:tabs>
                      <w:tab w:val="left" w:pos="271"/>
                    </w:tabs>
                  </w:pPr>
                  <w:r>
                    <w:t>ITU-T H.265.2</w:t>
                  </w:r>
                </w:p>
              </w:tc>
              <w:tc>
                <w:tcPr>
                  <w:tcW w:w="0" w:type="auto"/>
                  <w:shd w:val="clear" w:color="auto" w:fill="D9D9D9"/>
                </w:tcPr>
                <w:p w:rsidR="00922B4D" w:rsidRPr="006825AF" w:rsidRDefault="00234FCD" w:rsidP="00197095">
                  <w:pPr>
                    <w:pStyle w:val="Tabletext"/>
                    <w:jc w:val="center"/>
                  </w:pPr>
                  <w:r>
                    <w:t>2014-10-14</w:t>
                  </w:r>
                </w:p>
              </w:tc>
              <w:tc>
                <w:tcPr>
                  <w:tcW w:w="0" w:type="auto"/>
                  <w:shd w:val="clear" w:color="auto" w:fill="D9D9D9"/>
                </w:tcPr>
                <w:p w:rsidR="00922B4D" w:rsidRPr="006825AF" w:rsidRDefault="00234FCD" w:rsidP="00197095">
                  <w:pPr>
                    <w:pStyle w:val="Tabletext"/>
                    <w:jc w:val="center"/>
                  </w:pPr>
                  <w:r>
                    <w:t>16</w:t>
                  </w:r>
                </w:p>
              </w:tc>
              <w:tc>
                <w:tcPr>
                  <w:tcW w:w="0" w:type="auto"/>
                  <w:shd w:val="clear" w:color="auto" w:fill="D9D9D9"/>
                </w:tcPr>
                <w:p w:rsidR="00922B4D" w:rsidRPr="006825AF" w:rsidRDefault="00371EAE" w:rsidP="00197095">
                  <w:pPr>
                    <w:pStyle w:val="Tabletext"/>
                  </w:pPr>
                  <w:hyperlink r:id="rId12" w:tooltip="Click to download the respective PDF version" w:history="1">
                    <w:r w:rsidR="00234FCD">
                      <w:rPr>
                        <w:rStyle w:val="Hyperlink"/>
                        <w:sz w:val="20"/>
                      </w:rPr>
                      <w:t>11.1002/1000/12298</w:t>
                    </w:r>
                  </w:hyperlink>
                </w:p>
              </w:tc>
            </w:tr>
          </w:tbl>
          <w:p w:rsidR="00922B4D" w:rsidRDefault="00922B4D" w:rsidP="00197095">
            <w:pPr>
              <w:pStyle w:val="Headingb"/>
              <w:spacing w:after="120"/>
              <w:rPr>
                <w:lang w:val="en-US"/>
              </w:rPr>
            </w:pPr>
          </w:p>
        </w:tc>
      </w:tr>
    </w:tbl>
    <w:p w:rsidR="00233582" w:rsidRDefault="00233582">
      <w:pPr>
        <w:rPr>
          <w:lang w:val="en-US"/>
        </w:rPr>
      </w:pPr>
    </w:p>
    <w:p w:rsidR="00233582" w:rsidRDefault="00233582">
      <w:pPr>
        <w:rPr>
          <w:lang w:val="en-US"/>
        </w:rPr>
      </w:pPr>
    </w:p>
    <w:tbl>
      <w:tblPr>
        <w:tblW w:w="0" w:type="auto"/>
        <w:tblLayout w:type="fixed"/>
        <w:tblLook w:val="0000" w:firstRow="0" w:lastRow="0" w:firstColumn="0" w:lastColumn="0" w:noHBand="0" w:noVBand="0"/>
      </w:tblPr>
      <w:tblGrid>
        <w:gridCol w:w="9945"/>
      </w:tblGrid>
      <w:tr w:rsidR="00233582">
        <w:tc>
          <w:tcPr>
            <w:tcW w:w="9945" w:type="dxa"/>
          </w:tcPr>
          <w:p w:rsidR="00233582" w:rsidRDefault="00233582">
            <w:pPr>
              <w:rPr>
                <w:bCs/>
                <w:lang w:val="en-US"/>
              </w:rPr>
            </w:pPr>
          </w:p>
        </w:tc>
      </w:tr>
    </w:tbl>
    <w:p w:rsidR="00233582" w:rsidRDefault="00233582">
      <w:pPr>
        <w:rPr>
          <w:lang w:val="en-US"/>
        </w:rPr>
      </w:pPr>
    </w:p>
    <w:p w:rsidR="00233582" w:rsidRDefault="00233582">
      <w:pPr>
        <w:rPr>
          <w:lang w:val="en-US"/>
        </w:rPr>
        <w:sectPr w:rsidR="00233582">
          <w:headerReference w:type="even" r:id="rId13"/>
          <w:headerReference w:type="default" r:id="rId14"/>
          <w:footerReference w:type="even" r:id="rId15"/>
          <w:footerReference w:type="default" r:id="rId16"/>
          <w:headerReference w:type="first" r:id="rId17"/>
          <w:footerReference w:type="first" r:id="rId18"/>
          <w:pgSz w:w="11907" w:h="16840" w:code="9"/>
          <w:pgMar w:top="1089" w:right="1089" w:bottom="1089" w:left="1089" w:header="482" w:footer="482" w:gutter="0"/>
          <w:pgNumType w:fmt="lowerRoman" w:start="1"/>
          <w:cols w:space="720"/>
          <w:vAlign w:val="both"/>
        </w:sectPr>
      </w:pPr>
    </w:p>
    <w:p w:rsidR="00233582" w:rsidRDefault="00233582">
      <w:pPr>
        <w:spacing w:before="480"/>
        <w:jc w:val="center"/>
        <w:rPr>
          <w:sz w:val="22"/>
          <w:lang w:val="en-US"/>
        </w:rPr>
      </w:pPr>
      <w:r>
        <w:rPr>
          <w:sz w:val="22"/>
          <w:lang w:val="en-US"/>
        </w:rPr>
        <w:lastRenderedPageBreak/>
        <w:t>FOREWORD</w:t>
      </w:r>
    </w:p>
    <w:p w:rsidR="00233582" w:rsidRDefault="00233582" w:rsidP="000101EA">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sidR="000101EA">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233582" w:rsidRDefault="00233582">
      <w:pPr>
        <w:rPr>
          <w:sz w:val="22"/>
          <w:lang w:val="en-US"/>
        </w:rPr>
      </w:pPr>
      <w:r>
        <w:rPr>
          <w:sz w:val="22"/>
          <w:lang w:val="en-US"/>
        </w:rPr>
        <w:t xml:space="preserve">The </w:t>
      </w:r>
      <w:bookmarkStart w:id="9"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rsidR="00233582" w:rsidRDefault="00233582">
      <w:pPr>
        <w:rPr>
          <w:sz w:val="22"/>
          <w:lang w:val="en-US"/>
        </w:rPr>
      </w:pPr>
      <w:r>
        <w:rPr>
          <w:sz w:val="22"/>
          <w:lang w:val="en-US"/>
        </w:rPr>
        <w:t>The approval of ITU-T Recommendations is covered by the procedure laid down in WTSA Resolution 1</w:t>
      </w:r>
      <w:bookmarkEnd w:id="9"/>
      <w:r>
        <w:rPr>
          <w:sz w:val="22"/>
          <w:lang w:val="en-US"/>
        </w:rPr>
        <w:t>.</w:t>
      </w:r>
    </w:p>
    <w:p w:rsidR="00233582" w:rsidRDefault="00233582">
      <w:pPr>
        <w:rPr>
          <w:sz w:val="22"/>
          <w:lang w:val="en-US"/>
        </w:rPr>
      </w:pPr>
      <w:r>
        <w:rPr>
          <w:sz w:val="22"/>
          <w:lang w:val="en-US"/>
        </w:rPr>
        <w:t>In some areas of information technology which fall within ITU-T's purview, the necessary standards are prepared on a collaborative basis with ISO and IEC.</w:t>
      </w:r>
    </w:p>
    <w:p w:rsidR="00233582" w:rsidRDefault="00233582">
      <w:pPr>
        <w:jc w:val="center"/>
        <w:rPr>
          <w:sz w:val="22"/>
          <w:lang w:val="en-US"/>
        </w:rPr>
      </w:pPr>
    </w:p>
    <w:p w:rsidR="00233582" w:rsidRDefault="00233582">
      <w:pPr>
        <w:jc w:val="center"/>
        <w:rPr>
          <w:sz w:val="22"/>
          <w:lang w:val="en-US"/>
        </w:rPr>
      </w:pPr>
    </w:p>
    <w:p w:rsidR="00233582" w:rsidRDefault="00233582">
      <w:pPr>
        <w:jc w:val="center"/>
        <w:rPr>
          <w:sz w:val="22"/>
          <w:lang w:val="en-US"/>
        </w:rPr>
      </w:pPr>
    </w:p>
    <w:p w:rsidR="00233582" w:rsidRDefault="00233582">
      <w:pPr>
        <w:jc w:val="center"/>
        <w:rPr>
          <w:sz w:val="22"/>
          <w:lang w:val="en-US"/>
        </w:rPr>
      </w:pPr>
      <w:r>
        <w:rPr>
          <w:sz w:val="22"/>
          <w:lang w:val="en-US"/>
        </w:rPr>
        <w:t>NOTE</w:t>
      </w:r>
    </w:p>
    <w:p w:rsidR="00233582" w:rsidRDefault="00233582">
      <w:pPr>
        <w:spacing w:before="180"/>
        <w:rPr>
          <w:sz w:val="22"/>
          <w:lang w:val="en-US"/>
        </w:rPr>
      </w:pPr>
      <w:r>
        <w:rPr>
          <w:sz w:val="22"/>
        </w:rPr>
        <w:t xml:space="preserve">In </w:t>
      </w:r>
      <w:bookmarkStart w:id="10" w:name="iitextea"/>
      <w:r>
        <w:rPr>
          <w:sz w:val="22"/>
        </w:rPr>
        <w:t>this Recommendation, the expression "Administration" is used for conciseness to indicate both a telecommunication administration and a recognized operating agency</w:t>
      </w:r>
      <w:r>
        <w:rPr>
          <w:sz w:val="22"/>
          <w:lang w:val="en-US"/>
        </w:rPr>
        <w:t>.</w:t>
      </w:r>
    </w:p>
    <w:p w:rsidR="00233582" w:rsidRDefault="00233582" w:rsidP="00194D0F">
      <w:pPr>
        <w:spacing w:before="180"/>
        <w:rPr>
          <w:sz w:val="22"/>
          <w:lang w:val="en-US"/>
        </w:rPr>
      </w:pPr>
      <w:r>
        <w:rPr>
          <w:sz w:val="22"/>
          <w:lang w:val="en-US"/>
        </w:rPr>
        <w:t>Compliance with this Recommendation is voluntary. However, the Recommendation may contain certain mandatory provisions (to ensure</w:t>
      </w:r>
      <w:r w:rsidR="0069604F">
        <w:rPr>
          <w:sz w:val="22"/>
          <w:lang w:val="en-US"/>
        </w:rPr>
        <w:t>,</w:t>
      </w:r>
      <w:r>
        <w:rPr>
          <w:sz w:val="22"/>
          <w:lang w:val="en-US"/>
        </w:rPr>
        <w:t xml:space="preserve"> e.g.</w:t>
      </w:r>
      <w:r w:rsidR="0069604F">
        <w:rPr>
          <w:sz w:val="22"/>
          <w:lang w:val="en-US"/>
        </w:rPr>
        <w:t>,</w:t>
      </w:r>
      <w:r>
        <w:rPr>
          <w:sz w:val="22"/>
          <w:lang w:val="en-US"/>
        </w:rPr>
        <w:t xml:space="preserve">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0"/>
      <w:r>
        <w:rPr>
          <w:sz w:val="22"/>
          <w:lang w:val="en-US"/>
        </w:rPr>
        <w:t>.</w:t>
      </w:r>
    </w:p>
    <w:p w:rsidR="00233582" w:rsidRDefault="00233582">
      <w:pPr>
        <w:jc w:val="center"/>
        <w:rPr>
          <w:sz w:val="22"/>
          <w:lang w:val="en-US"/>
        </w:rPr>
      </w:pPr>
    </w:p>
    <w:p w:rsidR="00233582" w:rsidRDefault="00233582">
      <w:pPr>
        <w:jc w:val="center"/>
        <w:rPr>
          <w:sz w:val="22"/>
          <w:lang w:val="en-US"/>
        </w:rPr>
      </w:pPr>
    </w:p>
    <w:p w:rsidR="00233582" w:rsidRDefault="00233582">
      <w:pPr>
        <w:jc w:val="center"/>
        <w:rPr>
          <w:sz w:val="22"/>
          <w:lang w:val="en-US"/>
        </w:rPr>
      </w:pPr>
    </w:p>
    <w:p w:rsidR="00233582" w:rsidRDefault="00233582">
      <w:pPr>
        <w:jc w:val="center"/>
        <w:rPr>
          <w:sz w:val="22"/>
          <w:lang w:val="en-US"/>
        </w:rPr>
      </w:pPr>
    </w:p>
    <w:p w:rsidR="00233582" w:rsidRDefault="00233582">
      <w:pPr>
        <w:jc w:val="center"/>
        <w:rPr>
          <w:rFonts w:ascii="Symbol" w:hAnsi="Symbol"/>
          <w:sz w:val="22"/>
          <w:lang w:val="en-US"/>
        </w:rPr>
      </w:pPr>
      <w:r>
        <w:rPr>
          <w:sz w:val="22"/>
          <w:lang w:val="en-US"/>
        </w:rPr>
        <w:t>INTELLECTUAL PROPERTY RIGHTS</w:t>
      </w:r>
    </w:p>
    <w:p w:rsidR="00233582" w:rsidRDefault="00233582">
      <w:pPr>
        <w:rPr>
          <w:sz w:val="22"/>
          <w:lang w:val="en-US"/>
        </w:rPr>
      </w:pPr>
      <w:r>
        <w:rPr>
          <w:sz w:val="22"/>
          <w:lang w:val="en-US"/>
        </w:rPr>
        <w:t xml:space="preserve">ITU </w:t>
      </w:r>
      <w:bookmarkStart w:id="11"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233582" w:rsidRDefault="00233582">
      <w:pPr>
        <w:rPr>
          <w:sz w:val="22"/>
          <w:lang w:val="en-US"/>
        </w:rPr>
      </w:pPr>
      <w:r>
        <w:rPr>
          <w:sz w:val="22"/>
          <w:lang w:val="en-US"/>
        </w:rPr>
        <w:t>As of the date of approval of this Recommendation, ITU had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1"/>
      <w:r>
        <w:rPr>
          <w:sz w:val="22"/>
          <w:lang w:val="en-US"/>
        </w:rPr>
        <w:t xml:space="preserve"> at </w:t>
      </w:r>
      <w:hyperlink r:id="rId19" w:history="1">
        <w:r>
          <w:rPr>
            <w:rStyle w:val="Hyperlink"/>
            <w:rFonts w:eastAsia="SimSun"/>
            <w:sz w:val="22"/>
            <w:szCs w:val="22"/>
            <w:lang w:val="en-US" w:eastAsia="zh-CN"/>
          </w:rPr>
          <w:t>http://www.itu.int/ITU-T/ipr/</w:t>
        </w:r>
      </w:hyperlink>
      <w:r>
        <w:rPr>
          <w:sz w:val="22"/>
          <w:lang w:val="en-US"/>
        </w:rPr>
        <w:t>.</w:t>
      </w:r>
    </w:p>
    <w:p w:rsidR="00233582" w:rsidRDefault="00233582">
      <w:pPr>
        <w:jc w:val="center"/>
        <w:rPr>
          <w:sz w:val="22"/>
          <w:lang w:val="en-US"/>
        </w:rPr>
      </w:pPr>
    </w:p>
    <w:p w:rsidR="00233582" w:rsidRDefault="00233582">
      <w:pPr>
        <w:jc w:val="center"/>
        <w:rPr>
          <w:sz w:val="22"/>
          <w:lang w:val="en-US"/>
        </w:rPr>
      </w:pPr>
    </w:p>
    <w:p w:rsidR="00233582" w:rsidRDefault="00233582">
      <w:pPr>
        <w:jc w:val="center"/>
        <w:rPr>
          <w:sz w:val="22"/>
          <w:lang w:val="en-US"/>
        </w:rPr>
      </w:pPr>
    </w:p>
    <w:p w:rsidR="00233582" w:rsidRDefault="00233582" w:rsidP="00465AB5">
      <w:pPr>
        <w:jc w:val="center"/>
        <w:rPr>
          <w:sz w:val="22"/>
          <w:lang w:val="en-US"/>
        </w:rPr>
      </w:pPr>
      <w:r>
        <w:rPr>
          <w:sz w:val="22"/>
          <w:lang w:val="en-US"/>
        </w:rPr>
        <w:sym w:font="Symbol" w:char="F0E3"/>
      </w:r>
      <w:r>
        <w:rPr>
          <w:sz w:val="22"/>
          <w:lang w:val="en-US"/>
        </w:rPr>
        <w:t> ITU </w:t>
      </w:r>
      <w:bookmarkStart w:id="12" w:name="iiannee"/>
      <w:bookmarkEnd w:id="12"/>
      <w:r w:rsidR="00234FCD">
        <w:rPr>
          <w:sz w:val="22"/>
          <w:lang w:val="en-US"/>
        </w:rPr>
        <w:t>201</w:t>
      </w:r>
      <w:r w:rsidR="009B6CA5">
        <w:rPr>
          <w:sz w:val="22"/>
          <w:lang w:val="en-US"/>
        </w:rPr>
        <w:t>5</w:t>
      </w:r>
    </w:p>
    <w:p w:rsidR="00233582" w:rsidRDefault="00233582">
      <w:pPr>
        <w:rPr>
          <w:sz w:val="22"/>
          <w:lang w:val="en-US"/>
        </w:rPr>
      </w:pPr>
      <w:r>
        <w:rPr>
          <w:sz w:val="22"/>
          <w:lang w:val="en-US"/>
        </w:rPr>
        <w:t>All rights reserved. No part of this publication may be reproduced, by any means whatsoever, without the prior written permission of ITU.</w:t>
      </w:r>
    </w:p>
    <w:p w:rsidR="00233582" w:rsidRPr="00E466D9" w:rsidRDefault="00233582" w:rsidP="00371EAE">
      <w:pPr>
        <w:jc w:val="center"/>
        <w:rPr>
          <w:b/>
          <w:lang w:val="en-US"/>
        </w:rPr>
      </w:pPr>
      <w:r w:rsidRPr="00E466D9">
        <w:rPr>
          <w:b/>
          <w:lang w:val="en-US"/>
        </w:rPr>
        <w:br w:type="page"/>
      </w:r>
      <w:r w:rsidR="00371EAE" w:rsidRPr="00E466D9">
        <w:rPr>
          <w:b/>
          <w:lang w:val="en-US"/>
        </w:rPr>
        <w:lastRenderedPageBreak/>
        <w:t>CONTENTS</w:t>
      </w:r>
      <w:bookmarkStart w:id="13" w:name="_GoBack"/>
      <w:bookmarkEnd w:id="13"/>
    </w:p>
    <w:p w:rsidR="003337C6" w:rsidRDefault="003337C6" w:rsidP="003337C6">
      <w:pPr>
        <w:pStyle w:val="toc0"/>
        <w:ind w:right="992"/>
        <w:rPr>
          <w:noProof/>
        </w:rPr>
      </w:pPr>
      <w:r>
        <w:rPr>
          <w:rFonts w:eastAsiaTheme="minorEastAsia"/>
        </w:rPr>
        <w:tab/>
        <w:t>Page</w:t>
      </w:r>
    </w:p>
    <w:p w:rsidR="003337C6" w:rsidRDefault="003337C6" w:rsidP="003337C6">
      <w:pPr>
        <w:pStyle w:val="TOC2"/>
        <w:ind w:right="992"/>
        <w:rPr>
          <w:rFonts w:asciiTheme="minorHAnsi" w:eastAsiaTheme="minorEastAsia" w:hAnsiTheme="minorHAnsi" w:cstheme="minorBidi"/>
          <w:noProof/>
          <w:sz w:val="22"/>
          <w:szCs w:val="22"/>
          <w:lang w:val="en-US" w:eastAsia="zh-CN"/>
        </w:rPr>
      </w:pPr>
      <w:r>
        <w:rPr>
          <w:noProof/>
        </w:rPr>
        <w:t>0.1</w:t>
      </w:r>
      <w:r>
        <w:rPr>
          <w:rFonts w:asciiTheme="minorHAnsi" w:eastAsiaTheme="minorEastAsia" w:hAnsiTheme="minorHAnsi" w:cstheme="minorBidi"/>
          <w:noProof/>
          <w:sz w:val="22"/>
          <w:szCs w:val="22"/>
          <w:lang w:val="en-US" w:eastAsia="zh-CN"/>
        </w:rPr>
        <w:tab/>
      </w:r>
      <w:r w:rsidRPr="003337C6">
        <w:rPr>
          <w:noProof/>
        </w:rPr>
        <w:t>Purpose</w:t>
      </w:r>
      <w:r>
        <w:rPr>
          <w:noProof/>
        </w:rPr>
        <w:tab/>
      </w:r>
      <w:r>
        <w:rPr>
          <w:noProof/>
        </w:rPr>
        <w:tab/>
      </w:r>
      <w:r w:rsidRPr="003337C6">
        <w:rPr>
          <w:noProof/>
        </w:rPr>
        <w:t>iv</w:t>
      </w:r>
    </w:p>
    <w:p w:rsidR="003337C6" w:rsidRDefault="003337C6" w:rsidP="003337C6">
      <w:pPr>
        <w:pStyle w:val="TOC2"/>
        <w:ind w:right="992"/>
        <w:rPr>
          <w:rFonts w:asciiTheme="minorHAnsi" w:eastAsiaTheme="minorEastAsia" w:hAnsiTheme="minorHAnsi" w:cstheme="minorBidi"/>
          <w:noProof/>
          <w:sz w:val="22"/>
          <w:szCs w:val="22"/>
          <w:lang w:val="en-US" w:eastAsia="zh-CN"/>
        </w:rPr>
      </w:pPr>
      <w:r>
        <w:rPr>
          <w:noProof/>
        </w:rPr>
        <w:t>0.2</w:t>
      </w:r>
      <w:r>
        <w:rPr>
          <w:rFonts w:asciiTheme="minorHAnsi" w:eastAsiaTheme="minorEastAsia" w:hAnsiTheme="minorHAnsi" w:cstheme="minorBidi"/>
          <w:noProof/>
          <w:sz w:val="22"/>
          <w:szCs w:val="22"/>
          <w:lang w:val="en-US" w:eastAsia="zh-CN"/>
        </w:rPr>
        <w:tab/>
      </w:r>
      <w:r>
        <w:rPr>
          <w:noProof/>
        </w:rPr>
        <w:t xml:space="preserve">Examples of </w:t>
      </w:r>
      <w:r w:rsidRPr="003337C6">
        <w:rPr>
          <w:noProof/>
        </w:rPr>
        <w:t>use</w:t>
      </w:r>
      <w:r>
        <w:rPr>
          <w:noProof/>
        </w:rPr>
        <w:tab/>
      </w:r>
      <w:r>
        <w:rPr>
          <w:noProof/>
        </w:rPr>
        <w:tab/>
      </w:r>
      <w:r w:rsidRPr="003337C6">
        <w:rPr>
          <w:noProof/>
        </w:rPr>
        <w:t>iv</w:t>
      </w:r>
    </w:p>
    <w:p w:rsidR="003337C6" w:rsidRDefault="003337C6" w:rsidP="003337C6">
      <w:pPr>
        <w:pStyle w:val="TOC2"/>
        <w:ind w:right="992"/>
        <w:rPr>
          <w:rFonts w:asciiTheme="minorHAnsi" w:eastAsiaTheme="minorEastAsia" w:hAnsiTheme="minorHAnsi" w:cstheme="minorBidi"/>
          <w:noProof/>
          <w:sz w:val="22"/>
          <w:szCs w:val="22"/>
          <w:lang w:val="en-US" w:eastAsia="zh-CN"/>
        </w:rPr>
      </w:pPr>
      <w:r>
        <w:rPr>
          <w:noProof/>
        </w:rPr>
        <w:t>0.3</w:t>
      </w:r>
      <w:r>
        <w:rPr>
          <w:rFonts w:asciiTheme="minorHAnsi" w:eastAsiaTheme="minorEastAsia" w:hAnsiTheme="minorHAnsi" w:cstheme="minorBidi"/>
          <w:noProof/>
          <w:sz w:val="22"/>
          <w:szCs w:val="22"/>
          <w:lang w:val="en-US" w:eastAsia="zh-CN"/>
        </w:rPr>
        <w:tab/>
      </w:r>
      <w:r>
        <w:rPr>
          <w:noProof/>
        </w:rPr>
        <w:t xml:space="preserve">Warranty </w:t>
      </w:r>
      <w:r w:rsidRPr="003337C6">
        <w:rPr>
          <w:noProof/>
        </w:rPr>
        <w:t>disclaimer</w:t>
      </w:r>
      <w:r>
        <w:rPr>
          <w:noProof/>
        </w:rPr>
        <w:tab/>
      </w:r>
      <w:r>
        <w:rPr>
          <w:noProof/>
        </w:rPr>
        <w:tab/>
      </w:r>
      <w:r w:rsidRPr="003337C6">
        <w:rPr>
          <w:noProof/>
        </w:rPr>
        <w:t>iv</w:t>
      </w:r>
    </w:p>
    <w:p w:rsidR="003337C6" w:rsidRDefault="003337C6" w:rsidP="003337C6">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3337C6">
        <w:rPr>
          <w:noProof/>
        </w:rPr>
        <w:t>Scope</w:t>
      </w:r>
      <w:r>
        <w:rPr>
          <w:noProof/>
        </w:rPr>
        <w:tab/>
      </w:r>
      <w:r>
        <w:rPr>
          <w:noProof/>
        </w:rPr>
        <w:tab/>
      </w:r>
      <w:r w:rsidRPr="003337C6">
        <w:rPr>
          <w:noProof/>
        </w:rPr>
        <w:t>1</w:t>
      </w:r>
    </w:p>
    <w:p w:rsidR="003337C6" w:rsidRDefault="003337C6" w:rsidP="003337C6">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sidRPr="003337C6">
        <w:rPr>
          <w:noProof/>
        </w:rPr>
        <w:t>References</w:t>
      </w:r>
      <w:r>
        <w:rPr>
          <w:noProof/>
        </w:rPr>
        <w:tab/>
      </w:r>
      <w:r>
        <w:rPr>
          <w:noProof/>
        </w:rPr>
        <w:tab/>
      </w:r>
      <w:r w:rsidRPr="003337C6">
        <w:rPr>
          <w:noProof/>
        </w:rPr>
        <w:t>1</w:t>
      </w:r>
    </w:p>
    <w:p w:rsidR="003337C6" w:rsidRDefault="003337C6" w:rsidP="003337C6">
      <w:pPr>
        <w:pStyle w:val="TOC2"/>
        <w:ind w:right="992"/>
        <w:rPr>
          <w:rFonts w:asciiTheme="minorHAnsi" w:eastAsiaTheme="minorEastAsia" w:hAnsiTheme="minorHAnsi" w:cstheme="minorBidi"/>
          <w:noProof/>
          <w:sz w:val="22"/>
          <w:szCs w:val="22"/>
          <w:lang w:val="en-US" w:eastAsia="zh-CN"/>
        </w:rPr>
      </w:pPr>
      <w:r>
        <w:rPr>
          <w:noProof/>
        </w:rPr>
        <w:t>2.1</w:t>
      </w:r>
      <w:r>
        <w:rPr>
          <w:rFonts w:asciiTheme="minorHAnsi" w:eastAsiaTheme="minorEastAsia" w:hAnsiTheme="minorHAnsi" w:cstheme="minorBidi"/>
          <w:noProof/>
          <w:sz w:val="22"/>
          <w:szCs w:val="22"/>
          <w:lang w:val="en-US" w:eastAsia="zh-CN"/>
        </w:rPr>
        <w:tab/>
      </w:r>
      <w:r>
        <w:rPr>
          <w:noProof/>
        </w:rPr>
        <w:t xml:space="preserve">Normative </w:t>
      </w:r>
      <w:r w:rsidRPr="003337C6">
        <w:rPr>
          <w:noProof/>
        </w:rPr>
        <w:t>references</w:t>
      </w:r>
      <w:r>
        <w:rPr>
          <w:noProof/>
        </w:rPr>
        <w:tab/>
      </w:r>
      <w:r>
        <w:rPr>
          <w:noProof/>
        </w:rPr>
        <w:tab/>
      </w:r>
      <w:r w:rsidRPr="003337C6">
        <w:rPr>
          <w:noProof/>
        </w:rPr>
        <w:t>1</w:t>
      </w:r>
    </w:p>
    <w:p w:rsidR="003337C6" w:rsidRDefault="003337C6" w:rsidP="003337C6">
      <w:pPr>
        <w:pStyle w:val="TOC2"/>
        <w:ind w:right="992"/>
        <w:rPr>
          <w:rFonts w:asciiTheme="minorHAnsi" w:eastAsiaTheme="minorEastAsia" w:hAnsiTheme="minorHAnsi" w:cstheme="minorBidi"/>
          <w:noProof/>
          <w:sz w:val="22"/>
          <w:szCs w:val="22"/>
          <w:lang w:val="en-US" w:eastAsia="zh-CN"/>
        </w:rPr>
      </w:pPr>
      <w:r>
        <w:rPr>
          <w:noProof/>
        </w:rPr>
        <w:t>2.2</w:t>
      </w:r>
      <w:r>
        <w:rPr>
          <w:rFonts w:asciiTheme="minorHAnsi" w:eastAsiaTheme="minorEastAsia" w:hAnsiTheme="minorHAnsi" w:cstheme="minorBidi"/>
          <w:noProof/>
          <w:sz w:val="22"/>
          <w:szCs w:val="22"/>
          <w:lang w:val="en-US" w:eastAsia="zh-CN"/>
        </w:rPr>
        <w:tab/>
      </w:r>
      <w:r>
        <w:rPr>
          <w:noProof/>
        </w:rPr>
        <w:t xml:space="preserve">Additional </w:t>
      </w:r>
      <w:r w:rsidRPr="003337C6">
        <w:rPr>
          <w:noProof/>
        </w:rPr>
        <w:t>references</w:t>
      </w:r>
      <w:r>
        <w:rPr>
          <w:noProof/>
        </w:rPr>
        <w:tab/>
      </w:r>
      <w:r>
        <w:rPr>
          <w:noProof/>
        </w:rPr>
        <w:tab/>
      </w:r>
      <w:r w:rsidRPr="003337C6">
        <w:rPr>
          <w:noProof/>
        </w:rPr>
        <w:t>1</w:t>
      </w:r>
    </w:p>
    <w:p w:rsidR="003337C6" w:rsidRDefault="003337C6" w:rsidP="003337C6">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3337C6">
        <w:rPr>
          <w:noProof/>
        </w:rPr>
        <w:t>Definitions</w:t>
      </w:r>
      <w:r>
        <w:rPr>
          <w:noProof/>
        </w:rPr>
        <w:tab/>
      </w:r>
      <w:r>
        <w:rPr>
          <w:noProof/>
        </w:rPr>
        <w:tab/>
      </w:r>
      <w:r w:rsidRPr="003337C6">
        <w:rPr>
          <w:noProof/>
        </w:rPr>
        <w:t>1</w:t>
      </w:r>
    </w:p>
    <w:p w:rsidR="003337C6" w:rsidRDefault="003337C6" w:rsidP="003337C6">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sidRPr="003337C6">
        <w:rPr>
          <w:noProof/>
        </w:rPr>
        <w:t>Abbreviations</w:t>
      </w:r>
      <w:r>
        <w:rPr>
          <w:noProof/>
        </w:rPr>
        <w:tab/>
      </w:r>
      <w:r>
        <w:rPr>
          <w:noProof/>
        </w:rPr>
        <w:tab/>
      </w:r>
      <w:r w:rsidRPr="003337C6">
        <w:rPr>
          <w:noProof/>
        </w:rPr>
        <w:t>2</w:t>
      </w:r>
    </w:p>
    <w:p w:rsidR="003337C6" w:rsidRDefault="003337C6" w:rsidP="003337C6">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sidRPr="003337C6">
        <w:rPr>
          <w:noProof/>
        </w:rPr>
        <w:t>Conventions</w:t>
      </w:r>
      <w:r>
        <w:rPr>
          <w:noProof/>
        </w:rPr>
        <w:tab/>
      </w:r>
      <w:r>
        <w:rPr>
          <w:noProof/>
        </w:rPr>
        <w:tab/>
      </w:r>
      <w:r w:rsidRPr="003337C6">
        <w:rPr>
          <w:noProof/>
        </w:rPr>
        <w:t>2</w:t>
      </w:r>
    </w:p>
    <w:p w:rsidR="003337C6" w:rsidRPr="003337C6" w:rsidRDefault="003337C6" w:rsidP="003337C6">
      <w:pPr>
        <w:pStyle w:val="TOC1"/>
        <w:ind w:right="992"/>
        <w:rPr>
          <w:rFonts w:asciiTheme="minorHAnsi" w:eastAsiaTheme="minorEastAsia" w:hAnsiTheme="minorHAnsi" w:cstheme="minorBidi"/>
          <w:noProof/>
          <w:sz w:val="22"/>
          <w:szCs w:val="22"/>
          <w:lang w:val="fr-CH" w:eastAsia="zh-CN"/>
        </w:rPr>
      </w:pPr>
      <w:r>
        <w:rPr>
          <w:noProof/>
        </w:rPr>
        <w:t>6</w:t>
      </w:r>
      <w:r>
        <w:rPr>
          <w:rFonts w:asciiTheme="minorHAnsi" w:eastAsiaTheme="minorEastAsia" w:hAnsiTheme="minorHAnsi" w:cstheme="minorBidi"/>
          <w:noProof/>
          <w:sz w:val="22"/>
          <w:szCs w:val="22"/>
          <w:lang w:val="en-US" w:eastAsia="zh-CN"/>
        </w:rPr>
        <w:tab/>
      </w:r>
      <w:r>
        <w:rPr>
          <w:noProof/>
        </w:rPr>
        <w:t xml:space="preserve">Reference software for Rec. </w:t>
      </w:r>
      <w:r w:rsidRPr="003337C6">
        <w:rPr>
          <w:noProof/>
          <w:lang w:val="fr-CH"/>
        </w:rPr>
        <w:t>ITU-T H.265 | ISO/IEC 23008-2</w:t>
      </w:r>
      <w:r w:rsidRPr="003337C6">
        <w:rPr>
          <w:noProof/>
          <w:lang w:val="fr-CH"/>
        </w:rPr>
        <w:tab/>
      </w:r>
      <w:r w:rsidRPr="003337C6">
        <w:rPr>
          <w:noProof/>
          <w:lang w:val="fr-CH"/>
        </w:rPr>
        <w:tab/>
        <w:t>2</w:t>
      </w:r>
    </w:p>
    <w:p w:rsidR="003337C6" w:rsidRPr="003337C6" w:rsidRDefault="003337C6" w:rsidP="003337C6">
      <w:pPr>
        <w:rPr>
          <w:rFonts w:eastAsiaTheme="minorEastAsia"/>
          <w:lang w:val="fr-CH"/>
        </w:rPr>
      </w:pPr>
    </w:p>
    <w:p w:rsidR="00352592" w:rsidRPr="001F2E77" w:rsidRDefault="00352592" w:rsidP="001F2E77">
      <w:pPr>
        <w:rPr>
          <w:rFonts w:eastAsiaTheme="minorEastAsia"/>
        </w:rPr>
      </w:pPr>
      <w:r w:rsidRPr="001F2E77">
        <w:rPr>
          <w:rFonts w:eastAsiaTheme="minorEastAsia"/>
        </w:rPr>
        <w:t xml:space="preserve">Electronic attachment: </w:t>
      </w:r>
      <w:r w:rsidRPr="00234FCD">
        <w:t>Reference source code</w:t>
      </w:r>
    </w:p>
    <w:p w:rsidR="00233582" w:rsidRPr="00BB43CE" w:rsidRDefault="00233582" w:rsidP="008A5D2A"/>
    <w:p w:rsidR="008A5D2A" w:rsidRPr="00BB43CE" w:rsidRDefault="008A5D2A"/>
    <w:p w:rsidR="00233582" w:rsidRPr="00E466D9" w:rsidRDefault="00233582" w:rsidP="00792924">
      <w:pPr>
        <w:pStyle w:val="Headingb"/>
        <w:rPr>
          <w:lang w:val="en-US"/>
        </w:rPr>
      </w:pPr>
      <w:bookmarkStart w:id="14" w:name="_Toc368224322"/>
      <w:bookmarkStart w:id="15" w:name="_Toc368225060"/>
      <w:bookmarkStart w:id="16" w:name="_Toc368225416"/>
      <w:r w:rsidRPr="00BB43CE">
        <w:br w:type="page"/>
      </w:r>
      <w:r w:rsidRPr="00E466D9">
        <w:rPr>
          <w:lang w:val="en-US"/>
        </w:rPr>
        <w:lastRenderedPageBreak/>
        <w:t>Introduction</w:t>
      </w:r>
      <w:bookmarkEnd w:id="14"/>
      <w:bookmarkEnd w:id="15"/>
      <w:bookmarkEnd w:id="16"/>
    </w:p>
    <w:p w:rsidR="00234FCD" w:rsidRPr="00D321A7" w:rsidRDefault="00234FCD" w:rsidP="00792924">
      <w:pPr>
        <w:pStyle w:val="Heading2"/>
      </w:pPr>
      <w:bookmarkStart w:id="17" w:name="_Toc121045949"/>
      <w:bookmarkStart w:id="18" w:name="_Toc203472131"/>
      <w:bookmarkStart w:id="19" w:name="_Toc204400425"/>
      <w:bookmarkStart w:id="20" w:name="_Toc245087569"/>
      <w:bookmarkStart w:id="21" w:name="_Toc405796287"/>
      <w:bookmarkStart w:id="22" w:name="_Toc421862593"/>
      <w:r w:rsidRPr="00D321A7">
        <w:t>0.1</w:t>
      </w:r>
      <w:r w:rsidRPr="00D321A7">
        <w:tab/>
        <w:t>Purpose</w:t>
      </w:r>
      <w:bookmarkEnd w:id="17"/>
      <w:bookmarkEnd w:id="18"/>
      <w:bookmarkEnd w:id="19"/>
      <w:bookmarkEnd w:id="20"/>
      <w:bookmarkEnd w:id="21"/>
      <w:bookmarkEnd w:id="22"/>
    </w:p>
    <w:p w:rsidR="00234FCD" w:rsidRPr="00D321A7" w:rsidRDefault="00234FCD" w:rsidP="00792924">
      <w:r w:rsidRPr="00D321A7">
        <w:t>The purpose of this Recommendation | International Standard is to provide the following:</w:t>
      </w:r>
    </w:p>
    <w:p w:rsidR="00234FCD" w:rsidRPr="00D321A7" w:rsidRDefault="00234FCD" w:rsidP="00BB43CE">
      <w:pPr>
        <w:pStyle w:val="enumlev1"/>
      </w:pPr>
      <w:r w:rsidRPr="00D321A7">
        <w:t>–</w:t>
      </w:r>
      <w:r w:rsidRPr="00D321A7">
        <w:tab/>
        <w:t>Reference decoder software capable of decoding bitstreams that conform to Rec. ITU</w:t>
      </w:r>
      <w:r w:rsidRPr="00D321A7">
        <w:noBreakHyphen/>
        <w:t>T H.265 | ISO/IEC</w:t>
      </w:r>
      <w:r w:rsidR="00792924">
        <w:t> </w:t>
      </w:r>
      <w:r w:rsidRPr="00D321A7">
        <w:t>23008-2 in a manner that conforms to the decoding process specified in Rec.</w:t>
      </w:r>
      <w:r w:rsidR="00BB43CE">
        <w:t> </w:t>
      </w:r>
      <w:r w:rsidRPr="00D321A7">
        <w:t>ITU-T H.265 | ISO/IEC 23008-2.</w:t>
      </w:r>
    </w:p>
    <w:p w:rsidR="00234FCD" w:rsidRPr="00D321A7" w:rsidRDefault="00234FCD" w:rsidP="00BB43CE">
      <w:pPr>
        <w:pStyle w:val="enumlev1"/>
      </w:pPr>
      <w:r w:rsidRPr="00D321A7">
        <w:t>–</w:t>
      </w:r>
      <w:r w:rsidRPr="00D321A7">
        <w:tab/>
        <w:t>Reference encoder software capable of producing bitstreams that conform to Rec. ITU</w:t>
      </w:r>
      <w:r w:rsidRPr="00D321A7">
        <w:noBreakHyphen/>
        <w:t>T H.265 |</w:t>
      </w:r>
      <w:r w:rsidR="00BB43CE">
        <w:t xml:space="preserve"> </w:t>
      </w:r>
      <w:r w:rsidRPr="00D321A7">
        <w:t>ISO/IEC</w:t>
      </w:r>
      <w:r w:rsidR="00BB43CE">
        <w:t> </w:t>
      </w:r>
      <w:r w:rsidRPr="00D321A7">
        <w:t>23008-2.</w:t>
      </w:r>
    </w:p>
    <w:p w:rsidR="00234FCD" w:rsidRPr="00D321A7" w:rsidRDefault="00234FCD" w:rsidP="00792924">
      <w:pPr>
        <w:pStyle w:val="Heading2"/>
      </w:pPr>
      <w:bookmarkStart w:id="23" w:name="_Toc121045950"/>
      <w:bookmarkStart w:id="24" w:name="_Toc203472132"/>
      <w:bookmarkStart w:id="25" w:name="_Toc204400426"/>
      <w:bookmarkStart w:id="26" w:name="_Toc245087570"/>
      <w:bookmarkStart w:id="27" w:name="_Toc405796288"/>
      <w:bookmarkStart w:id="28" w:name="_Toc421862594"/>
      <w:r w:rsidRPr="00D321A7">
        <w:rPr>
          <w:noProof/>
        </w:rPr>
        <w:t>0</w:t>
      </w:r>
      <w:r w:rsidRPr="00D321A7">
        <w:t>.</w:t>
      </w:r>
      <w:r w:rsidRPr="00D321A7">
        <w:rPr>
          <w:noProof/>
        </w:rPr>
        <w:t>2</w:t>
      </w:r>
      <w:r w:rsidRPr="00D321A7">
        <w:tab/>
        <w:t>Examples of use</w:t>
      </w:r>
      <w:bookmarkEnd w:id="23"/>
      <w:bookmarkEnd w:id="24"/>
      <w:bookmarkEnd w:id="25"/>
      <w:bookmarkEnd w:id="26"/>
      <w:bookmarkEnd w:id="27"/>
      <w:bookmarkEnd w:id="28"/>
    </w:p>
    <w:p w:rsidR="00234FCD" w:rsidRPr="00D321A7" w:rsidRDefault="00234FCD" w:rsidP="000833A1">
      <w:r w:rsidRPr="00D321A7">
        <w:t>Some examples of use that may be appropriate for the reference decoder software are as follows:</w:t>
      </w:r>
    </w:p>
    <w:p w:rsidR="00234FCD" w:rsidRPr="00D321A7" w:rsidRDefault="00234FCD" w:rsidP="00234FCD">
      <w:pPr>
        <w:pStyle w:val="enumlev1"/>
      </w:pPr>
      <w:r w:rsidRPr="00D321A7">
        <w:t>–</w:t>
      </w:r>
      <w:r w:rsidRPr="00D321A7">
        <w:tab/>
        <w:t>As an illustration of how to perform the decoding process specified in Rec. ITU-T H.265 | ISO/IEC 23008</w:t>
      </w:r>
      <w:r w:rsidR="00414DE8">
        <w:noBreakHyphen/>
      </w:r>
      <w:r w:rsidRPr="00D321A7">
        <w:t>2.</w:t>
      </w:r>
    </w:p>
    <w:p w:rsidR="00234FCD" w:rsidRPr="00D321A7" w:rsidRDefault="00234FCD" w:rsidP="00234FCD">
      <w:pPr>
        <w:pStyle w:val="enumlev1"/>
      </w:pPr>
      <w:r w:rsidRPr="00D321A7">
        <w:t>–</w:t>
      </w:r>
      <w:r w:rsidRPr="00D321A7">
        <w:tab/>
        <w:t>As the starting basis for the implementation of a decoder that conforms to Rec. ITU-T H.265 | ISO/IEC 23008-2.</w:t>
      </w:r>
    </w:p>
    <w:p w:rsidR="00234FCD" w:rsidRPr="00D321A7" w:rsidRDefault="00234FCD" w:rsidP="00234FCD">
      <w:pPr>
        <w:pStyle w:val="enumlev1"/>
      </w:pPr>
      <w:r w:rsidRPr="00D321A7">
        <w:t>–</w:t>
      </w:r>
      <w:r w:rsidRPr="00D321A7">
        <w:tab/>
        <w:t>For testing the conformance of a decoder implementation with the decoding process specified in Rec. ITU</w:t>
      </w:r>
      <w:r w:rsidR="00414DE8">
        <w:noBreakHyphen/>
      </w:r>
      <w:r w:rsidRPr="00D321A7">
        <w:t>T H.265 | ISO/IEC 23008-2 (as the values of the samples in all decoded pictures and the relative ordering of those pictures will be identical from all conforming decoder implementations that support the profile and level used in a bitstream that conforms to Rec. ITU-T H.265 | ISO/IEC 23008-2).</w:t>
      </w:r>
    </w:p>
    <w:p w:rsidR="00234FCD" w:rsidRPr="00D321A7" w:rsidRDefault="00234FCD" w:rsidP="00234FCD">
      <w:pPr>
        <w:pStyle w:val="enumlev1"/>
      </w:pPr>
      <w:r w:rsidRPr="00D321A7">
        <w:t>–</w:t>
      </w:r>
      <w:r w:rsidRPr="00D321A7">
        <w:tab/>
        <w:t>For testing the conformance of a bitstream to the constraints specified for bitstream conformance in Rec. ITU-T H.265 | ISO/IEC 23008-2, as the software can detect and report many bitstream conformance violations.</w:t>
      </w:r>
    </w:p>
    <w:p w:rsidR="00234FCD" w:rsidRPr="00D321A7" w:rsidRDefault="00234FCD" w:rsidP="00792924">
      <w:pPr>
        <w:pStyle w:val="Note2"/>
      </w:pPr>
      <w:r w:rsidRPr="00D321A7">
        <w:t>NOTE 1 – However, the lack of the detection of any conformance violation by the reference decoder software should not be considered as definitive proof that the bitstream conforms to all constraints specified for bitstream conformance in Rec. ITU-T H.265 | ISO/IEC 23008-2.</w:t>
      </w:r>
    </w:p>
    <w:p w:rsidR="00234FCD" w:rsidRPr="00D321A7" w:rsidRDefault="00234FCD" w:rsidP="00787A7C">
      <w:r w:rsidRPr="00D321A7">
        <w:t>Some examples of use that may be appropriate for the reference encoder software are as follows:</w:t>
      </w:r>
    </w:p>
    <w:p w:rsidR="00234FCD" w:rsidRPr="00D321A7" w:rsidRDefault="00234FCD" w:rsidP="00234FCD">
      <w:pPr>
        <w:pStyle w:val="enumlev1"/>
      </w:pPr>
      <w:r w:rsidRPr="00D321A7">
        <w:t>–</w:t>
      </w:r>
      <w:r w:rsidRPr="00D321A7">
        <w:tab/>
        <w:t>As an illustration of how to perform an encoding process that produces bitstreams that conform to the constraints specified for bitstream conformance in Rec. ITU-T H.265 | ISO/IEC 23008-2.</w:t>
      </w:r>
    </w:p>
    <w:p w:rsidR="00234FCD" w:rsidRPr="00D321A7" w:rsidRDefault="00234FCD" w:rsidP="00234FCD">
      <w:pPr>
        <w:pStyle w:val="enumlev1"/>
      </w:pPr>
      <w:r w:rsidRPr="00D321A7">
        <w:t>–</w:t>
      </w:r>
      <w:r w:rsidRPr="00D321A7">
        <w:tab/>
        <w:t>As the starting basis for the implementation of an encoder that conforms to Rec. ITU</w:t>
      </w:r>
      <w:r w:rsidRPr="00D321A7">
        <w:noBreakHyphen/>
        <w:t>T H.265 | ISO/IEC 23008-2.</w:t>
      </w:r>
    </w:p>
    <w:p w:rsidR="00234FCD" w:rsidRPr="00D321A7" w:rsidRDefault="00234FCD" w:rsidP="00234FCD">
      <w:pPr>
        <w:pStyle w:val="enumlev1"/>
      </w:pPr>
      <w:r w:rsidRPr="00D321A7">
        <w:t>–</w:t>
      </w:r>
      <w:r w:rsidRPr="00D321A7">
        <w:tab/>
        <w:t>As a means of generating bitstreams for testing the conformance of a decoder implementation with the decoding process specified in Rec. ITU-T H.265 | ISO/IEC 23008-2.</w:t>
      </w:r>
    </w:p>
    <w:p w:rsidR="00234FCD" w:rsidRPr="00D321A7" w:rsidRDefault="00234FCD" w:rsidP="00234FCD">
      <w:pPr>
        <w:pStyle w:val="enumlev1"/>
      </w:pPr>
      <w:r w:rsidRPr="00D321A7">
        <w:t>–</w:t>
      </w:r>
      <w:r w:rsidRPr="00D321A7">
        <w:tab/>
        <w:t>As a means of evaluating and demonstrating examples of the quality that can be achieved by an encoding process that conforms to Rec. ITU-T H.265 | ISO/IEC 23008-2.</w:t>
      </w:r>
    </w:p>
    <w:p w:rsidR="00234FCD" w:rsidRPr="00D321A7" w:rsidRDefault="00234FCD" w:rsidP="003337C6">
      <w:pPr>
        <w:pStyle w:val="Note2"/>
      </w:pPr>
      <w:r w:rsidRPr="00D321A7">
        <w:t>NOTE 2 – However, no guarantee of the quality that will be achieved by an encoder is provided by its conformance to Rec. ITU-T H.265 | ISO/IEC 23008-2, as the conformance of an encoder to Rec. ITU</w:t>
      </w:r>
      <w:r w:rsidRPr="00D321A7">
        <w:noBreakHyphen/>
        <w:t>T H.265 | ISO/IEC 23008-2 is defined only in terms of format constraints imposed on the bitstream syntax. Thus, while the reference encoder software may suffice to provide some illustrative examples of what quality can be achieved in conformance to Rec.</w:t>
      </w:r>
      <w:r w:rsidR="00792924">
        <w:t> </w:t>
      </w:r>
      <w:r w:rsidRPr="00D321A7">
        <w:t>ITU</w:t>
      </w:r>
      <w:r w:rsidR="003337C6">
        <w:noBreakHyphen/>
      </w:r>
      <w:r w:rsidRPr="00D321A7">
        <w:t>T H.265 | ISO/IEC 23008-2, it provides neither an assurance of minimum guaranteed video encoding quality nor maximum achievable video encoding quality.</w:t>
      </w:r>
    </w:p>
    <w:p w:rsidR="00234FCD" w:rsidRPr="00D321A7" w:rsidRDefault="00234FCD" w:rsidP="00792924">
      <w:pPr>
        <w:pStyle w:val="Heading2"/>
      </w:pPr>
      <w:bookmarkStart w:id="29" w:name="_Toc121045951"/>
      <w:bookmarkStart w:id="30" w:name="_Toc203472133"/>
      <w:bookmarkStart w:id="31" w:name="_Toc204400427"/>
      <w:bookmarkStart w:id="32" w:name="_Toc245087571"/>
      <w:bookmarkStart w:id="33" w:name="_Toc405796289"/>
      <w:bookmarkStart w:id="34" w:name="_Toc421862595"/>
      <w:r w:rsidRPr="00D321A7">
        <w:rPr>
          <w:noProof/>
        </w:rPr>
        <w:t>0</w:t>
      </w:r>
      <w:r w:rsidRPr="00D321A7">
        <w:t>.</w:t>
      </w:r>
      <w:r w:rsidRPr="00D321A7">
        <w:rPr>
          <w:noProof/>
        </w:rPr>
        <w:t>3</w:t>
      </w:r>
      <w:r w:rsidRPr="00D321A7">
        <w:tab/>
        <w:t>Warranty disclaimer</w:t>
      </w:r>
      <w:bookmarkEnd w:id="29"/>
      <w:bookmarkEnd w:id="30"/>
      <w:bookmarkEnd w:id="31"/>
      <w:bookmarkEnd w:id="32"/>
      <w:bookmarkEnd w:id="33"/>
      <w:bookmarkEnd w:id="34"/>
    </w:p>
    <w:p w:rsidR="00234FCD" w:rsidRPr="00D321A7" w:rsidRDefault="00234FCD" w:rsidP="006157BD">
      <w:r w:rsidRPr="00D321A7">
        <w:t>Regardless of any and all statements made herein or elsewhere regarding the possible uses of the reference software, the following disclaimers of warranty apply to the provided reference software.</w:t>
      </w:r>
    </w:p>
    <w:p w:rsidR="00234FCD" w:rsidRPr="00D321A7" w:rsidRDefault="00234FCD" w:rsidP="00234FCD">
      <w:pPr>
        <w:pStyle w:val="enumlev1"/>
      </w:pPr>
      <w:r w:rsidRPr="00D321A7">
        <w:t>–</w:t>
      </w:r>
      <w:r w:rsidRPr="00D321A7">
        <w:tab/>
        <w:t>ITU and ISO/IEC disclaim any and all warranties, whether express, implied, or statutory, including any implied warranties of merchantability or of fitness for a particular purpose.</w:t>
      </w:r>
    </w:p>
    <w:p w:rsidR="00234FCD" w:rsidRPr="00D321A7" w:rsidRDefault="00234FCD" w:rsidP="00234FCD">
      <w:pPr>
        <w:pStyle w:val="enumlev1"/>
      </w:pPr>
      <w:r w:rsidRPr="00D321A7">
        <w:t>–</w:t>
      </w:r>
      <w:r w:rsidRPr="00D321A7">
        <w:tab/>
        <w:t>In no event shall the contributor(s), ISO/IEC or ITU be liable for any incidental, punitive, or consequential damages of any kind whatsoever arising from the use of these programs.</w:t>
      </w:r>
    </w:p>
    <w:p w:rsidR="00234FCD" w:rsidRPr="00D321A7" w:rsidRDefault="00234FCD" w:rsidP="00234FCD">
      <w:pPr>
        <w:pStyle w:val="enumlev1"/>
      </w:pPr>
      <w:r w:rsidRPr="00D321A7">
        <w:t>–</w:t>
      </w:r>
      <w:r w:rsidRPr="00D321A7">
        <w:tab/>
        <w:t>This disclaimer of warranty extends to the user of these programs and user's customers, employees, agents, transferees, successors and assignees.</w:t>
      </w:r>
    </w:p>
    <w:p w:rsidR="00234FCD" w:rsidRPr="00D321A7" w:rsidRDefault="00234FCD" w:rsidP="00234FCD">
      <w:pPr>
        <w:pStyle w:val="enumlev1"/>
      </w:pPr>
      <w:r w:rsidRPr="00D321A7">
        <w:t>–</w:t>
      </w:r>
      <w:r w:rsidRPr="00D321A7">
        <w:tab/>
        <w:t>ITU does not represent or warrant that the programs furnished hereunder are free of infringement of any third-party patents.</w:t>
      </w:r>
    </w:p>
    <w:p w:rsidR="00234FCD" w:rsidRPr="00D321A7" w:rsidRDefault="00234FCD" w:rsidP="00234FCD">
      <w:pPr>
        <w:pStyle w:val="enumlev1"/>
      </w:pPr>
      <w:r w:rsidRPr="00D321A7">
        <w:lastRenderedPageBreak/>
        <w:t>–</w:t>
      </w:r>
      <w:r w:rsidRPr="00D321A7">
        <w:tab/>
        <w:t>Commercial implementations of ISO/IEC International Standards | ITU-T Recommendations, including shareware, may be subject to royalty fees to patent holders.</w:t>
      </w:r>
    </w:p>
    <w:p w:rsidR="00D32A82" w:rsidRPr="00234FCD" w:rsidRDefault="00234FCD">
      <w:pPr>
        <w:pStyle w:val="enumlev1"/>
        <w:rPr>
          <w:lang w:val="en-US"/>
        </w:rPr>
      </w:pPr>
      <w:r w:rsidRPr="00D321A7">
        <w:t>–</w:t>
      </w:r>
      <w:r w:rsidRPr="00D321A7">
        <w:tab/>
        <w:t xml:space="preserve">Information regarding the common patent policy for ITU-T/ITU-R/ISO/IEC is available from the ITU website at </w:t>
      </w:r>
      <w:hyperlink r:id="rId20" w:history="1">
        <w:r w:rsidR="00414DE8" w:rsidRPr="00FC48E6">
          <w:rPr>
            <w:rStyle w:val="Hyperlink"/>
            <w:rFonts w:asciiTheme="minorBidi" w:hAnsiTheme="minorBidi" w:cstheme="minorBidi"/>
            <w:sz w:val="16"/>
            <w:szCs w:val="16"/>
          </w:rPr>
          <w:t>http://itu.int/ITU-T/dbase/patent/patent-policy.html</w:t>
        </w:r>
      </w:hyperlink>
      <w:r w:rsidRPr="00D321A7">
        <w:t>.</w:t>
      </w:r>
    </w:p>
    <w:p w:rsidR="00233582" w:rsidRPr="00234FCD" w:rsidRDefault="00233582">
      <w:pPr>
        <w:rPr>
          <w:b/>
          <w:bCs/>
          <w:lang w:val="en-US"/>
        </w:rPr>
        <w:sectPr w:rsidR="00233582" w:rsidRPr="00234FCD">
          <w:headerReference w:type="default" r:id="rId21"/>
          <w:pgSz w:w="11907" w:h="16834"/>
          <w:pgMar w:top="1134" w:right="1134" w:bottom="1134" w:left="1134" w:header="567" w:footer="567" w:gutter="0"/>
          <w:paperSrc w:first="15" w:other="15"/>
          <w:pgNumType w:fmt="lowerRoman"/>
          <w:cols w:space="720"/>
          <w:docGrid w:linePitch="326"/>
        </w:sectPr>
      </w:pPr>
    </w:p>
    <w:p w:rsidR="00234FCD" w:rsidRPr="00E466D9" w:rsidRDefault="00234FCD" w:rsidP="00234FCD">
      <w:pPr>
        <w:pStyle w:val="RecNo"/>
        <w:rPr>
          <w:lang w:val="en-US"/>
        </w:rPr>
      </w:pPr>
      <w:bookmarkStart w:id="35" w:name="p1rectexte"/>
      <w:bookmarkEnd w:id="35"/>
      <w:r w:rsidRPr="00E466D9">
        <w:rPr>
          <w:lang w:val="en-US"/>
        </w:rPr>
        <w:lastRenderedPageBreak/>
        <w:t>Recommendation ITU-T H.265.2</w:t>
      </w:r>
    </w:p>
    <w:p w:rsidR="00234FCD" w:rsidRPr="00234FCD" w:rsidRDefault="00234FCD" w:rsidP="00234FCD">
      <w:pPr>
        <w:pStyle w:val="Rectitle"/>
        <w:rPr>
          <w:lang w:val="en-US"/>
        </w:rPr>
      </w:pPr>
      <w:r w:rsidRPr="00234FCD">
        <w:rPr>
          <w:bCs/>
        </w:rPr>
        <w:t>Reference software for ITU-T H.265 high efficiency video coding</w:t>
      </w:r>
    </w:p>
    <w:p w:rsidR="00234FCD" w:rsidRPr="00D321A7" w:rsidRDefault="009348BA" w:rsidP="009348BA">
      <w:pPr>
        <w:pStyle w:val="Heading1"/>
      </w:pPr>
      <w:bookmarkStart w:id="36" w:name="_Toc89002027"/>
      <w:bookmarkStart w:id="37" w:name="_Toc121045952"/>
      <w:bookmarkStart w:id="38" w:name="_Toc203472134"/>
      <w:bookmarkStart w:id="39" w:name="_Toc204400428"/>
      <w:bookmarkStart w:id="40" w:name="_Toc245087572"/>
      <w:bookmarkStart w:id="41" w:name="_Toc267476497"/>
      <w:bookmarkStart w:id="42" w:name="_Toc323644387"/>
      <w:bookmarkStart w:id="43" w:name="_Toc332203303"/>
      <w:bookmarkStart w:id="44" w:name="_Toc334166427"/>
      <w:bookmarkStart w:id="45" w:name="_Toc392658336"/>
      <w:bookmarkStart w:id="46" w:name="_Toc405796290"/>
      <w:bookmarkStart w:id="47" w:name="_Toc421862596"/>
      <w:r>
        <w:t>1</w:t>
      </w:r>
      <w:r>
        <w:tab/>
      </w:r>
      <w:r w:rsidR="00234FCD" w:rsidRPr="00D321A7">
        <w:t>Scope</w:t>
      </w:r>
      <w:bookmarkEnd w:id="36"/>
      <w:bookmarkEnd w:id="37"/>
      <w:bookmarkEnd w:id="38"/>
      <w:bookmarkEnd w:id="39"/>
      <w:bookmarkEnd w:id="40"/>
      <w:bookmarkEnd w:id="41"/>
      <w:bookmarkEnd w:id="42"/>
      <w:bookmarkEnd w:id="43"/>
      <w:bookmarkEnd w:id="44"/>
      <w:bookmarkEnd w:id="45"/>
      <w:bookmarkEnd w:id="46"/>
      <w:bookmarkEnd w:id="47"/>
    </w:p>
    <w:p w:rsidR="00234FCD" w:rsidRPr="00D321A7" w:rsidRDefault="00234FCD" w:rsidP="009348BA">
      <w:bookmarkStart w:id="48" w:name="_Toc382790596"/>
      <w:r w:rsidRPr="00D321A7">
        <w:t>This Recommendation | International Standard provides accompanying reference software for Rec. ITU-T H.265 | ISO/IEC 23008-2 as an electronic attachment. The software is an integral part of this Recommendation | International Standard.</w:t>
      </w:r>
    </w:p>
    <w:p w:rsidR="00234FCD" w:rsidRPr="00D321A7" w:rsidRDefault="00234FCD" w:rsidP="009348BA">
      <w:r w:rsidRPr="00D321A7">
        <w:t>The use of this reference software is not required for making an implementation of an encoder or decoder in conformance to Rec. ITU-T H.265 | ISO/IEC 23008-2. Requirements established in Rec. ITU-T H.265 | ISO/IEC 23008-2 take precedence over the behaviour of the reference software.</w:t>
      </w:r>
    </w:p>
    <w:p w:rsidR="00234FCD" w:rsidRPr="00D321A7" w:rsidRDefault="009348BA" w:rsidP="009348BA">
      <w:pPr>
        <w:pStyle w:val="Heading1"/>
      </w:pPr>
      <w:bookmarkStart w:id="49" w:name="_Toc89002028"/>
      <w:bookmarkStart w:id="50" w:name="_Toc121045953"/>
      <w:bookmarkStart w:id="51" w:name="_Toc203472135"/>
      <w:bookmarkStart w:id="52" w:name="_Toc204400429"/>
      <w:bookmarkStart w:id="53" w:name="_Toc245087573"/>
      <w:bookmarkStart w:id="54" w:name="_Toc267476498"/>
      <w:bookmarkStart w:id="55" w:name="_Toc323644388"/>
      <w:bookmarkStart w:id="56" w:name="_Toc332203304"/>
      <w:bookmarkStart w:id="57" w:name="_Toc334166428"/>
      <w:bookmarkStart w:id="58" w:name="_Toc392658337"/>
      <w:bookmarkStart w:id="59" w:name="_Toc405796291"/>
      <w:bookmarkStart w:id="60" w:name="_Toc421862597"/>
      <w:r>
        <w:t>2</w:t>
      </w:r>
      <w:r>
        <w:tab/>
      </w:r>
      <w:r w:rsidR="00234FCD" w:rsidRPr="00D321A7">
        <w:t>References</w:t>
      </w:r>
      <w:bookmarkEnd w:id="48"/>
      <w:bookmarkEnd w:id="49"/>
      <w:bookmarkEnd w:id="50"/>
      <w:bookmarkEnd w:id="51"/>
      <w:bookmarkEnd w:id="52"/>
      <w:bookmarkEnd w:id="53"/>
      <w:bookmarkEnd w:id="54"/>
      <w:bookmarkEnd w:id="55"/>
      <w:bookmarkEnd w:id="56"/>
      <w:bookmarkEnd w:id="57"/>
      <w:bookmarkEnd w:id="58"/>
      <w:bookmarkEnd w:id="59"/>
      <w:bookmarkEnd w:id="60"/>
    </w:p>
    <w:p w:rsidR="00234FCD" w:rsidRPr="00D321A7" w:rsidRDefault="009348BA" w:rsidP="009348BA">
      <w:pPr>
        <w:pStyle w:val="Heading2"/>
      </w:pPr>
      <w:bookmarkStart w:id="61" w:name="_Toc121045954"/>
      <w:bookmarkStart w:id="62" w:name="_Toc203472136"/>
      <w:bookmarkStart w:id="63" w:name="_Toc204400430"/>
      <w:bookmarkStart w:id="64" w:name="_Toc245087574"/>
      <w:bookmarkStart w:id="65" w:name="_Toc267476499"/>
      <w:bookmarkStart w:id="66" w:name="_Toc323644389"/>
      <w:bookmarkStart w:id="67" w:name="_Toc332203305"/>
      <w:bookmarkStart w:id="68" w:name="_Toc334166429"/>
      <w:bookmarkStart w:id="69" w:name="_Toc392658338"/>
      <w:bookmarkStart w:id="70" w:name="_Toc405796292"/>
      <w:bookmarkStart w:id="71" w:name="_Toc421862598"/>
      <w:r>
        <w:t>2.1</w:t>
      </w:r>
      <w:r>
        <w:tab/>
      </w:r>
      <w:r w:rsidR="00234FCD" w:rsidRPr="00D321A7">
        <w:t>Normative references</w:t>
      </w:r>
      <w:bookmarkEnd w:id="61"/>
      <w:bookmarkEnd w:id="62"/>
      <w:bookmarkEnd w:id="63"/>
      <w:bookmarkEnd w:id="64"/>
      <w:bookmarkEnd w:id="65"/>
      <w:bookmarkEnd w:id="66"/>
      <w:bookmarkEnd w:id="67"/>
      <w:bookmarkEnd w:id="68"/>
      <w:bookmarkEnd w:id="69"/>
      <w:bookmarkEnd w:id="70"/>
      <w:bookmarkEnd w:id="71"/>
    </w:p>
    <w:p w:rsidR="00234FCD" w:rsidRPr="00D321A7" w:rsidRDefault="00F635BE" w:rsidP="00F635BE">
      <w:r w:rsidRPr="00F635BE">
        <w:rPr>
          <w:lang w:val="en-US"/>
        </w:rPr>
        <w:t>The following Recommendations and International Standards contain provisions which, through reference in this text, constitute provisions of this Recommendation | International Standard. At the time of publication, the editions indicated were valid. All Recommendations and Standards are subject to revision, and parties to agreements based on this Recommendation | International Standard are encouraged to investigate the possibility of applying the most recent edition of the Recommendations and Standards listed below. Members of IEC and ISO maintain registers of currently valid International Standards. The Telecommunication Standardization Bureau of the ITU maintains a list of currently valid ITU-T Recommendations.</w:t>
      </w:r>
    </w:p>
    <w:p w:rsidR="00234FCD" w:rsidRPr="00D321A7" w:rsidRDefault="00F635BE" w:rsidP="00F635BE">
      <w:pPr>
        <w:pStyle w:val="Heading3"/>
      </w:pPr>
      <w:bookmarkStart w:id="72" w:name="_Toc245087575"/>
      <w:bookmarkStart w:id="73" w:name="_Toc392658339"/>
      <w:r>
        <w:t>2.1.1</w:t>
      </w:r>
      <w:r>
        <w:tab/>
      </w:r>
      <w:r w:rsidR="00234FCD" w:rsidRPr="00D321A7">
        <w:t>ITU-T Recommendations</w:t>
      </w:r>
      <w:bookmarkEnd w:id="72"/>
      <w:bookmarkEnd w:id="73"/>
    </w:p>
    <w:p w:rsidR="00234FCD" w:rsidRPr="00D321A7" w:rsidRDefault="00234FCD">
      <w:pPr>
        <w:pStyle w:val="enumlev1"/>
      </w:pPr>
      <w:r w:rsidRPr="00D321A7">
        <w:t>None.</w:t>
      </w:r>
    </w:p>
    <w:p w:rsidR="00234FCD" w:rsidRPr="00D321A7" w:rsidRDefault="00F635BE" w:rsidP="00F635BE">
      <w:pPr>
        <w:pStyle w:val="Heading3"/>
      </w:pPr>
      <w:bookmarkStart w:id="74" w:name="_Toc245087576"/>
      <w:bookmarkStart w:id="75" w:name="_Toc392658340"/>
      <w:bookmarkStart w:id="76" w:name="_Toc382790597"/>
      <w:bookmarkStart w:id="77" w:name="_Toc89002030"/>
      <w:r>
        <w:t>2.1.2</w:t>
      </w:r>
      <w:r>
        <w:tab/>
      </w:r>
      <w:r w:rsidR="00234FCD" w:rsidRPr="00D321A7">
        <w:t>Identical Recommendations | International Standards</w:t>
      </w:r>
      <w:bookmarkEnd w:id="74"/>
      <w:bookmarkEnd w:id="75"/>
    </w:p>
    <w:p w:rsidR="00234FCD" w:rsidRPr="00D321A7" w:rsidRDefault="00234FCD">
      <w:pPr>
        <w:pStyle w:val="enumlev1"/>
      </w:pPr>
      <w:r w:rsidRPr="00D321A7">
        <w:t>None.</w:t>
      </w:r>
    </w:p>
    <w:p w:rsidR="00234FCD" w:rsidRPr="00D321A7" w:rsidRDefault="00F635BE" w:rsidP="00F635BE">
      <w:pPr>
        <w:pStyle w:val="Heading3"/>
      </w:pPr>
      <w:bookmarkStart w:id="78" w:name="_Toc382790598"/>
      <w:bookmarkStart w:id="79" w:name="_Toc89002031"/>
      <w:bookmarkStart w:id="80" w:name="_Toc245087577"/>
      <w:bookmarkStart w:id="81" w:name="_Toc392658341"/>
      <w:bookmarkEnd w:id="76"/>
      <w:bookmarkEnd w:id="77"/>
      <w:r>
        <w:t>2.1.3</w:t>
      </w:r>
      <w:r>
        <w:tab/>
      </w:r>
      <w:r w:rsidR="00234FCD" w:rsidRPr="00D321A7">
        <w:t>Paired Recommendations | International Standards equivalent in technical content</w:t>
      </w:r>
      <w:bookmarkEnd w:id="78"/>
      <w:bookmarkEnd w:id="79"/>
      <w:bookmarkEnd w:id="80"/>
      <w:bookmarkEnd w:id="81"/>
    </w:p>
    <w:p w:rsidR="00234FCD" w:rsidRPr="00D321A7" w:rsidRDefault="00234FCD" w:rsidP="00787A7C">
      <w:pPr>
        <w:pStyle w:val="Reftext"/>
        <w:ind w:left="1191" w:hanging="1191"/>
      </w:pPr>
      <w:r w:rsidRPr="00D321A7">
        <w:tab/>
        <w:t>–</w:t>
      </w:r>
      <w:r w:rsidRPr="00D321A7">
        <w:tab/>
        <w:t>Recommendation ITU-T H.265 (201</w:t>
      </w:r>
      <w:r w:rsidR="00787A7C">
        <w:t>4</w:t>
      </w:r>
      <w:r w:rsidRPr="00D321A7">
        <w:t xml:space="preserve">), </w:t>
      </w:r>
      <w:r w:rsidRPr="00D321A7">
        <w:rPr>
          <w:i/>
          <w:iCs/>
        </w:rPr>
        <w:t>High efficiency video coding</w:t>
      </w:r>
      <w:r w:rsidRPr="00D321A7">
        <w:t>.</w:t>
      </w:r>
    </w:p>
    <w:p w:rsidR="00787A7C" w:rsidRPr="0051783F" w:rsidRDefault="00234FCD" w:rsidP="00234FCD">
      <w:pPr>
        <w:pStyle w:val="Reftext"/>
        <w:ind w:left="1191" w:hanging="1191"/>
        <w:rPr>
          <w:lang w:val="en-US"/>
        </w:rPr>
      </w:pPr>
      <w:r w:rsidRPr="00D321A7">
        <w:tab/>
      </w:r>
      <w:r w:rsidRPr="00D321A7">
        <w:tab/>
        <w:t xml:space="preserve">ISO/IEC 23008-2:2013, </w:t>
      </w:r>
      <w:r w:rsidRPr="00D321A7">
        <w:rPr>
          <w:i/>
          <w:iCs/>
        </w:rPr>
        <w:t xml:space="preserve">Information technology – </w:t>
      </w:r>
      <w:r w:rsidR="00787A7C">
        <w:rPr>
          <w:i/>
          <w:iCs/>
        </w:rPr>
        <w:t xml:space="preserve">High efficiency </w:t>
      </w:r>
      <w:r w:rsidR="00787A7C" w:rsidRPr="00D321A7">
        <w:rPr>
          <w:i/>
          <w:iCs/>
        </w:rPr>
        <w:t>c</w:t>
      </w:r>
      <w:r w:rsidRPr="00D321A7">
        <w:rPr>
          <w:i/>
          <w:iCs/>
        </w:rPr>
        <w:t xml:space="preserve">oding </w:t>
      </w:r>
      <w:r w:rsidR="00787A7C">
        <w:rPr>
          <w:i/>
          <w:iCs/>
        </w:rPr>
        <w:t>and media delivery in heterogeneous environments</w:t>
      </w:r>
      <w:r w:rsidRPr="00D321A7">
        <w:rPr>
          <w:i/>
          <w:iCs/>
        </w:rPr>
        <w:t xml:space="preserve"> – Part 2: High efficiency video coding</w:t>
      </w:r>
      <w:r w:rsidRPr="00D321A7">
        <w:t>.</w:t>
      </w:r>
    </w:p>
    <w:p w:rsidR="00234FCD" w:rsidRPr="00D321A7" w:rsidRDefault="00F635BE" w:rsidP="00F635BE">
      <w:pPr>
        <w:pStyle w:val="Heading2"/>
      </w:pPr>
      <w:bookmarkStart w:id="82" w:name="_Toc382790599"/>
      <w:bookmarkStart w:id="83" w:name="_Toc89002032"/>
      <w:bookmarkStart w:id="84" w:name="_Toc121045955"/>
      <w:bookmarkStart w:id="85" w:name="_Toc203472137"/>
      <w:bookmarkStart w:id="86" w:name="_Toc204400431"/>
      <w:bookmarkStart w:id="87" w:name="_Toc245087578"/>
      <w:bookmarkStart w:id="88" w:name="_Toc267476500"/>
      <w:bookmarkStart w:id="89" w:name="_Toc323644390"/>
      <w:bookmarkStart w:id="90" w:name="_Toc332203306"/>
      <w:bookmarkStart w:id="91" w:name="_Toc334166430"/>
      <w:bookmarkStart w:id="92" w:name="_Toc392658342"/>
      <w:bookmarkStart w:id="93" w:name="_Toc405796293"/>
      <w:bookmarkStart w:id="94" w:name="_Toc421862599"/>
      <w:r>
        <w:t>2.2</w:t>
      </w:r>
      <w:r>
        <w:tab/>
      </w:r>
      <w:r w:rsidR="00234FCD" w:rsidRPr="00D321A7">
        <w:t>Additional references</w:t>
      </w:r>
      <w:bookmarkEnd w:id="82"/>
      <w:bookmarkEnd w:id="83"/>
      <w:bookmarkEnd w:id="84"/>
      <w:bookmarkEnd w:id="85"/>
      <w:bookmarkEnd w:id="86"/>
      <w:bookmarkEnd w:id="87"/>
      <w:bookmarkEnd w:id="88"/>
      <w:bookmarkEnd w:id="89"/>
      <w:bookmarkEnd w:id="90"/>
      <w:bookmarkEnd w:id="91"/>
      <w:bookmarkEnd w:id="92"/>
      <w:bookmarkEnd w:id="93"/>
      <w:bookmarkEnd w:id="94"/>
    </w:p>
    <w:p w:rsidR="00234FCD" w:rsidRPr="00D321A7" w:rsidRDefault="00234FCD">
      <w:pPr>
        <w:pStyle w:val="enumlev1"/>
        <w:rPr>
          <w:i/>
        </w:rPr>
      </w:pPr>
      <w:r w:rsidRPr="00D321A7">
        <w:t>None.</w:t>
      </w:r>
    </w:p>
    <w:p w:rsidR="00234FCD" w:rsidRPr="00D321A7" w:rsidRDefault="00F635BE" w:rsidP="00F635BE">
      <w:pPr>
        <w:pStyle w:val="Heading1"/>
      </w:pPr>
      <w:bookmarkStart w:id="95" w:name="_Toc382790600"/>
      <w:bookmarkStart w:id="96" w:name="_Ref82505616"/>
      <w:bookmarkStart w:id="97" w:name="_Toc89002033"/>
      <w:bookmarkStart w:id="98" w:name="_Toc121045956"/>
      <w:bookmarkStart w:id="99" w:name="_Toc203472138"/>
      <w:bookmarkStart w:id="100" w:name="_Toc204400432"/>
      <w:bookmarkStart w:id="101" w:name="_Toc245087579"/>
      <w:bookmarkStart w:id="102" w:name="_Toc267476501"/>
      <w:bookmarkStart w:id="103" w:name="_Toc323644391"/>
      <w:bookmarkStart w:id="104" w:name="_Toc332203307"/>
      <w:bookmarkStart w:id="105" w:name="_Toc334166431"/>
      <w:bookmarkStart w:id="106" w:name="_Toc392658343"/>
      <w:bookmarkStart w:id="107" w:name="_Toc405796294"/>
      <w:bookmarkStart w:id="108" w:name="_Toc421862600"/>
      <w:r>
        <w:t>3</w:t>
      </w:r>
      <w:r>
        <w:tab/>
      </w:r>
      <w:r w:rsidR="00234FCD" w:rsidRPr="00D321A7">
        <w:t>Definitions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234FCD" w:rsidRPr="00D321A7" w:rsidRDefault="00234FCD" w:rsidP="00C6551D">
      <w:r w:rsidRPr="00D321A7">
        <w:t>For the purposes of this Recommendation, the terms, definitions, abbreviations and symbols specified in Rec. ITU</w:t>
      </w:r>
      <w:r w:rsidRPr="00D321A7">
        <w:noBreakHyphen/>
        <w:t>T H.265 | ISO/IEC 23008-2 (particularly in clause 3) apply. Definitions 3.1, 3.2, and 3.3 below replace the corresponding definitions in Rec. ITU-T H.265 | ISO/IEC 23008-2. Definitions 3.4 and 3.5 are additional definitions.</w:t>
      </w:r>
      <w:bookmarkStart w:id="109" w:name="_Ref57450726"/>
    </w:p>
    <w:p w:rsidR="00234FCD" w:rsidRPr="00D321A7" w:rsidRDefault="00234FCD" w:rsidP="003337C6">
      <w:r w:rsidRPr="00D321A7">
        <w:rPr>
          <w:b/>
        </w:rPr>
        <w:t>3.1</w:t>
      </w:r>
      <w:r w:rsidRPr="00D321A7">
        <w:rPr>
          <w:b/>
        </w:rPr>
        <w:tab/>
        <w:t>bitstream</w:t>
      </w:r>
      <w:r w:rsidRPr="00D321A7">
        <w:t xml:space="preserve">: </w:t>
      </w:r>
      <w:bookmarkEnd w:id="109"/>
      <w:r w:rsidRPr="00D321A7">
        <w:t xml:space="preserve">A sequence of bits that may conform to Rec. </w:t>
      </w:r>
      <w:r w:rsidRPr="00BB43CE">
        <w:rPr>
          <w:lang w:val="fr-CH"/>
        </w:rPr>
        <w:t xml:space="preserve">ITU-T H.265 | ISO/IEC 23008-2. </w:t>
      </w:r>
      <w:r w:rsidRPr="00D321A7">
        <w:t>A bitstream that conforms to Rec. ITU-T H.265 | ISO/IEC 23008-2 will contain one or more slices.</w:t>
      </w:r>
    </w:p>
    <w:p w:rsidR="00234FCD" w:rsidRPr="00D321A7" w:rsidRDefault="00234FCD" w:rsidP="00F635BE">
      <w:r w:rsidRPr="00D321A7">
        <w:rPr>
          <w:b/>
        </w:rPr>
        <w:t>3.2</w:t>
      </w:r>
      <w:r w:rsidRPr="00D321A7">
        <w:rPr>
          <w:b/>
        </w:rPr>
        <w:tab/>
        <w:t>decoder</w:t>
      </w:r>
      <w:r w:rsidRPr="00D321A7">
        <w:t>: An embodiment of a process that operates on a bitstream</w:t>
      </w:r>
      <w:r w:rsidRPr="00D321A7">
        <w:rPr>
          <w:i/>
        </w:rPr>
        <w:t xml:space="preserve"> </w:t>
      </w:r>
      <w:r w:rsidRPr="00D321A7">
        <w:t>and may conform to the decoding process requirements specified for conformance to Rec. ITU-T H.265 | ISO/IEC 23008-2. The scope of decoder, as considered herein, does not include a display process, which is outside the scope of this Recommendation | International Standard.</w:t>
      </w:r>
    </w:p>
    <w:p w:rsidR="00234FCD" w:rsidRPr="00D321A7" w:rsidRDefault="00234FCD" w:rsidP="00F635BE">
      <w:r w:rsidRPr="00D321A7">
        <w:rPr>
          <w:b/>
        </w:rPr>
        <w:t>3.3</w:t>
      </w:r>
      <w:r w:rsidRPr="00D321A7">
        <w:rPr>
          <w:b/>
        </w:rPr>
        <w:tab/>
        <w:t>encoder</w:t>
      </w:r>
      <w:r w:rsidRPr="00D321A7">
        <w:t>: An embodiment of a process, not specified in this Recommendation | International Standard, that produces a bitstream.</w:t>
      </w:r>
    </w:p>
    <w:p w:rsidR="00234FCD" w:rsidRPr="00D321A7" w:rsidRDefault="00234FCD" w:rsidP="00F635BE">
      <w:r w:rsidRPr="00D321A7">
        <w:rPr>
          <w:b/>
        </w:rPr>
        <w:t>3.4</w:t>
      </w:r>
      <w:r w:rsidRPr="00D321A7">
        <w:rPr>
          <w:b/>
        </w:rPr>
        <w:tab/>
        <w:t>reference software decoder</w:t>
      </w:r>
      <w:r w:rsidRPr="00D321A7">
        <w:t xml:space="preserve">: </w:t>
      </w:r>
      <w:r w:rsidRPr="00D321A7">
        <w:rPr>
          <w:rFonts w:cs="Arial"/>
        </w:rPr>
        <w:t xml:space="preserve">The decoding software accompanying this </w:t>
      </w:r>
      <w:r w:rsidRPr="00D321A7">
        <w:t>Recommendation | International Standard</w:t>
      </w:r>
      <w:r w:rsidRPr="00D321A7">
        <w:rPr>
          <w:rFonts w:cs="Arial"/>
        </w:rPr>
        <w:t>.</w:t>
      </w:r>
    </w:p>
    <w:p w:rsidR="00234FCD" w:rsidRPr="00D321A7" w:rsidRDefault="00234FCD" w:rsidP="003337C6">
      <w:r w:rsidRPr="00D321A7">
        <w:rPr>
          <w:b/>
        </w:rPr>
        <w:lastRenderedPageBreak/>
        <w:t>3.5</w:t>
      </w:r>
      <w:r w:rsidRPr="00D321A7">
        <w:rPr>
          <w:b/>
        </w:rPr>
        <w:tab/>
        <w:t>reference software encoder</w:t>
      </w:r>
      <w:r w:rsidRPr="00D321A7">
        <w:t>: The encoding software accompanying this Recommendation | International Standard.</w:t>
      </w:r>
    </w:p>
    <w:p w:rsidR="00234FCD" w:rsidRPr="00D321A7" w:rsidRDefault="00F635BE" w:rsidP="00F635BE">
      <w:pPr>
        <w:pStyle w:val="Heading1"/>
      </w:pPr>
      <w:bookmarkStart w:id="110" w:name="_Toc382790601"/>
      <w:bookmarkStart w:id="111" w:name="_Toc89002034"/>
      <w:bookmarkStart w:id="112" w:name="_Toc121045957"/>
      <w:bookmarkStart w:id="113" w:name="_Toc203472139"/>
      <w:bookmarkStart w:id="114" w:name="_Toc204400433"/>
      <w:bookmarkStart w:id="115" w:name="_Toc245087580"/>
      <w:bookmarkStart w:id="116" w:name="_Toc267476502"/>
      <w:bookmarkStart w:id="117" w:name="_Toc323644392"/>
      <w:bookmarkStart w:id="118" w:name="_Toc332203308"/>
      <w:bookmarkStart w:id="119" w:name="_Toc334166432"/>
      <w:bookmarkStart w:id="120" w:name="_Toc392658344"/>
      <w:bookmarkStart w:id="121" w:name="_Toc405796295"/>
      <w:bookmarkStart w:id="122" w:name="_Toc421862601"/>
      <w:r>
        <w:t>4</w:t>
      </w:r>
      <w:r>
        <w:tab/>
      </w:r>
      <w:r w:rsidR="00234FCD" w:rsidRPr="00D321A7">
        <w:t>Abbreviations</w:t>
      </w:r>
      <w:bookmarkEnd w:id="110"/>
      <w:bookmarkEnd w:id="111"/>
      <w:bookmarkEnd w:id="112"/>
      <w:bookmarkEnd w:id="113"/>
      <w:bookmarkEnd w:id="114"/>
      <w:bookmarkEnd w:id="115"/>
      <w:bookmarkEnd w:id="116"/>
      <w:bookmarkEnd w:id="117"/>
      <w:bookmarkEnd w:id="118"/>
      <w:bookmarkEnd w:id="119"/>
      <w:bookmarkEnd w:id="120"/>
      <w:bookmarkEnd w:id="121"/>
      <w:bookmarkEnd w:id="122"/>
    </w:p>
    <w:p w:rsidR="00234FCD" w:rsidRPr="00D321A7" w:rsidRDefault="00234FCD" w:rsidP="00F635BE">
      <w:r w:rsidRPr="00D321A7">
        <w:t>For the purposes of this Recommendation | International Standard, relevant abbreviations are specified in clause 4 of Rec. ITU</w:t>
      </w:r>
      <w:r w:rsidRPr="00D321A7">
        <w:noBreakHyphen/>
        <w:t>T H.265 | ISO/IEC 23008-2.</w:t>
      </w:r>
    </w:p>
    <w:p w:rsidR="00234FCD" w:rsidRPr="00D321A7" w:rsidRDefault="00F635BE" w:rsidP="00F635BE">
      <w:pPr>
        <w:pStyle w:val="Heading1"/>
      </w:pPr>
      <w:bookmarkStart w:id="123" w:name="_Toc382790602"/>
      <w:bookmarkStart w:id="124" w:name="_Toc89002035"/>
      <w:bookmarkStart w:id="125" w:name="_Toc121045958"/>
      <w:bookmarkStart w:id="126" w:name="_Toc203472140"/>
      <w:bookmarkStart w:id="127" w:name="_Toc204400434"/>
      <w:bookmarkStart w:id="128" w:name="_Toc245087581"/>
      <w:bookmarkStart w:id="129" w:name="_Toc267476503"/>
      <w:bookmarkStart w:id="130" w:name="_Toc323644393"/>
      <w:bookmarkStart w:id="131" w:name="_Toc332203309"/>
      <w:bookmarkStart w:id="132" w:name="_Toc334166433"/>
      <w:bookmarkStart w:id="133" w:name="_Toc392658345"/>
      <w:bookmarkStart w:id="134" w:name="_Toc405796296"/>
      <w:bookmarkStart w:id="135" w:name="_Toc421862602"/>
      <w:r>
        <w:t>5</w:t>
      </w:r>
      <w:r>
        <w:tab/>
      </w:r>
      <w:r w:rsidR="00234FCD" w:rsidRPr="00D321A7">
        <w:t>Conventions</w:t>
      </w:r>
      <w:bookmarkEnd w:id="123"/>
      <w:bookmarkEnd w:id="124"/>
      <w:bookmarkEnd w:id="125"/>
      <w:bookmarkEnd w:id="126"/>
      <w:bookmarkEnd w:id="127"/>
      <w:bookmarkEnd w:id="128"/>
      <w:bookmarkEnd w:id="129"/>
      <w:bookmarkEnd w:id="130"/>
      <w:bookmarkEnd w:id="131"/>
      <w:bookmarkEnd w:id="132"/>
      <w:bookmarkEnd w:id="133"/>
      <w:bookmarkEnd w:id="134"/>
      <w:bookmarkEnd w:id="135"/>
    </w:p>
    <w:p w:rsidR="00234FCD" w:rsidRPr="00D321A7" w:rsidRDefault="00234FCD" w:rsidP="00F635BE">
      <w:r w:rsidRPr="00D321A7">
        <w:t>For the purposes of this Recommendation | International Standard, relevant conventions are specified in clause 5 of Rec. ITU-T H.265 | ISO/IEC 23008-2.</w:t>
      </w:r>
    </w:p>
    <w:p w:rsidR="00234FCD" w:rsidRPr="00D321A7" w:rsidRDefault="00F635BE" w:rsidP="00F635BE">
      <w:pPr>
        <w:pStyle w:val="Heading1"/>
      </w:pPr>
      <w:bookmarkStart w:id="136" w:name="_Toc89002036"/>
      <w:bookmarkStart w:id="137" w:name="_Toc121045959"/>
      <w:bookmarkStart w:id="138" w:name="_Toc203472141"/>
      <w:bookmarkStart w:id="139" w:name="_Toc204400435"/>
      <w:bookmarkStart w:id="140" w:name="_Toc245087582"/>
      <w:bookmarkStart w:id="141" w:name="_Toc267476504"/>
      <w:bookmarkStart w:id="142" w:name="_Toc323644394"/>
      <w:bookmarkStart w:id="143" w:name="_Toc332203310"/>
      <w:bookmarkStart w:id="144" w:name="_Toc334166434"/>
      <w:bookmarkStart w:id="145" w:name="_Toc392658346"/>
      <w:bookmarkStart w:id="146" w:name="_Toc405796297"/>
      <w:bookmarkStart w:id="147" w:name="_Toc421862603"/>
      <w:r>
        <w:t>6</w:t>
      </w:r>
      <w:r>
        <w:tab/>
      </w:r>
      <w:r w:rsidR="00234FCD" w:rsidRPr="00D321A7">
        <w:t>Reference software for Rec. ITU-T H.265 | ISO/IEC </w:t>
      </w:r>
      <w:bookmarkEnd w:id="136"/>
      <w:bookmarkEnd w:id="137"/>
      <w:bookmarkEnd w:id="138"/>
      <w:bookmarkEnd w:id="139"/>
      <w:bookmarkEnd w:id="140"/>
      <w:bookmarkEnd w:id="141"/>
      <w:bookmarkEnd w:id="142"/>
      <w:bookmarkEnd w:id="143"/>
      <w:bookmarkEnd w:id="144"/>
      <w:r w:rsidR="00234FCD" w:rsidRPr="00D321A7">
        <w:t>23008-2</w:t>
      </w:r>
      <w:bookmarkEnd w:id="145"/>
      <w:bookmarkEnd w:id="146"/>
      <w:bookmarkEnd w:id="147"/>
    </w:p>
    <w:p w:rsidR="00234FCD" w:rsidRPr="00D321A7" w:rsidRDefault="00234FCD" w:rsidP="00F635BE">
      <w:r w:rsidRPr="00D321A7">
        <w:t>The reference software for Rec. ITU-T H.265 | ISO/IEC 23008-2 is found in the electronic attachment to this Recommendation | International Standard.</w:t>
      </w:r>
    </w:p>
    <w:p w:rsidR="00234FCD" w:rsidRPr="00D321A7" w:rsidRDefault="00234FCD" w:rsidP="00F635BE">
      <w:r w:rsidRPr="00D321A7">
        <w:t>The attached software package contains one part:</w:t>
      </w:r>
    </w:p>
    <w:p w:rsidR="00234FCD" w:rsidRPr="00D321A7" w:rsidRDefault="00234FCD" w:rsidP="00234FCD">
      <w:pPr>
        <w:pStyle w:val="enumlev1"/>
      </w:pPr>
      <w:r w:rsidRPr="00D321A7">
        <w:t>–</w:t>
      </w:r>
      <w:r w:rsidRPr="00D321A7">
        <w:tab/>
        <w:t>HM software: Support for the Main, Main 10, and Main Still Picture profiles.</w:t>
      </w:r>
    </w:p>
    <w:p w:rsidR="00233582" w:rsidRDefault="00233582" w:rsidP="00234FCD"/>
    <w:p w:rsidR="004E76CA" w:rsidRDefault="004E76CA" w:rsidP="00234FCD">
      <w:pPr>
        <w:sectPr w:rsidR="004E76CA" w:rsidSect="003337C6">
          <w:headerReference w:type="even" r:id="rId22"/>
          <w:type w:val="oddPage"/>
          <w:pgSz w:w="11907" w:h="16834" w:code="9"/>
          <w:pgMar w:top="1134" w:right="1134" w:bottom="1134" w:left="1134" w:header="567" w:footer="567" w:gutter="0"/>
          <w:paperSrc w:first="15" w:other="15"/>
          <w:pgNumType w:start="1"/>
          <w:cols w:space="720"/>
          <w:docGrid w:linePitch="326"/>
        </w:sectPr>
      </w:pPr>
    </w:p>
    <w:p w:rsidR="004E76CA" w:rsidRDefault="004E76CA">
      <w:pPr>
        <w:tabs>
          <w:tab w:val="clear" w:pos="794"/>
          <w:tab w:val="clear" w:pos="1191"/>
          <w:tab w:val="clear" w:pos="1588"/>
          <w:tab w:val="clear" w:pos="1985"/>
        </w:tabs>
        <w:overflowPunct/>
        <w:autoSpaceDE/>
        <w:autoSpaceDN/>
        <w:adjustRightInd/>
        <w:spacing w:before="0"/>
        <w:jc w:val="left"/>
        <w:textAlignment w:val="auto"/>
      </w:pPr>
      <w:bookmarkStart w:id="148" w:name="c3tope"/>
      <w:bookmarkEnd w:id="148"/>
    </w:p>
    <w:p w:rsidR="004E76CA" w:rsidRDefault="004E76CA">
      <w:pPr>
        <w:tabs>
          <w:tab w:val="clear" w:pos="794"/>
          <w:tab w:val="clear" w:pos="1191"/>
          <w:tab w:val="clear" w:pos="1588"/>
          <w:tab w:val="clear" w:pos="1985"/>
        </w:tabs>
        <w:overflowPunct/>
        <w:autoSpaceDE/>
        <w:autoSpaceDN/>
        <w:adjustRightInd/>
        <w:spacing w:before="0"/>
        <w:jc w:val="left"/>
        <w:textAlignment w:val="auto"/>
      </w:pPr>
    </w:p>
    <w:p w:rsidR="004E76CA" w:rsidRDefault="008D6E57" w:rsidP="004E76CA">
      <w:pPr>
        <w:sectPr w:rsidR="004E76CA" w:rsidSect="004E76CA">
          <w:headerReference w:type="even" r:id="rId23"/>
          <w:headerReference w:type="default" r:id="rId24"/>
          <w:footerReference w:type="even" r:id="rId25"/>
          <w:footerReference w:type="default" r:id="rId26"/>
          <w:type w:val="oddPage"/>
          <w:pgSz w:w="11907" w:h="16834" w:code="9"/>
          <w:pgMar w:top="1134" w:right="1134" w:bottom="1134" w:left="1134" w:header="482" w:footer="482" w:gutter="0"/>
          <w:paperSrc w:first="15" w:other="15"/>
          <w:cols w:space="720"/>
          <w:docGrid w:linePitch="326"/>
        </w:sectPr>
      </w:pPr>
      <w:r>
        <w:rPr>
          <w:noProof/>
          <w:lang w:val="en-US" w:eastAsia="zh-CN"/>
        </w:rPr>
        <mc:AlternateContent>
          <mc:Choice Requires="wps">
            <w:drawing>
              <wp:anchor distT="0" distB="0" distL="0" distR="0" simplePos="0" relativeHeight="251658240" behindDoc="1" locked="0" layoutInCell="1" allowOverlap="1" wp14:anchorId="60683709" wp14:editId="19142BA3">
                <wp:simplePos x="0" y="0"/>
                <wp:positionH relativeFrom="margin">
                  <wp:posOffset>359410</wp:posOffset>
                </wp:positionH>
                <wp:positionV relativeFrom="margin">
                  <wp:posOffset>1925955</wp:posOffset>
                </wp:positionV>
                <wp:extent cx="5400040" cy="5400040"/>
                <wp:effectExtent l="6985" t="11430" r="12700" b="825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400040"/>
                        </a:xfrm>
                        <a:prstGeom prst="rect">
                          <a:avLst/>
                        </a:prstGeom>
                        <a:noFill/>
                        <a:ln w="6350">
                          <a:solidFill>
                            <a:srgbClr val="80808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798E7" id="Rectangle 2" o:spid="_x0000_s1026" style="position:absolute;margin-left:28.3pt;margin-top:151.65pt;width:425.2pt;height:425.2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" filled="f" strokecolor="gray" strokeweight=".5pt">
                <v:stroke dashstyle="1 1"/>
                <w10:wrap anchorx="margin" anchory="margin"/>
              </v:rect>
            </w:pict>
          </mc:Fallback>
        </mc:AlternateContent>
      </w:r>
    </w:p>
    <w:p w:rsidR="004E76CA" w:rsidRDefault="004E76CA">
      <w:pPr>
        <w:tabs>
          <w:tab w:val="clear" w:pos="794"/>
          <w:tab w:val="clear" w:pos="1191"/>
          <w:tab w:val="clear" w:pos="1588"/>
          <w:tab w:val="clear" w:pos="1985"/>
        </w:tabs>
        <w:overflowPunct/>
        <w:autoSpaceDE/>
        <w:autoSpaceDN/>
        <w:adjustRightInd/>
        <w:spacing w:before="0"/>
        <w:jc w:val="left"/>
        <w:textAlignment w:val="auto"/>
      </w:pPr>
      <w:bookmarkStart w:id="149" w:name="cov4top"/>
      <w:bookmarkEnd w:id="149"/>
    </w:p>
    <w:tbl>
      <w:tblPr>
        <w:tblW w:w="0" w:type="auto"/>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1229"/>
        <w:gridCol w:w="8454"/>
      </w:tblGrid>
      <w:tr w:rsidR="004E76CA" w:rsidTr="00F103C6">
        <w:tc>
          <w:tcPr>
            <w:tcW w:w="9945" w:type="dxa"/>
            <w:gridSpan w:val="2"/>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150" w:name="c4seriee"/>
            <w:bookmarkEnd w:id="150"/>
            <w:r w:rsidRPr="004E76CA">
              <w:rPr>
                <w:sz w:val="22"/>
              </w:rPr>
              <w:t>Series A</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Organization of the work of ITU-T</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D</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General tariff principles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E</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Overall network operation, telephone service, service operation and human factors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F</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Non-telephone telecommunication services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G</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Transmission systems and media, digital systems and networks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4E76CA">
              <w:rPr>
                <w:b/>
                <w:sz w:val="22"/>
              </w:rPr>
              <w:t>Series H</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b/>
                <w:sz w:val="22"/>
              </w:rPr>
            </w:pPr>
            <w:r w:rsidRPr="004E76CA">
              <w:rPr>
                <w:b/>
                <w:sz w:val="22"/>
              </w:rPr>
              <w:t>Audiovisual and multimedia systems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I</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Integrated services digital network</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J</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Cable networks and transmission of television, sound programme and other multimedia signals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K</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Protection against interference</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L</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Construction, installation and protection of cables and other elements of outside plant</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M</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Telecommunication management, including TMN and network maintenance</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N</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Maintenance: international sound programme and television transmission circuits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O</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Specifications of measuring equipment</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P</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Terminals and subjective and objective assessment methods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Q</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Switching and signalling</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R</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Telegraph transmission</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S</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Telegraph services terminal equipment</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T</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Terminals for telematic services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U</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Telegraph switching</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V</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Data communication over the telephone network</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X</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Data networks, open system communications and security</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Y</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Global information infrastructure, Internet protocol aspects and next-generation networks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E76CA">
              <w:rPr>
                <w:sz w:val="22"/>
              </w:rPr>
              <w:t>Series Z</w:t>
            </w: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r w:rsidRPr="004E76CA">
              <w:rPr>
                <w:sz w:val="22"/>
              </w:rPr>
              <w:t>Languages and general software aspects for telecommunication systems</w:t>
            </w:r>
          </w:p>
        </w:tc>
      </w:tr>
      <w:tr w:rsidR="004E76CA" w:rsidTr="004E76CA">
        <w:tc>
          <w:tcPr>
            <w:tcW w:w="1241"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973" w:type="dxa"/>
            <w:shd w:val="clear" w:color="auto" w:fill="auto"/>
          </w:tcPr>
          <w:p w:rsidR="004E76CA" w:rsidRPr="004E76CA" w:rsidRDefault="004E76CA" w:rsidP="004E76CA">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rsidR="004E76CA" w:rsidRPr="004E76CA" w:rsidRDefault="004E76CA" w:rsidP="004E76CA">
      <w:pPr>
        <w:tabs>
          <w:tab w:val="clear" w:pos="794"/>
          <w:tab w:val="clear" w:pos="1191"/>
          <w:tab w:val="clear" w:pos="1588"/>
          <w:tab w:val="clear" w:pos="1985"/>
        </w:tabs>
        <w:overflowPunct/>
        <w:autoSpaceDE/>
        <w:autoSpaceDN/>
        <w:adjustRightInd/>
        <w:spacing w:before="0"/>
        <w:jc w:val="right"/>
        <w:textAlignment w:val="auto"/>
        <w:rPr>
          <w:sz w:val="104"/>
        </w:rPr>
      </w:pPr>
    </w:p>
    <w:p w:rsidR="004E76CA" w:rsidRPr="00234FCD" w:rsidRDefault="004E76CA" w:rsidP="004E76CA"/>
    <w:sectPr w:rsidR="004E76CA" w:rsidRPr="00234FCD" w:rsidSect="004E76CA">
      <w:headerReference w:type="even" r:id="rId27"/>
      <w:headerReference w:type="default" r:id="rId28"/>
      <w:footerReference w:type="even" r:id="rId29"/>
      <w:footerReference w:type="default" r:id="rId30"/>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DF0" w:rsidRDefault="00785DF0">
      <w:r>
        <w:separator/>
      </w:r>
    </w:p>
  </w:endnote>
  <w:endnote w:type="continuationSeparator" w:id="0">
    <w:p w:rsidR="00785DF0" w:rsidRDefault="0078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39T36Lfz">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582" w:rsidRPr="00E466D9" w:rsidRDefault="00E466D9" w:rsidP="00E466D9">
    <w:pPr>
      <w:pStyle w:val="FooterQP"/>
      <w:rPr>
        <w:b w:val="0"/>
        <w:lang w:val="fr-CH"/>
      </w:rPr>
    </w:pPr>
    <w:r>
      <w:rPr>
        <w:b w:val="0"/>
      </w:rPr>
      <w:fldChar w:fldCharType="begin"/>
    </w:r>
    <w:r w:rsidRPr="00E466D9">
      <w:rPr>
        <w:b w:val="0"/>
        <w:lang w:val="fr-CH"/>
      </w:rPr>
      <w:instrText xml:space="preserve"> PAGE  \* MERGEFORMAT </w:instrText>
    </w:r>
    <w:r>
      <w:rPr>
        <w:b w:val="0"/>
      </w:rPr>
      <w:fldChar w:fldCharType="separate"/>
    </w:r>
    <w:r w:rsidR="00371EAE">
      <w:rPr>
        <w:b w:val="0"/>
        <w:noProof/>
        <w:lang w:val="fr-CH"/>
      </w:rPr>
      <w:t>2</w:t>
    </w:r>
    <w:r>
      <w:rPr>
        <w:b w:val="0"/>
      </w:rPr>
      <w:fldChar w:fldCharType="end"/>
    </w:r>
    <w:r w:rsidRPr="00E466D9">
      <w:rPr>
        <w:lang w:val="fr-CH"/>
      </w:rPr>
      <w:tab/>
      <w:t>Rec. ITU</w:t>
    </w:r>
    <w:r w:rsidRPr="00E466D9">
      <w:rPr>
        <w:lang w:val="fr-CH"/>
      </w:rPr>
      <w:noBreakHyphen/>
      <w:t>T H.265.2</w:t>
    </w:r>
    <w:r>
      <w:rPr>
        <w:lang w:val="fr-CH"/>
      </w:rPr>
      <w:t xml:space="preserve"> (10/2014)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582" w:rsidRPr="00E466D9" w:rsidRDefault="00E466D9" w:rsidP="00E466D9">
    <w:pPr>
      <w:pStyle w:val="FooterQP"/>
      <w:rPr>
        <w:b w:val="0"/>
      </w:rPr>
    </w:pPr>
    <w:r>
      <w:tab/>
    </w:r>
    <w:r>
      <w:tab/>
      <w:t>Rec. ITU</w:t>
    </w:r>
    <w:r>
      <w:noBreakHyphen/>
      <w:t>T H.265.2 (10/2014)</w:t>
    </w:r>
    <w:r>
      <w:tab/>
    </w:r>
    <w:r>
      <w:rPr>
        <w:b w:val="0"/>
      </w:rPr>
      <w:fldChar w:fldCharType="begin"/>
    </w:r>
    <w:r>
      <w:rPr>
        <w:b w:val="0"/>
      </w:rPr>
      <w:instrText xml:space="preserve"> PAGE  \* MERGEFORMAT </w:instrText>
    </w:r>
    <w:r>
      <w:rPr>
        <w:b w:val="0"/>
      </w:rPr>
      <w:fldChar w:fldCharType="separate"/>
    </w:r>
    <w:r w:rsidR="00371EAE">
      <w:rPr>
        <w:b w:val="0"/>
        <w:noProof/>
      </w:rPr>
      <w:t>1</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582" w:rsidRDefault="0023358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6CA" w:rsidRPr="004E76CA" w:rsidRDefault="004E76CA" w:rsidP="004E76C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6CA" w:rsidRPr="004E76CA" w:rsidRDefault="004E76CA" w:rsidP="004E76C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6CA" w:rsidRDefault="004E76CA" w:rsidP="004E76CA">
    <w:pPr>
      <w:pStyle w:val="FooterQP"/>
      <w:jc w:val="right"/>
      <w:rPr>
        <w:rFonts w:ascii="Arial" w:hAnsi="Arial" w:cs="Arial"/>
        <w:b w:val="0"/>
        <w:sz w:val="22"/>
      </w:rPr>
    </w:pPr>
    <w:r>
      <w:rPr>
        <w:rFonts w:ascii="Arial" w:hAnsi="Arial" w:cs="Arial"/>
        <w:b w:val="0"/>
        <w:sz w:val="22"/>
      </w:rPr>
      <w:t>Printed in Switzerland</w:t>
    </w:r>
  </w:p>
  <w:p w:rsidR="004E76CA" w:rsidRPr="004E76CA" w:rsidRDefault="004E76CA" w:rsidP="0051783F">
    <w:pPr>
      <w:pStyle w:val="FooterQP"/>
      <w:jc w:val="right"/>
      <w:rPr>
        <w:rFonts w:ascii="Arial" w:hAnsi="Arial" w:cs="Arial"/>
        <w:b w:val="0"/>
        <w:sz w:val="22"/>
      </w:rPr>
    </w:pPr>
    <w:r>
      <w:rPr>
        <w:rFonts w:ascii="Arial" w:hAnsi="Arial" w:cs="Arial"/>
        <w:b w:val="0"/>
        <w:sz w:val="22"/>
      </w:rPr>
      <w:t>Geneva, 201</w:t>
    </w:r>
    <w:r w:rsidR="0051783F">
      <w:rPr>
        <w:rFonts w:ascii="Arial" w:hAnsi="Arial" w:cs="Arial"/>
        <w:b w:val="0"/>
        <w:sz w:val="22"/>
      </w:rPr>
      <w:t>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6CA" w:rsidRDefault="004E76CA" w:rsidP="004E76CA">
    <w:pPr>
      <w:pStyle w:val="FooterQP"/>
      <w:jc w:val="right"/>
      <w:rPr>
        <w:rFonts w:ascii="Arial" w:hAnsi="Arial" w:cs="Arial"/>
        <w:b w:val="0"/>
        <w:sz w:val="22"/>
      </w:rPr>
    </w:pPr>
    <w:r>
      <w:rPr>
        <w:rFonts w:ascii="Arial" w:hAnsi="Arial" w:cs="Arial"/>
        <w:b w:val="0"/>
        <w:sz w:val="22"/>
      </w:rPr>
      <w:t>Printed in Switzerland</w:t>
    </w:r>
  </w:p>
  <w:p w:rsidR="004E76CA" w:rsidRPr="004E76CA" w:rsidRDefault="004E76CA" w:rsidP="004E76CA">
    <w:pPr>
      <w:pStyle w:val="FooterQP"/>
      <w:jc w:val="right"/>
      <w:rPr>
        <w:rFonts w:ascii="Arial" w:hAnsi="Arial" w:cs="Arial"/>
        <w:b w:val="0"/>
        <w:sz w:val="22"/>
      </w:rPr>
    </w:pPr>
    <w:r>
      <w:rPr>
        <w:rFonts w:ascii="Arial" w:hAnsi="Arial" w:cs="Arial"/>
        <w:b w:val="0"/>
        <w:sz w:val="22"/>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DF0" w:rsidRDefault="00785DF0">
      <w:r>
        <w:t>____________________</w:t>
      </w:r>
    </w:p>
  </w:footnote>
  <w:footnote w:type="continuationSeparator" w:id="0">
    <w:p w:rsidR="00785DF0" w:rsidRDefault="00785DF0">
      <w:r>
        <w:continuationSeparator/>
      </w:r>
    </w:p>
  </w:footnote>
  <w:footnote w:id="1">
    <w:p w:rsidR="00B47CE4" w:rsidRPr="00B47CE4" w:rsidRDefault="00B47CE4">
      <w:pPr>
        <w:pStyle w:val="FootnoteText"/>
      </w:pPr>
      <w:r>
        <w:rPr>
          <w:rStyle w:val="FootnoteReference"/>
        </w:rPr>
        <w:t>*</w:t>
      </w:r>
      <w:r>
        <w:rPr>
          <w:lang w:val="en-US"/>
        </w:rPr>
        <w:tab/>
      </w:r>
      <w:r w:rsidRPr="000A2623">
        <w:rPr>
          <w:lang w:val="en-US"/>
        </w:rPr>
        <w:t>To access the Recommendation, type the URL http://handle.itu.int/ in the address field of your web browser,</w:t>
      </w:r>
      <w:r w:rsidR="001A4181">
        <w:rPr>
          <w:lang w:val="en-US"/>
        </w:rPr>
        <w:t xml:space="preserve"> followed by the Recommendation'</w:t>
      </w:r>
      <w:r w:rsidRPr="000A2623">
        <w:rPr>
          <w:lang w:val="en-US"/>
        </w:rPr>
        <w:t xml:space="preserve">s unique ID. For example, </w:t>
      </w:r>
      <w:hyperlink r:id="rId1" w:history="1">
        <w:r w:rsidRPr="000A2623">
          <w:rPr>
            <w:rStyle w:val="Hyperlink"/>
            <w:lang w:val="en-US"/>
          </w:rPr>
          <w:t>http://handle.itu.int/11.1002/1000/11830-en</w:t>
        </w:r>
      </w:hyperlink>
      <w:r w:rsidRPr="000A2623">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582" w:rsidRDefault="00233582">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6CA" w:rsidRPr="004E76CA" w:rsidRDefault="004E76CA" w:rsidP="004E76C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6CA" w:rsidRPr="004E76CA" w:rsidRDefault="004E76CA" w:rsidP="004E76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582" w:rsidRDefault="00233582">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582" w:rsidRDefault="00233582">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582" w:rsidRDefault="00233582">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582" w:rsidRDefault="0023358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582" w:rsidRDefault="00233582">
    <w:pPr>
      <w:pStyle w:val="Header"/>
      <w:ind w:right="360"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582" w:rsidRDefault="0023358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6CA" w:rsidRPr="004E76CA" w:rsidRDefault="004E76CA" w:rsidP="004E76C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6CA" w:rsidRPr="004E76CA" w:rsidRDefault="004E76CA" w:rsidP="004E76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418F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FCD"/>
    <w:rsid w:val="000101EA"/>
    <w:rsid w:val="000209A8"/>
    <w:rsid w:val="00040F4C"/>
    <w:rsid w:val="00067760"/>
    <w:rsid w:val="000833A1"/>
    <w:rsid w:val="00096D02"/>
    <w:rsid w:val="000A2623"/>
    <w:rsid w:val="000C22B9"/>
    <w:rsid w:val="00113BC2"/>
    <w:rsid w:val="00120567"/>
    <w:rsid w:val="00130082"/>
    <w:rsid w:val="00194D0F"/>
    <w:rsid w:val="00197095"/>
    <w:rsid w:val="001A4181"/>
    <w:rsid w:val="001E3F61"/>
    <w:rsid w:val="001F2E77"/>
    <w:rsid w:val="00206978"/>
    <w:rsid w:val="00233582"/>
    <w:rsid w:val="00234FCD"/>
    <w:rsid w:val="002C5268"/>
    <w:rsid w:val="003172BB"/>
    <w:rsid w:val="00332BE7"/>
    <w:rsid w:val="003337C6"/>
    <w:rsid w:val="00352592"/>
    <w:rsid w:val="00371EAE"/>
    <w:rsid w:val="003C3CFE"/>
    <w:rsid w:val="003E03FD"/>
    <w:rsid w:val="004121C0"/>
    <w:rsid w:val="00414DE8"/>
    <w:rsid w:val="00465AB5"/>
    <w:rsid w:val="00486F9D"/>
    <w:rsid w:val="004E76CA"/>
    <w:rsid w:val="0051783F"/>
    <w:rsid w:val="00562829"/>
    <w:rsid w:val="005F32BF"/>
    <w:rsid w:val="00613FA3"/>
    <w:rsid w:val="006157BD"/>
    <w:rsid w:val="00631986"/>
    <w:rsid w:val="0069604F"/>
    <w:rsid w:val="007421A7"/>
    <w:rsid w:val="00785DF0"/>
    <w:rsid w:val="00787A7C"/>
    <w:rsid w:val="00792924"/>
    <w:rsid w:val="007C0527"/>
    <w:rsid w:val="00851D1C"/>
    <w:rsid w:val="00890FC4"/>
    <w:rsid w:val="008A5D2A"/>
    <w:rsid w:val="008D6E57"/>
    <w:rsid w:val="008F08E7"/>
    <w:rsid w:val="00922B4D"/>
    <w:rsid w:val="009348BA"/>
    <w:rsid w:val="009658C8"/>
    <w:rsid w:val="00993AA5"/>
    <w:rsid w:val="009B6CA5"/>
    <w:rsid w:val="009C4981"/>
    <w:rsid w:val="00A320C1"/>
    <w:rsid w:val="00A87200"/>
    <w:rsid w:val="00AB2C00"/>
    <w:rsid w:val="00B47CE4"/>
    <w:rsid w:val="00B67F4C"/>
    <w:rsid w:val="00B75648"/>
    <w:rsid w:val="00BA7A90"/>
    <w:rsid w:val="00BB43CE"/>
    <w:rsid w:val="00BB59C4"/>
    <w:rsid w:val="00C34057"/>
    <w:rsid w:val="00C35666"/>
    <w:rsid w:val="00C45CAD"/>
    <w:rsid w:val="00C6551D"/>
    <w:rsid w:val="00CB428C"/>
    <w:rsid w:val="00D04954"/>
    <w:rsid w:val="00D32A82"/>
    <w:rsid w:val="00DA4520"/>
    <w:rsid w:val="00E466D9"/>
    <w:rsid w:val="00F04CBE"/>
    <w:rsid w:val="00F635BE"/>
    <w:rsid w:val="00FC5A26"/>
    <w:rsid w:val="00FE5A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22766CBB-A09D-480E-B728-457D9ED7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F4C"/>
    <w:pPr>
      <w:tabs>
        <w:tab w:val="left" w:pos="794"/>
        <w:tab w:val="left" w:pos="1191"/>
        <w:tab w:val="left" w:pos="1588"/>
        <w:tab w:val="left" w:pos="1985"/>
      </w:tabs>
      <w:overflowPunct w:val="0"/>
      <w:autoSpaceDE w:val="0"/>
      <w:autoSpaceDN w:val="0"/>
      <w:adjustRightInd w:val="0"/>
      <w:spacing w:before="136"/>
      <w:jc w:val="both"/>
      <w:textAlignment w:val="baseline"/>
    </w:pPr>
    <w:rPr>
      <w:rFonts w:ascii="Times New Roman" w:hAnsi="Times New Roman"/>
      <w:lang w:val="en-GB" w:eastAsia="en-US"/>
    </w:rPr>
  </w:style>
  <w:style w:type="paragraph" w:styleId="Heading1">
    <w:name w:val="heading 1"/>
    <w:basedOn w:val="Normal"/>
    <w:next w:val="Normal"/>
    <w:qFormat/>
    <w:rsid w:val="00B67F4C"/>
    <w:pPr>
      <w:keepNext/>
      <w:keepLines/>
      <w:spacing w:before="480"/>
      <w:ind w:left="794" w:hanging="794"/>
      <w:jc w:val="left"/>
      <w:outlineLvl w:val="0"/>
    </w:pPr>
    <w:rPr>
      <w:b/>
      <w:sz w:val="24"/>
    </w:rPr>
  </w:style>
  <w:style w:type="paragraph" w:styleId="Heading2">
    <w:name w:val="heading 2"/>
    <w:basedOn w:val="Normal"/>
    <w:next w:val="Normal"/>
    <w:qFormat/>
    <w:rsid w:val="00B67F4C"/>
    <w:pPr>
      <w:keepNext/>
      <w:keepLines/>
      <w:spacing w:before="313"/>
      <w:ind w:left="794" w:hanging="794"/>
      <w:outlineLvl w:val="1"/>
    </w:pPr>
    <w:rPr>
      <w:b/>
      <w:sz w:val="22"/>
    </w:rPr>
  </w:style>
  <w:style w:type="paragraph" w:styleId="Heading3">
    <w:name w:val="heading 3"/>
    <w:basedOn w:val="Normal"/>
    <w:next w:val="Normal"/>
    <w:qFormat/>
    <w:rsid w:val="00B67F4C"/>
    <w:pPr>
      <w:keepNext/>
      <w:keepLines/>
      <w:spacing w:before="181"/>
      <w:ind w:left="794" w:hanging="794"/>
      <w:outlineLvl w:val="2"/>
    </w:pPr>
    <w:rPr>
      <w:b/>
    </w:rPr>
  </w:style>
  <w:style w:type="paragraph" w:styleId="Heading4">
    <w:name w:val="heading 4"/>
    <w:basedOn w:val="Heading3"/>
    <w:next w:val="Normal"/>
    <w:qFormat/>
    <w:rsid w:val="00B67F4C"/>
    <w:pPr>
      <w:outlineLvl w:val="3"/>
    </w:pPr>
  </w:style>
  <w:style w:type="paragraph" w:styleId="Heading5">
    <w:name w:val="heading 5"/>
    <w:basedOn w:val="Heading3"/>
    <w:next w:val="Normal"/>
    <w:qFormat/>
    <w:rsid w:val="00B67F4C"/>
    <w:pPr>
      <w:tabs>
        <w:tab w:val="clear" w:pos="794"/>
        <w:tab w:val="left" w:pos="907"/>
      </w:tabs>
      <w:ind w:left="907" w:hanging="907"/>
      <w:outlineLvl w:val="4"/>
    </w:pPr>
  </w:style>
  <w:style w:type="paragraph" w:styleId="Heading6">
    <w:name w:val="heading 6"/>
    <w:basedOn w:val="Heading3"/>
    <w:next w:val="Normal"/>
    <w:qFormat/>
    <w:rsid w:val="00B67F4C"/>
    <w:pPr>
      <w:outlineLvl w:val="5"/>
    </w:pPr>
  </w:style>
  <w:style w:type="paragraph" w:styleId="Heading7">
    <w:name w:val="heading 7"/>
    <w:basedOn w:val="Heading3"/>
    <w:next w:val="Normal"/>
    <w:qFormat/>
    <w:rsid w:val="00B67F4C"/>
    <w:pPr>
      <w:outlineLvl w:val="6"/>
    </w:pPr>
  </w:style>
  <w:style w:type="paragraph" w:styleId="Heading8">
    <w:name w:val="heading 8"/>
    <w:basedOn w:val="Heading9"/>
    <w:next w:val="Normal"/>
    <w:qFormat/>
    <w:rsid w:val="00B67F4C"/>
    <w:pPr>
      <w:outlineLvl w:val="7"/>
    </w:pPr>
  </w:style>
  <w:style w:type="paragraph" w:styleId="Heading9">
    <w:name w:val="heading 9"/>
    <w:basedOn w:val="Heading1"/>
    <w:next w:val="Normal"/>
    <w:qFormat/>
    <w:rsid w:val="00B67F4C"/>
    <w:pPr>
      <w:tabs>
        <w:tab w:val="clear" w:pos="794"/>
        <w:tab w:val="clear" w:pos="1191"/>
        <w:tab w:val="clear" w:pos="1588"/>
        <w:tab w:val="clear" w:pos="1985"/>
      </w:tabs>
      <w:ind w:left="0" w:firstLine="0"/>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B67F4C"/>
    <w:pPr>
      <w:tabs>
        <w:tab w:val="left" w:pos="7711"/>
        <w:tab w:val="right" w:leader="dot" w:pos="9725"/>
      </w:tabs>
      <w:spacing w:before="0"/>
      <w:ind w:left="6350"/>
    </w:pPr>
  </w:style>
  <w:style w:type="paragraph" w:styleId="TOC4">
    <w:name w:val="toc 4"/>
    <w:basedOn w:val="TOC3"/>
    <w:next w:val="TOC5"/>
    <w:semiHidden/>
    <w:rsid w:val="00B67F4C"/>
    <w:pPr>
      <w:tabs>
        <w:tab w:val="clear" w:pos="1843"/>
        <w:tab w:val="left" w:pos="2694"/>
      </w:tabs>
      <w:ind w:left="2694" w:hanging="851"/>
    </w:pPr>
  </w:style>
  <w:style w:type="paragraph" w:styleId="TOC3">
    <w:name w:val="toc 3"/>
    <w:basedOn w:val="Normal"/>
    <w:next w:val="Normal"/>
    <w:semiHidden/>
    <w:rsid w:val="00B67F4C"/>
    <w:pPr>
      <w:tabs>
        <w:tab w:val="clear" w:pos="794"/>
        <w:tab w:val="clear" w:pos="1191"/>
        <w:tab w:val="clear" w:pos="1588"/>
        <w:tab w:val="clear" w:pos="1985"/>
        <w:tab w:val="left" w:pos="1843"/>
        <w:tab w:val="right" w:leader="dot" w:pos="9072"/>
        <w:tab w:val="right" w:pos="9639"/>
      </w:tabs>
      <w:spacing w:before="0"/>
      <w:ind w:left="1843" w:right="567" w:hanging="709"/>
    </w:pPr>
  </w:style>
  <w:style w:type="paragraph" w:styleId="TOC5">
    <w:name w:val="toc 5"/>
    <w:basedOn w:val="TOC3"/>
    <w:semiHidden/>
    <w:rsid w:val="00B67F4C"/>
    <w:pPr>
      <w:tabs>
        <w:tab w:val="left" w:pos="3969"/>
        <w:tab w:val="left" w:leader="dot" w:pos="9072"/>
      </w:tabs>
      <w:ind w:left="3969" w:right="652" w:hanging="1021"/>
    </w:pPr>
  </w:style>
  <w:style w:type="paragraph" w:styleId="TOC2">
    <w:name w:val="toc 2"/>
    <w:basedOn w:val="TOC1"/>
    <w:next w:val="TOC3"/>
    <w:uiPriority w:val="39"/>
    <w:rsid w:val="00B67F4C"/>
    <w:pPr>
      <w:tabs>
        <w:tab w:val="clear" w:pos="567"/>
        <w:tab w:val="left" w:pos="1134"/>
      </w:tabs>
      <w:spacing w:before="29"/>
      <w:ind w:left="1134" w:hanging="567"/>
    </w:pPr>
  </w:style>
  <w:style w:type="paragraph" w:styleId="TOC1">
    <w:name w:val="toc 1"/>
    <w:basedOn w:val="Normal"/>
    <w:next w:val="TOC2"/>
    <w:uiPriority w:val="39"/>
    <w:rsid w:val="00B67F4C"/>
    <w:pPr>
      <w:tabs>
        <w:tab w:val="clear" w:pos="794"/>
        <w:tab w:val="clear" w:pos="1191"/>
        <w:tab w:val="clear" w:pos="1588"/>
        <w:tab w:val="clear" w:pos="1985"/>
        <w:tab w:val="left" w:pos="567"/>
        <w:tab w:val="right" w:leader="dot" w:pos="9072"/>
        <w:tab w:val="right" w:pos="9639"/>
      </w:tabs>
      <w:spacing w:before="86"/>
      <w:ind w:left="851" w:right="567" w:hanging="851"/>
    </w:pPr>
  </w:style>
  <w:style w:type="paragraph" w:styleId="TOC7">
    <w:name w:val="toc 7"/>
    <w:basedOn w:val="TOC3"/>
    <w:semiHidden/>
    <w:rsid w:val="00B67F4C"/>
    <w:pPr>
      <w:tabs>
        <w:tab w:val="left" w:pos="6350"/>
        <w:tab w:val="right" w:leader="dot" w:pos="9725"/>
      </w:tabs>
      <w:ind w:left="6350" w:right="652" w:hanging="1247"/>
    </w:pPr>
  </w:style>
  <w:style w:type="paragraph" w:styleId="TOC6">
    <w:name w:val="toc 6"/>
    <w:basedOn w:val="TOC3"/>
    <w:semiHidden/>
    <w:rsid w:val="00B67F4C"/>
    <w:pPr>
      <w:tabs>
        <w:tab w:val="left" w:pos="5104"/>
        <w:tab w:val="left" w:leader="dot" w:pos="9072"/>
      </w:tabs>
      <w:ind w:left="5103" w:right="652" w:hanging="1134"/>
    </w:pPr>
  </w:style>
  <w:style w:type="paragraph" w:styleId="Footer">
    <w:name w:val="footer"/>
    <w:basedOn w:val="Normal"/>
    <w:rsid w:val="00B67F4C"/>
    <w:pPr>
      <w:tabs>
        <w:tab w:val="clear" w:pos="794"/>
        <w:tab w:val="clear" w:pos="1191"/>
        <w:tab w:val="clear" w:pos="1588"/>
        <w:tab w:val="clear" w:pos="1985"/>
        <w:tab w:val="left" w:pos="907"/>
        <w:tab w:val="right" w:pos="8789"/>
        <w:tab w:val="right" w:pos="9725"/>
      </w:tabs>
      <w:jc w:val="left"/>
    </w:pPr>
    <w:rPr>
      <w:b/>
    </w:rPr>
  </w:style>
  <w:style w:type="paragraph" w:styleId="Header">
    <w:name w:val="header"/>
    <w:basedOn w:val="Normal"/>
    <w:rsid w:val="00B67F4C"/>
    <w:pPr>
      <w:tabs>
        <w:tab w:val="clear" w:pos="794"/>
        <w:tab w:val="clear" w:pos="1191"/>
        <w:tab w:val="clear" w:pos="1588"/>
        <w:tab w:val="clear" w:pos="1985"/>
        <w:tab w:val="left" w:pos="907"/>
        <w:tab w:val="center" w:pos="4849"/>
        <w:tab w:val="right" w:pos="9725"/>
      </w:tabs>
    </w:pPr>
  </w:style>
  <w:style w:type="character" w:styleId="FootnoteReference">
    <w:name w:val="footnote reference"/>
    <w:basedOn w:val="DefaultParagraphFont"/>
    <w:semiHidden/>
    <w:rsid w:val="00B67F4C"/>
    <w:rPr>
      <w:position w:val="6"/>
      <w:sz w:val="16"/>
    </w:rPr>
  </w:style>
  <w:style w:type="paragraph" w:styleId="FootnoteText">
    <w:name w:val="footnote text"/>
    <w:basedOn w:val="Normal"/>
    <w:semiHidden/>
    <w:rsid w:val="00B67F4C"/>
    <w:pPr>
      <w:tabs>
        <w:tab w:val="left" w:pos="256"/>
      </w:tabs>
    </w:pPr>
    <w:rPr>
      <w:sz w:val="18"/>
    </w:rPr>
  </w:style>
  <w:style w:type="paragraph" w:customStyle="1" w:styleId="Note">
    <w:name w:val="Note"/>
    <w:basedOn w:val="Normal"/>
    <w:rsid w:val="00B67F4C"/>
    <w:pPr>
      <w:spacing w:before="80"/>
    </w:pPr>
    <w:rPr>
      <w:sz w:val="22"/>
    </w:rPr>
  </w:style>
  <w:style w:type="paragraph" w:customStyle="1" w:styleId="enumlev1">
    <w:name w:val="enumlev1"/>
    <w:basedOn w:val="Normal"/>
    <w:rsid w:val="00B67F4C"/>
    <w:pPr>
      <w:spacing w:before="86"/>
      <w:ind w:left="1191" w:hanging="397"/>
    </w:pPr>
  </w:style>
  <w:style w:type="paragraph" w:customStyle="1" w:styleId="enumlev2">
    <w:name w:val="enumlev2"/>
    <w:basedOn w:val="enumlev1"/>
    <w:rsid w:val="00B67F4C"/>
    <w:pPr>
      <w:ind w:left="1588"/>
    </w:pPr>
  </w:style>
  <w:style w:type="paragraph" w:customStyle="1" w:styleId="enumlev3">
    <w:name w:val="enumlev3"/>
    <w:basedOn w:val="enumlev2"/>
    <w:rsid w:val="00B67F4C"/>
    <w:pPr>
      <w:ind w:left="1985"/>
    </w:pPr>
  </w:style>
  <w:style w:type="paragraph" w:customStyle="1" w:styleId="Equation">
    <w:name w:val="Equation"/>
    <w:basedOn w:val="Normal"/>
    <w:rsid w:val="00B67F4C"/>
    <w:pPr>
      <w:tabs>
        <w:tab w:val="clear" w:pos="1191"/>
        <w:tab w:val="clear" w:pos="1985"/>
        <w:tab w:val="center" w:pos="4849"/>
        <w:tab w:val="right" w:pos="9696"/>
      </w:tabs>
      <w:spacing w:before="193" w:after="240"/>
      <w:jc w:val="left"/>
    </w:pPr>
    <w:rPr>
      <w:sz w:val="22"/>
    </w:rPr>
  </w:style>
  <w:style w:type="paragraph" w:customStyle="1" w:styleId="toc0">
    <w:name w:val="toc 0"/>
    <w:basedOn w:val="TOC1"/>
    <w:next w:val="TOC1"/>
    <w:rsid w:val="00B67F4C"/>
    <w:pPr>
      <w:tabs>
        <w:tab w:val="clear" w:pos="567"/>
        <w:tab w:val="clear" w:pos="9072"/>
      </w:tabs>
      <w:spacing w:before="120"/>
      <w:ind w:left="0" w:right="0" w:firstLine="0"/>
      <w:jc w:val="right"/>
    </w:pPr>
    <w:rPr>
      <w:i/>
    </w:rPr>
  </w:style>
  <w:style w:type="paragraph" w:customStyle="1" w:styleId="ASN1">
    <w:name w:val="ASN.1"/>
    <w:basedOn w:val="Formal"/>
    <w:rsid w:val="00B67F4C"/>
    <w:rPr>
      <w:b/>
      <w:bCs/>
    </w:rPr>
  </w:style>
  <w:style w:type="paragraph" w:styleId="TOC9">
    <w:name w:val="toc 9"/>
    <w:basedOn w:val="TOC3"/>
    <w:semiHidden/>
    <w:rsid w:val="00B67F4C"/>
  </w:style>
  <w:style w:type="paragraph" w:customStyle="1" w:styleId="Chaptitle">
    <w:name w:val="Chap_title"/>
    <w:basedOn w:val="Normal"/>
    <w:next w:val="Normalaftertitle"/>
    <w:rsid w:val="00B67F4C"/>
    <w:pPr>
      <w:keepNext/>
      <w:keepLines/>
      <w:spacing w:before="240"/>
      <w:jc w:val="center"/>
    </w:pPr>
    <w:rPr>
      <w:b/>
      <w:sz w:val="28"/>
    </w:rPr>
  </w:style>
  <w:style w:type="paragraph" w:customStyle="1" w:styleId="Normalaftertitle">
    <w:name w:val="Normal_after_title"/>
    <w:basedOn w:val="Normal"/>
    <w:rsid w:val="00B67F4C"/>
    <w:pPr>
      <w:spacing w:before="480"/>
    </w:pPr>
  </w:style>
  <w:style w:type="character" w:styleId="PageNumber">
    <w:name w:val="page number"/>
    <w:basedOn w:val="DefaultParagraphFont"/>
    <w:rsid w:val="00B67F4C"/>
  </w:style>
  <w:style w:type="paragraph" w:styleId="Index1">
    <w:name w:val="index 1"/>
    <w:basedOn w:val="Normal"/>
    <w:next w:val="Normal"/>
    <w:semiHidden/>
    <w:rsid w:val="00B67F4C"/>
    <w:pPr>
      <w:jc w:val="left"/>
    </w:pPr>
  </w:style>
  <w:style w:type="paragraph" w:customStyle="1" w:styleId="AnnexNoTitle">
    <w:name w:val="Annex_NoTitle"/>
    <w:basedOn w:val="Normal"/>
    <w:next w:val="Normalaftertitle"/>
    <w:rsid w:val="00B67F4C"/>
    <w:pPr>
      <w:keepNext/>
      <w:keepLines/>
      <w:spacing w:before="720"/>
      <w:jc w:val="center"/>
    </w:pPr>
    <w:rPr>
      <w:b/>
      <w:sz w:val="24"/>
    </w:rPr>
  </w:style>
  <w:style w:type="character" w:customStyle="1" w:styleId="Appdef">
    <w:name w:val="App_def"/>
    <w:basedOn w:val="DefaultParagraphFont"/>
    <w:rsid w:val="00B67F4C"/>
    <w:rPr>
      <w:rFonts w:ascii="Times New Roman" w:hAnsi="Times New Roman"/>
      <w:b/>
    </w:rPr>
  </w:style>
  <w:style w:type="character" w:customStyle="1" w:styleId="Appref">
    <w:name w:val="App_ref"/>
    <w:basedOn w:val="DefaultParagraphFont"/>
    <w:rsid w:val="00B67F4C"/>
  </w:style>
  <w:style w:type="paragraph" w:customStyle="1" w:styleId="AppendixNoTitle">
    <w:name w:val="Appendix_NoTitle"/>
    <w:basedOn w:val="AnnexNoTitle"/>
    <w:next w:val="Normalaftertitle"/>
    <w:rsid w:val="00BA7A90"/>
    <w:pPr>
      <w:outlineLvl w:val="0"/>
    </w:pPr>
  </w:style>
  <w:style w:type="character" w:customStyle="1" w:styleId="Artdef">
    <w:name w:val="Art_def"/>
    <w:basedOn w:val="DefaultParagraphFont"/>
    <w:rsid w:val="00B67F4C"/>
    <w:rPr>
      <w:rFonts w:ascii="Times New Roman" w:hAnsi="Times New Roman"/>
      <w:b/>
    </w:rPr>
  </w:style>
  <w:style w:type="character" w:styleId="CommentReference">
    <w:name w:val="annotation reference"/>
    <w:basedOn w:val="DefaultParagraphFont"/>
    <w:semiHidden/>
    <w:rsid w:val="00B67F4C"/>
    <w:rPr>
      <w:sz w:val="16"/>
    </w:rPr>
  </w:style>
  <w:style w:type="paragraph" w:customStyle="1" w:styleId="Reftitle">
    <w:name w:val="Ref_title"/>
    <w:basedOn w:val="Heading1"/>
    <w:next w:val="Reftext"/>
    <w:rsid w:val="00B67F4C"/>
    <w:pPr>
      <w:ind w:left="0" w:firstLine="0"/>
      <w:outlineLvl w:val="9"/>
    </w:pPr>
  </w:style>
  <w:style w:type="paragraph" w:customStyle="1" w:styleId="Reftext">
    <w:name w:val="Ref_text"/>
    <w:basedOn w:val="Normal"/>
    <w:rsid w:val="00B67F4C"/>
    <w:pPr>
      <w:ind w:left="794" w:hanging="794"/>
    </w:pPr>
  </w:style>
  <w:style w:type="paragraph" w:customStyle="1" w:styleId="ArtNo">
    <w:name w:val="Art_No"/>
    <w:basedOn w:val="Normal"/>
    <w:next w:val="Arttitle"/>
    <w:rsid w:val="00B67F4C"/>
    <w:pPr>
      <w:keepNext/>
      <w:keepLines/>
      <w:spacing w:before="480"/>
      <w:jc w:val="center"/>
    </w:pPr>
    <w:rPr>
      <w:caps/>
      <w:sz w:val="28"/>
    </w:rPr>
  </w:style>
  <w:style w:type="paragraph" w:customStyle="1" w:styleId="Arttitle">
    <w:name w:val="Art_title"/>
    <w:basedOn w:val="Normal"/>
    <w:next w:val="Normalaftertitle"/>
    <w:rsid w:val="00B67F4C"/>
    <w:pPr>
      <w:keepNext/>
      <w:keepLines/>
      <w:spacing w:before="240"/>
      <w:jc w:val="center"/>
    </w:pPr>
    <w:rPr>
      <w:b/>
      <w:sz w:val="28"/>
    </w:rPr>
  </w:style>
  <w:style w:type="character" w:customStyle="1" w:styleId="Artref">
    <w:name w:val="Art_ref"/>
    <w:basedOn w:val="DefaultParagraphFont"/>
    <w:rsid w:val="00B67F4C"/>
  </w:style>
  <w:style w:type="paragraph" w:customStyle="1" w:styleId="Call">
    <w:name w:val="Call"/>
    <w:basedOn w:val="Normal"/>
    <w:next w:val="Normal"/>
    <w:rsid w:val="00B67F4C"/>
    <w:pPr>
      <w:tabs>
        <w:tab w:val="clear" w:pos="1191"/>
        <w:tab w:val="clear" w:pos="1588"/>
        <w:tab w:val="clear" w:pos="1985"/>
      </w:tabs>
      <w:spacing w:before="227"/>
      <w:ind w:left="794"/>
      <w:jc w:val="left"/>
    </w:pPr>
    <w:rPr>
      <w:i/>
    </w:rPr>
  </w:style>
  <w:style w:type="paragraph" w:customStyle="1" w:styleId="ChapNo">
    <w:name w:val="Chap_No"/>
    <w:basedOn w:val="Normal"/>
    <w:next w:val="Chaptitle"/>
    <w:rsid w:val="00B67F4C"/>
    <w:pPr>
      <w:keepNext/>
      <w:keepLines/>
      <w:spacing w:before="480"/>
      <w:jc w:val="center"/>
    </w:pPr>
    <w:rPr>
      <w:b/>
      <w:caps/>
      <w:sz w:val="28"/>
    </w:rPr>
  </w:style>
  <w:style w:type="paragraph" w:customStyle="1" w:styleId="Equationlegend">
    <w:name w:val="Equation_legend"/>
    <w:basedOn w:val="Normal"/>
    <w:rsid w:val="00B67F4C"/>
    <w:pPr>
      <w:tabs>
        <w:tab w:val="clear" w:pos="794"/>
        <w:tab w:val="clear" w:pos="1191"/>
        <w:tab w:val="clear" w:pos="1588"/>
        <w:tab w:val="right" w:pos="1814"/>
      </w:tabs>
      <w:spacing w:before="80"/>
      <w:ind w:left="1985" w:hanging="1985"/>
    </w:pPr>
  </w:style>
  <w:style w:type="paragraph" w:customStyle="1" w:styleId="Figurelegend">
    <w:name w:val="Figure_legend"/>
    <w:basedOn w:val="Tablelegend"/>
    <w:next w:val="Normal"/>
    <w:rsid w:val="00B67F4C"/>
  </w:style>
  <w:style w:type="paragraph" w:customStyle="1" w:styleId="Tablelegend">
    <w:name w:val="Table_legend"/>
    <w:basedOn w:val="Normal"/>
    <w:next w:val="Normal"/>
    <w:rsid w:val="00B67F4C"/>
    <w:pPr>
      <w:keepNext/>
      <w:tabs>
        <w:tab w:val="clear" w:pos="794"/>
        <w:tab w:val="clear" w:pos="1191"/>
        <w:tab w:val="clear" w:pos="1588"/>
        <w:tab w:val="clear" w:pos="1985"/>
        <w:tab w:val="left" w:pos="454"/>
      </w:tabs>
      <w:spacing w:before="86"/>
    </w:pPr>
    <w:rPr>
      <w:sz w:val="18"/>
    </w:rPr>
  </w:style>
  <w:style w:type="paragraph" w:customStyle="1" w:styleId="Figure">
    <w:name w:val="Figure"/>
    <w:basedOn w:val="Normal"/>
    <w:next w:val="Normal"/>
    <w:rsid w:val="00B67F4C"/>
    <w:pPr>
      <w:spacing w:before="240"/>
      <w:jc w:val="center"/>
    </w:pPr>
  </w:style>
  <w:style w:type="paragraph" w:customStyle="1" w:styleId="FigureNoTitle">
    <w:name w:val="Figure_NoTitle"/>
    <w:basedOn w:val="Normal"/>
    <w:next w:val="Normalaftertitle"/>
    <w:rsid w:val="00B67F4C"/>
    <w:pPr>
      <w:keepLines/>
      <w:spacing w:before="240" w:after="120"/>
      <w:jc w:val="center"/>
    </w:pPr>
    <w:rPr>
      <w:b/>
    </w:rPr>
  </w:style>
  <w:style w:type="paragraph" w:customStyle="1" w:styleId="Figurewithouttitle">
    <w:name w:val="Figure_without_title"/>
    <w:basedOn w:val="Normal"/>
    <w:next w:val="Normalaftertitle"/>
    <w:rsid w:val="00B67F4C"/>
    <w:pPr>
      <w:keepLines/>
      <w:spacing w:before="240" w:after="120"/>
      <w:jc w:val="center"/>
    </w:pPr>
  </w:style>
  <w:style w:type="paragraph" w:customStyle="1" w:styleId="FooterQP">
    <w:name w:val="Footer_QP"/>
    <w:basedOn w:val="Normal"/>
    <w:rsid w:val="00B67F4C"/>
    <w:pPr>
      <w:tabs>
        <w:tab w:val="clear" w:pos="794"/>
        <w:tab w:val="clear" w:pos="1191"/>
        <w:tab w:val="clear" w:pos="1588"/>
        <w:tab w:val="clear" w:pos="1985"/>
        <w:tab w:val="left" w:pos="907"/>
        <w:tab w:val="right" w:pos="8789"/>
        <w:tab w:val="right" w:pos="9639"/>
      </w:tabs>
      <w:spacing w:before="0"/>
      <w:jc w:val="left"/>
    </w:pPr>
    <w:rPr>
      <w:b/>
    </w:rPr>
  </w:style>
  <w:style w:type="paragraph" w:customStyle="1" w:styleId="FirstFooter">
    <w:name w:val="FirstFooter"/>
    <w:basedOn w:val="Footer"/>
    <w:rsid w:val="00B67F4C"/>
    <w:pPr>
      <w:overflowPunct/>
      <w:autoSpaceDE/>
      <w:autoSpaceDN/>
      <w:adjustRightInd/>
      <w:spacing w:before="40"/>
      <w:textAlignment w:val="auto"/>
    </w:pPr>
    <w:rPr>
      <w:caps/>
    </w:rPr>
  </w:style>
  <w:style w:type="paragraph" w:customStyle="1" w:styleId="Formal">
    <w:name w:val="Formal"/>
    <w:basedOn w:val="Normal"/>
    <w:rsid w:val="00B67F4C"/>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napToGrid w:val="0"/>
      <w:spacing w:before="0"/>
      <w:jc w:val="left"/>
    </w:pPr>
    <w:rPr>
      <w:rFonts w:ascii="Courier New" w:hAnsi="Courier New" w:cs="Courier New"/>
      <w:noProof/>
      <w:sz w:val="18"/>
      <w:szCs w:val="18"/>
    </w:rPr>
  </w:style>
  <w:style w:type="paragraph" w:customStyle="1" w:styleId="Headingb">
    <w:name w:val="Heading_b"/>
    <w:basedOn w:val="Normal"/>
    <w:next w:val="Normal"/>
    <w:qFormat/>
    <w:rsid w:val="00D04954"/>
    <w:pPr>
      <w:spacing w:before="181"/>
      <w:ind w:left="794" w:hanging="794"/>
    </w:pPr>
    <w:rPr>
      <w:rFonts w:ascii="Times New Roman Bold" w:hAnsi="Times New Roman Bold"/>
      <w:b/>
    </w:rPr>
  </w:style>
  <w:style w:type="paragraph" w:customStyle="1" w:styleId="Headingi">
    <w:name w:val="Heading_i"/>
    <w:basedOn w:val="Heading3"/>
    <w:next w:val="Normal"/>
    <w:rsid w:val="00B67F4C"/>
    <w:rPr>
      <w:b w:val="0"/>
      <w:i/>
    </w:rPr>
  </w:style>
  <w:style w:type="paragraph" w:styleId="Index2">
    <w:name w:val="index 2"/>
    <w:basedOn w:val="Normal"/>
    <w:next w:val="Normal"/>
    <w:semiHidden/>
    <w:rsid w:val="00B67F4C"/>
    <w:pPr>
      <w:ind w:left="283"/>
    </w:pPr>
  </w:style>
  <w:style w:type="paragraph" w:styleId="Index3">
    <w:name w:val="index 3"/>
    <w:basedOn w:val="Normal"/>
    <w:next w:val="Normal"/>
    <w:semiHidden/>
    <w:rsid w:val="00B67F4C"/>
    <w:pPr>
      <w:ind w:left="566"/>
    </w:pPr>
  </w:style>
  <w:style w:type="paragraph" w:customStyle="1" w:styleId="PartNo">
    <w:name w:val="Part_No"/>
    <w:basedOn w:val="Normal"/>
    <w:next w:val="Partref"/>
    <w:rsid w:val="00B67F4C"/>
    <w:pPr>
      <w:keepNext/>
      <w:keepLines/>
      <w:spacing w:before="480" w:after="80"/>
      <w:jc w:val="center"/>
    </w:pPr>
    <w:rPr>
      <w:caps/>
      <w:sz w:val="28"/>
    </w:rPr>
  </w:style>
  <w:style w:type="paragraph" w:customStyle="1" w:styleId="Partref">
    <w:name w:val="Part_ref"/>
    <w:basedOn w:val="Normal"/>
    <w:next w:val="Parttitle"/>
    <w:rsid w:val="00B67F4C"/>
    <w:pPr>
      <w:keepNext/>
      <w:keepLines/>
      <w:spacing w:before="280"/>
      <w:jc w:val="center"/>
    </w:pPr>
  </w:style>
  <w:style w:type="paragraph" w:customStyle="1" w:styleId="Parttitle">
    <w:name w:val="Part_title"/>
    <w:basedOn w:val="Normal"/>
    <w:next w:val="Normalaftertitle"/>
    <w:rsid w:val="00B67F4C"/>
    <w:pPr>
      <w:keepNext/>
      <w:keepLines/>
      <w:spacing w:before="240" w:after="280"/>
      <w:jc w:val="center"/>
    </w:pPr>
    <w:rPr>
      <w:b/>
      <w:sz w:val="28"/>
    </w:rPr>
  </w:style>
  <w:style w:type="paragraph" w:customStyle="1" w:styleId="Recdate">
    <w:name w:val="Rec_date"/>
    <w:basedOn w:val="Normal"/>
    <w:next w:val="Normalaftertitle"/>
    <w:rsid w:val="00B67F4C"/>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B67F4C"/>
  </w:style>
  <w:style w:type="paragraph" w:customStyle="1" w:styleId="RecNo">
    <w:name w:val="Rec_No"/>
    <w:basedOn w:val="Normal"/>
    <w:next w:val="Title"/>
    <w:rsid w:val="00B67F4C"/>
    <w:pPr>
      <w:keepNext/>
      <w:keepLines/>
      <w:spacing w:before="0"/>
      <w:jc w:val="left"/>
    </w:pPr>
    <w:rPr>
      <w:rFonts w:ascii="Times New Roman Bold" w:hAnsi="Times New Roman Bold"/>
      <w:b/>
    </w:rPr>
  </w:style>
  <w:style w:type="paragraph" w:styleId="Title">
    <w:name w:val="Title"/>
    <w:basedOn w:val="Normal"/>
    <w:next w:val="Normal"/>
    <w:qFormat/>
    <w:rsid w:val="00B67F4C"/>
    <w:pPr>
      <w:spacing w:before="840" w:after="480"/>
      <w:jc w:val="center"/>
    </w:pPr>
    <w:rPr>
      <w:b/>
      <w:sz w:val="24"/>
    </w:rPr>
  </w:style>
  <w:style w:type="paragraph" w:customStyle="1" w:styleId="QuestionNo">
    <w:name w:val="Question_No"/>
    <w:basedOn w:val="RecNo"/>
    <w:next w:val="Questiontitle"/>
    <w:rsid w:val="00B67F4C"/>
  </w:style>
  <w:style w:type="paragraph" w:customStyle="1" w:styleId="Questiontitle">
    <w:name w:val="Question_title"/>
    <w:basedOn w:val="Rectitle"/>
    <w:next w:val="Questionref"/>
    <w:rsid w:val="00B67F4C"/>
  </w:style>
  <w:style w:type="paragraph" w:customStyle="1" w:styleId="Rectitle">
    <w:name w:val="Rec_title"/>
    <w:basedOn w:val="Normal"/>
    <w:next w:val="Recref"/>
    <w:rsid w:val="00233582"/>
    <w:pPr>
      <w:keepNext/>
      <w:keepLines/>
      <w:spacing w:before="240"/>
      <w:jc w:val="center"/>
    </w:pPr>
    <w:rPr>
      <w:rFonts w:ascii="Times New Roman Bold" w:hAnsi="Times New Roman Bold"/>
      <w:b/>
      <w:sz w:val="24"/>
    </w:rPr>
  </w:style>
  <w:style w:type="paragraph" w:customStyle="1" w:styleId="Recref">
    <w:name w:val="Rec_ref"/>
    <w:basedOn w:val="Normal"/>
    <w:next w:val="Heading1"/>
    <w:rsid w:val="00B67F4C"/>
    <w:pPr>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B67F4C"/>
  </w:style>
  <w:style w:type="paragraph" w:customStyle="1" w:styleId="Repdate">
    <w:name w:val="Rep_date"/>
    <w:basedOn w:val="Recdate"/>
    <w:next w:val="Normalaftertitle"/>
    <w:rsid w:val="00B67F4C"/>
  </w:style>
  <w:style w:type="paragraph" w:customStyle="1" w:styleId="RepNo">
    <w:name w:val="Rep_No"/>
    <w:basedOn w:val="RecNo"/>
    <w:next w:val="Reptitle"/>
    <w:rsid w:val="00B67F4C"/>
  </w:style>
  <w:style w:type="paragraph" w:customStyle="1" w:styleId="Reptitle">
    <w:name w:val="Rep_title"/>
    <w:basedOn w:val="Rectitle"/>
    <w:next w:val="Repref"/>
    <w:rsid w:val="00B67F4C"/>
  </w:style>
  <w:style w:type="paragraph" w:customStyle="1" w:styleId="Repref">
    <w:name w:val="Rep_ref"/>
    <w:basedOn w:val="Recref"/>
    <w:next w:val="Repdate"/>
    <w:rsid w:val="00B67F4C"/>
  </w:style>
  <w:style w:type="paragraph" w:customStyle="1" w:styleId="Resdate">
    <w:name w:val="Res_date"/>
    <w:basedOn w:val="Recdate"/>
    <w:next w:val="Normalaftertitle"/>
    <w:rsid w:val="00B67F4C"/>
  </w:style>
  <w:style w:type="character" w:customStyle="1" w:styleId="Resdef">
    <w:name w:val="Res_def"/>
    <w:basedOn w:val="DefaultParagraphFont"/>
    <w:rsid w:val="00B67F4C"/>
    <w:rPr>
      <w:rFonts w:ascii="Times New Roman" w:hAnsi="Times New Roman"/>
      <w:b/>
    </w:rPr>
  </w:style>
  <w:style w:type="paragraph" w:customStyle="1" w:styleId="ResNo">
    <w:name w:val="Res_No"/>
    <w:basedOn w:val="RecNo"/>
    <w:next w:val="Restitle"/>
    <w:rsid w:val="00B67F4C"/>
  </w:style>
  <w:style w:type="paragraph" w:customStyle="1" w:styleId="Restitle">
    <w:name w:val="Res_title"/>
    <w:basedOn w:val="Rectitle"/>
    <w:next w:val="Resref"/>
    <w:rsid w:val="00B67F4C"/>
  </w:style>
  <w:style w:type="paragraph" w:customStyle="1" w:styleId="Resref">
    <w:name w:val="Res_ref"/>
    <w:basedOn w:val="Recref"/>
    <w:next w:val="Resdate"/>
    <w:rsid w:val="00B67F4C"/>
  </w:style>
  <w:style w:type="paragraph" w:customStyle="1" w:styleId="Section1">
    <w:name w:val="Section_1"/>
    <w:basedOn w:val="Normal"/>
    <w:next w:val="Normal"/>
    <w:rsid w:val="00B67F4C"/>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B67F4C"/>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B67F4C"/>
    <w:pPr>
      <w:keepNext/>
      <w:keepLines/>
      <w:spacing w:before="480" w:after="80"/>
      <w:jc w:val="center"/>
    </w:pPr>
    <w:rPr>
      <w:caps/>
      <w:sz w:val="24"/>
    </w:rPr>
  </w:style>
  <w:style w:type="paragraph" w:customStyle="1" w:styleId="Sectiontitle">
    <w:name w:val="Section_title"/>
    <w:basedOn w:val="Normal"/>
    <w:rsid w:val="00B67F4C"/>
    <w:pPr>
      <w:tabs>
        <w:tab w:val="clear" w:pos="794"/>
        <w:tab w:val="clear" w:pos="1191"/>
        <w:tab w:val="clear" w:pos="1588"/>
        <w:tab w:val="clear" w:pos="1985"/>
      </w:tabs>
      <w:ind w:left="1418"/>
      <w:jc w:val="left"/>
    </w:pPr>
    <w:rPr>
      <w:rFonts w:ascii="Arial" w:hAnsi="Arial"/>
      <w:sz w:val="32"/>
      <w:lang w:val="en-US"/>
    </w:rPr>
  </w:style>
  <w:style w:type="paragraph" w:customStyle="1" w:styleId="Source">
    <w:name w:val="Source"/>
    <w:basedOn w:val="Normal"/>
    <w:next w:val="Normalaftertitle"/>
    <w:rsid w:val="00B67F4C"/>
    <w:pPr>
      <w:spacing w:before="840" w:after="200"/>
      <w:jc w:val="center"/>
    </w:pPr>
    <w:rPr>
      <w:b/>
      <w:sz w:val="28"/>
    </w:rPr>
  </w:style>
  <w:style w:type="paragraph" w:customStyle="1" w:styleId="SpecialFooter">
    <w:name w:val="Special Footer"/>
    <w:basedOn w:val="Footer"/>
    <w:rsid w:val="00B67F4C"/>
    <w:pPr>
      <w:tabs>
        <w:tab w:val="left" w:pos="567"/>
        <w:tab w:val="left" w:pos="1134"/>
        <w:tab w:val="left" w:pos="1701"/>
        <w:tab w:val="left" w:pos="2268"/>
        <w:tab w:val="left" w:pos="2835"/>
      </w:tabs>
    </w:pPr>
    <w:rPr>
      <w:caps/>
    </w:rPr>
  </w:style>
  <w:style w:type="character" w:customStyle="1" w:styleId="Tablefreq">
    <w:name w:val="Table_freq"/>
    <w:basedOn w:val="DefaultParagraphFont"/>
    <w:rsid w:val="00B67F4C"/>
    <w:rPr>
      <w:b/>
      <w:color w:val="auto"/>
    </w:rPr>
  </w:style>
  <w:style w:type="paragraph" w:customStyle="1" w:styleId="Tablehead">
    <w:name w:val="Table_head"/>
    <w:basedOn w:val="Tabletext"/>
    <w:next w:val="Tabletext"/>
    <w:rsid w:val="00B67F4C"/>
    <w:pPr>
      <w:keepLines w:val="0"/>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pPr>
    <w:rPr>
      <w:b/>
      <w:noProof/>
    </w:rPr>
  </w:style>
  <w:style w:type="paragraph" w:customStyle="1" w:styleId="Tabletext">
    <w:name w:val="Table_text"/>
    <w:basedOn w:val="Tablelegend"/>
    <w:rsid w:val="00B67F4C"/>
    <w:pPr>
      <w:keepNext w:val="0"/>
      <w:keepLines/>
      <w:tabs>
        <w:tab w:val="clear" w:pos="454"/>
      </w:tabs>
      <w:spacing w:before="40" w:after="40" w:line="190" w:lineRule="exact"/>
      <w:jc w:val="left"/>
    </w:pPr>
  </w:style>
  <w:style w:type="paragraph" w:styleId="CommentText">
    <w:name w:val="annotation text"/>
    <w:basedOn w:val="Normal"/>
    <w:link w:val="CommentTextChar"/>
    <w:semiHidden/>
    <w:rsid w:val="00B67F4C"/>
  </w:style>
  <w:style w:type="paragraph" w:customStyle="1" w:styleId="TableNoTitle">
    <w:name w:val="Table_NoTitle"/>
    <w:basedOn w:val="Normal"/>
    <w:next w:val="Tablehead"/>
    <w:rsid w:val="00B67F4C"/>
    <w:pPr>
      <w:keepNext/>
      <w:keepLines/>
      <w:spacing w:before="360" w:after="120"/>
      <w:jc w:val="center"/>
    </w:pPr>
    <w:rPr>
      <w:b/>
    </w:rPr>
  </w:style>
  <w:style w:type="paragraph" w:customStyle="1" w:styleId="Title1">
    <w:name w:val="Title 1"/>
    <w:basedOn w:val="Source"/>
    <w:next w:val="Title2"/>
    <w:rsid w:val="00B67F4C"/>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B67F4C"/>
  </w:style>
  <w:style w:type="paragraph" w:customStyle="1" w:styleId="Title3">
    <w:name w:val="Title 3"/>
    <w:basedOn w:val="Title2"/>
    <w:next w:val="Title4"/>
    <w:rsid w:val="00B67F4C"/>
    <w:rPr>
      <w:caps w:val="0"/>
    </w:rPr>
  </w:style>
  <w:style w:type="paragraph" w:customStyle="1" w:styleId="Title4">
    <w:name w:val="Title 4"/>
    <w:basedOn w:val="Title3"/>
    <w:next w:val="Heading1"/>
    <w:rsid w:val="00B67F4C"/>
    <w:rPr>
      <w:b/>
    </w:rPr>
  </w:style>
  <w:style w:type="paragraph" w:customStyle="1" w:styleId="Artheading">
    <w:name w:val="Art_heading"/>
    <w:basedOn w:val="Normal"/>
    <w:next w:val="Normalaftertitle"/>
    <w:rsid w:val="00B67F4C"/>
    <w:pPr>
      <w:spacing w:before="480"/>
      <w:jc w:val="center"/>
    </w:pPr>
    <w:rPr>
      <w:b/>
      <w:sz w:val="28"/>
    </w:rPr>
  </w:style>
  <w:style w:type="paragraph" w:customStyle="1" w:styleId="Annexref">
    <w:name w:val="Annex_ref"/>
    <w:basedOn w:val="Normal"/>
    <w:next w:val="Normal"/>
    <w:rsid w:val="00B67F4C"/>
    <w:pPr>
      <w:spacing w:before="0"/>
      <w:jc w:val="center"/>
    </w:pPr>
  </w:style>
  <w:style w:type="paragraph" w:customStyle="1" w:styleId="Appendixref">
    <w:name w:val="Appendix_ref"/>
    <w:basedOn w:val="Annexref"/>
    <w:next w:val="Normalaftertitle"/>
    <w:rsid w:val="00B67F4C"/>
  </w:style>
  <w:style w:type="character" w:customStyle="1" w:styleId="ASN1boldchar">
    <w:name w:val="ASN.1 bold char"/>
    <w:basedOn w:val="DefaultParagraphFont"/>
    <w:rsid w:val="00D32A82"/>
    <w:rPr>
      <w:rFonts w:ascii="Courier New" w:hAnsi="Courier New"/>
      <w:b/>
      <w:sz w:val="18"/>
    </w:rPr>
  </w:style>
  <w:style w:type="paragraph" w:customStyle="1" w:styleId="ASN1italic">
    <w:name w:val="ASN.1_italic"/>
    <w:basedOn w:val="ASN1"/>
    <w:rsid w:val="00B67F4C"/>
    <w:rPr>
      <w:b w:val="0"/>
      <w:i/>
    </w:rPr>
  </w:style>
  <w:style w:type="paragraph" w:customStyle="1" w:styleId="Couvnote">
    <w:name w:val="Couv_note"/>
    <w:basedOn w:val="Normal"/>
    <w:rsid w:val="00B67F4C"/>
    <w:pPr>
      <w:tabs>
        <w:tab w:val="clear" w:pos="794"/>
        <w:tab w:val="clear" w:pos="1191"/>
        <w:tab w:val="clear" w:pos="1588"/>
        <w:tab w:val="clear" w:pos="1985"/>
        <w:tab w:val="left" w:pos="1134"/>
        <w:tab w:val="left" w:pos="1418"/>
      </w:tabs>
      <w:spacing w:before="200"/>
    </w:pPr>
    <w:rPr>
      <w:rFonts w:ascii="Arial" w:hAnsi="Arial"/>
    </w:rPr>
  </w:style>
  <w:style w:type="paragraph" w:customStyle="1" w:styleId="CouvrecNo">
    <w:name w:val="Couv_rec_No"/>
    <w:basedOn w:val="Normal"/>
    <w:rsid w:val="00B67F4C"/>
    <w:pPr>
      <w:tabs>
        <w:tab w:val="clear" w:pos="794"/>
        <w:tab w:val="clear" w:pos="1191"/>
        <w:tab w:val="clear" w:pos="1588"/>
        <w:tab w:val="clear" w:pos="1985"/>
      </w:tabs>
      <w:spacing w:before="6"/>
      <w:ind w:left="1418"/>
    </w:pPr>
    <w:rPr>
      <w:rFonts w:ascii="Arial" w:hAnsi="Arial"/>
      <w:sz w:val="32"/>
    </w:rPr>
  </w:style>
  <w:style w:type="paragraph" w:customStyle="1" w:styleId="Couvrectitle">
    <w:name w:val="Couv_rec_title"/>
    <w:basedOn w:val="Normal"/>
    <w:rsid w:val="00B67F4C"/>
    <w:pPr>
      <w:keepNext/>
      <w:keepLines/>
      <w:tabs>
        <w:tab w:val="clear" w:pos="794"/>
        <w:tab w:val="clear" w:pos="1191"/>
        <w:tab w:val="clear" w:pos="1588"/>
        <w:tab w:val="clear" w:pos="1985"/>
      </w:tabs>
      <w:spacing w:before="240"/>
      <w:ind w:left="1418"/>
      <w:jc w:val="left"/>
    </w:pPr>
    <w:rPr>
      <w:rFonts w:ascii="Arial" w:hAnsi="Arial"/>
      <w:b/>
      <w:sz w:val="36"/>
    </w:rPr>
  </w:style>
  <w:style w:type="character" w:customStyle="1" w:styleId="Head">
    <w:name w:val="Head"/>
    <w:basedOn w:val="DefaultParagraphFont"/>
    <w:rsid w:val="00B67F4C"/>
    <w:rPr>
      <w:b/>
    </w:rPr>
  </w:style>
  <w:style w:type="character" w:customStyle="1" w:styleId="href">
    <w:name w:val="href"/>
    <w:basedOn w:val="DefaultParagraphFont"/>
    <w:rsid w:val="00B67F4C"/>
    <w:rPr>
      <w:lang w:val="fr-FR"/>
    </w:rPr>
  </w:style>
  <w:style w:type="paragraph" w:customStyle="1" w:styleId="Indextitle">
    <w:name w:val="Index_title"/>
    <w:basedOn w:val="Normal"/>
    <w:rsid w:val="00B67F4C"/>
    <w:pPr>
      <w:spacing w:after="68"/>
      <w:jc w:val="center"/>
    </w:pPr>
    <w:rPr>
      <w:b/>
      <w:sz w:val="24"/>
    </w:rPr>
  </w:style>
  <w:style w:type="character" w:styleId="LineNumber">
    <w:name w:val="line number"/>
    <w:basedOn w:val="DefaultParagraphFont"/>
    <w:rsid w:val="00B67F4C"/>
  </w:style>
  <w:style w:type="paragraph" w:customStyle="1" w:styleId="Normalaftertitle0">
    <w:name w:val="Normal after title"/>
    <w:basedOn w:val="Normal"/>
    <w:rsid w:val="00B67F4C"/>
    <w:pPr>
      <w:spacing w:before="480"/>
    </w:pPr>
    <w:rPr>
      <w:rFonts w:ascii="Times" w:hAnsi="Times"/>
      <w:lang w:val="en-US"/>
    </w:rPr>
  </w:style>
  <w:style w:type="paragraph" w:styleId="NormalIndent">
    <w:name w:val="Normal Indent"/>
    <w:basedOn w:val="Normal"/>
    <w:rsid w:val="00B67F4C"/>
    <w:pPr>
      <w:ind w:left="600"/>
    </w:pPr>
  </w:style>
  <w:style w:type="paragraph" w:customStyle="1" w:styleId="Note1">
    <w:name w:val="Note 1"/>
    <w:basedOn w:val="Normal"/>
    <w:rsid w:val="00A87200"/>
    <w:pPr>
      <w:tabs>
        <w:tab w:val="clear" w:pos="794"/>
        <w:tab w:val="clear" w:pos="1191"/>
        <w:tab w:val="clear" w:pos="1588"/>
        <w:tab w:val="clear" w:pos="1985"/>
      </w:tabs>
      <w:spacing w:before="60"/>
      <w:ind w:left="284"/>
    </w:pPr>
    <w:rPr>
      <w:sz w:val="18"/>
    </w:rPr>
  </w:style>
  <w:style w:type="paragraph" w:customStyle="1" w:styleId="Note2">
    <w:name w:val="Note 2"/>
    <w:basedOn w:val="Note1"/>
    <w:rsid w:val="00B67F4C"/>
    <w:pPr>
      <w:ind w:left="1077"/>
    </w:pPr>
  </w:style>
  <w:style w:type="paragraph" w:customStyle="1" w:styleId="Note3">
    <w:name w:val="Note 3"/>
    <w:basedOn w:val="Note1"/>
    <w:rsid w:val="00B67F4C"/>
    <w:pPr>
      <w:ind w:left="1474"/>
    </w:pPr>
  </w:style>
  <w:style w:type="paragraph" w:customStyle="1" w:styleId="SAP">
    <w:name w:val="SAP"/>
    <w:basedOn w:val="Normal"/>
    <w:rsid w:val="00B67F4C"/>
    <w:pPr>
      <w:spacing w:before="960" w:after="240"/>
      <w:jc w:val="right"/>
    </w:pPr>
    <w:rPr>
      <w:rFonts w:ascii="C39T36Lfz" w:hAnsi="C39T36Lfz"/>
      <w:sz w:val="104"/>
    </w:rPr>
  </w:style>
  <w:style w:type="paragraph" w:customStyle="1" w:styleId="Tablefin">
    <w:name w:val="Table_fin"/>
    <w:basedOn w:val="Normal"/>
    <w:next w:val="Normal"/>
    <w:rsid w:val="00B67F4C"/>
    <w:pPr>
      <w:tabs>
        <w:tab w:val="clear" w:pos="794"/>
        <w:tab w:val="clear" w:pos="1191"/>
        <w:tab w:val="clear" w:pos="1588"/>
        <w:tab w:val="clear" w:pos="1985"/>
      </w:tabs>
      <w:spacing w:before="0"/>
    </w:pPr>
    <w:rPr>
      <w:sz w:val="12"/>
    </w:rPr>
  </w:style>
  <w:style w:type="character" w:styleId="Hyperlink">
    <w:name w:val="Hyperlink"/>
    <w:basedOn w:val="DefaultParagraphFont"/>
    <w:rsid w:val="00B67F4C"/>
    <w:rPr>
      <w:color w:val="0000FF"/>
      <w:u w:val="single"/>
    </w:rPr>
  </w:style>
  <w:style w:type="character" w:customStyle="1" w:styleId="ASN1ItalicChar">
    <w:name w:val="ASN.1 Italic Char"/>
    <w:basedOn w:val="DefaultParagraphFont"/>
    <w:rsid w:val="003E03FD"/>
    <w:rPr>
      <w:rFonts w:ascii="Courier New" w:hAnsi="Courier New"/>
      <w:i/>
      <w:sz w:val="18"/>
    </w:rPr>
  </w:style>
  <w:style w:type="paragraph" w:styleId="BalloonText">
    <w:name w:val="Balloon Text"/>
    <w:basedOn w:val="Normal"/>
    <w:link w:val="BalloonTextChar"/>
    <w:rsid w:val="00A87200"/>
    <w:pPr>
      <w:spacing w:before="0"/>
    </w:pPr>
    <w:rPr>
      <w:rFonts w:ascii="Tahoma" w:hAnsi="Tahoma" w:cs="Tahoma"/>
      <w:sz w:val="16"/>
      <w:szCs w:val="16"/>
    </w:rPr>
  </w:style>
  <w:style w:type="character" w:customStyle="1" w:styleId="BalloonTextChar">
    <w:name w:val="Balloon Text Char"/>
    <w:basedOn w:val="DefaultParagraphFont"/>
    <w:link w:val="BalloonText"/>
    <w:rsid w:val="00A87200"/>
    <w:rPr>
      <w:rFonts w:ascii="Tahoma" w:hAnsi="Tahoma" w:cs="Tahoma"/>
      <w:sz w:val="16"/>
      <w:szCs w:val="16"/>
      <w:lang w:val="en-GB" w:eastAsia="en-US"/>
    </w:rPr>
  </w:style>
  <w:style w:type="paragraph" w:styleId="CommentSubject">
    <w:name w:val="annotation subject"/>
    <w:basedOn w:val="CommentText"/>
    <w:next w:val="CommentText"/>
    <w:link w:val="CommentSubjectChar"/>
    <w:semiHidden/>
    <w:unhideWhenUsed/>
    <w:rsid w:val="006157BD"/>
    <w:rPr>
      <w:b/>
      <w:bCs/>
    </w:rPr>
  </w:style>
  <w:style w:type="character" w:customStyle="1" w:styleId="CommentTextChar">
    <w:name w:val="Comment Text Char"/>
    <w:basedOn w:val="DefaultParagraphFont"/>
    <w:link w:val="CommentText"/>
    <w:semiHidden/>
    <w:rsid w:val="006157BD"/>
    <w:rPr>
      <w:rFonts w:ascii="Times New Roman" w:hAnsi="Times New Roman"/>
      <w:lang w:val="en-GB" w:eastAsia="en-US"/>
    </w:rPr>
  </w:style>
  <w:style w:type="character" w:customStyle="1" w:styleId="CommentSubjectChar">
    <w:name w:val="Comment Subject Char"/>
    <w:basedOn w:val="CommentTextChar"/>
    <w:link w:val="CommentSubject"/>
    <w:semiHidden/>
    <w:rsid w:val="006157BD"/>
    <w:rPr>
      <w:rFonts w:ascii="Times New Roman" w:hAnsi="Times New Roman"/>
      <w:b/>
      <w:bCs/>
      <w:lang w:val="en-GB" w:eastAsia="en-US"/>
    </w:rPr>
  </w:style>
  <w:style w:type="character" w:styleId="FollowedHyperlink">
    <w:name w:val="FollowedHyperlink"/>
    <w:basedOn w:val="DefaultParagraphFont"/>
    <w:semiHidden/>
    <w:unhideWhenUsed/>
    <w:rsid w:val="009B6C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handle.itu.int/11.1002/1000/12298" TargetMode="External"/><Relationship Id="rId17" Type="http://schemas.openxmlformats.org/officeDocument/2006/relationships/header" Target="header5.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itu.int/ITU-T/dbase/patent/patent-policy.html"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yperlink" Target="http://www.itu.int/ITU-T/ip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7.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_ISO_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F23A6-0D88-4F3D-BE83-20EC7D3F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QPUB_ISO_E.dotm</Template>
  <TotalTime>12</TotalTime>
  <Pages>12</Pages>
  <Words>2243</Words>
  <Characters>13914</Characters>
  <Application>Microsoft Office Word</Application>
  <DocSecurity>0</DocSecurity>
  <Lines>869</Lines>
  <Paragraphs>150</Paragraphs>
  <ScaleCrop>false</ScaleCrop>
  <HeadingPairs>
    <vt:vector size="2" baseType="variant">
      <vt:variant>
        <vt:lpstr>Title</vt:lpstr>
      </vt:variant>
      <vt:variant>
        <vt:i4>1</vt:i4>
      </vt:variant>
    </vt:vector>
  </HeadingPairs>
  <TitlesOfParts>
    <vt:vector size="1" baseType="lpstr">
      <vt:lpstr>ITU-T  RECOMMENDATION</vt:lpstr>
    </vt:vector>
  </TitlesOfParts>
  <Company>ITU</Company>
  <LinksUpToDate>false</LinksUpToDate>
  <CharactersWithSpaces>16007</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H.265.2 (10/2014) Reference software for ITU-T H.265 high efficiency video coding </dc:title>
  <dc:subject>SERIES H: AUDIOVISUAL AND MULTIMEDIA SYSTEMS - Infrastructure of audiovisual services – Coding of moving video</dc:subject>
  <dc:creator>ITU-T Study Group 16</dc:creator>
  <cp:keywords>H.265.2,H,265.2</cp:keywords>
  <dc:description>Gachetc, 12.06.2015, ITU51007784</dc:description>
  <cp:lastModifiedBy>Gachet, Christelle</cp:lastModifiedBy>
  <cp:revision>8</cp:revision>
  <cp:lastPrinted>2004-12-15T08:14:00Z</cp:lastPrinted>
  <dcterms:created xsi:type="dcterms:W3CDTF">2015-06-12T06:42:00Z</dcterms:created>
  <dcterms:modified xsi:type="dcterms:W3CDTF">2015-06-12T06:55:00Z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H.265.2</vt:lpwstr>
  </property>
  <property fmtid="{D5CDD505-2E9C-101B-9397-08002B2CF9AE}" pid="3" name="docdate">
    <vt:lpwstr>QPubMacros.dot</vt:lpwstr>
  </property>
  <property fmtid="{D5CDD505-2E9C-101B-9397-08002B2CF9AE}" pid="4" name="doctitle">
    <vt:lpwstr>Reference software for ITU-T H.265 high efficiency video coding</vt:lpwstr>
  </property>
  <property fmtid="{D5CDD505-2E9C-101B-9397-08002B2CF9AE}" pid="5" name="doctitle2">
    <vt:lpwstr>SERIES H: AUDIOVISUAL AND MULTIMEDIA SYSTEMS Infrastructure of audiovisual services – Coding of moving video</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vendredi 12 juin 2015</vt:lpwstr>
  </property>
</Properties>
</file>