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6C5C2" w14:textId="5FCE50AC" w:rsidR="00E9563D" w:rsidRPr="001267E4" w:rsidRDefault="00E9563D" w:rsidP="00E9563D">
      <w:pPr>
        <w:pStyle w:val="Heading1"/>
        <w:numPr>
          <w:ilvl w:val="0"/>
          <w:numId w:val="0"/>
        </w:numPr>
        <w:rPr>
          <w:lang w:val="en-GB"/>
        </w:rPr>
      </w:pPr>
      <w:r w:rsidRPr="340571F1">
        <w:rPr>
          <w:lang w:val="en-GB"/>
        </w:rPr>
        <w:t>The Networked Data Lab Wales: Draft findings on those receiving reablement care packages in local areas in Wales</w:t>
      </w:r>
      <w:r>
        <w:rPr>
          <w:lang w:val="en-GB"/>
        </w:rPr>
        <w:t xml:space="preserve"> - methodology</w:t>
      </w:r>
    </w:p>
    <w:p w14:paraId="06B0B90E" w14:textId="6B47C115" w:rsidR="00C40886" w:rsidRDefault="00C40886" w:rsidP="00326682">
      <w:pPr>
        <w:pStyle w:val="Heading1"/>
        <w:rPr>
          <w:lang w:val="en-GB"/>
        </w:rPr>
      </w:pPr>
      <w:r>
        <w:rPr>
          <w:lang w:val="en-GB"/>
        </w:rPr>
        <w:t>Initial engagement</w:t>
      </w:r>
    </w:p>
    <w:p w14:paraId="0736AFC1" w14:textId="3D8A38E6" w:rsidR="00C40886" w:rsidRPr="00C40886" w:rsidRDefault="00614ECC" w:rsidP="00C40886">
      <w:pPr>
        <w:rPr>
          <w:lang w:val="en-GB"/>
        </w:rPr>
      </w:pPr>
      <w:r w:rsidRPr="00757C74">
        <w:t>In June 2023, all LAs (n=22) in Wales were invited to take part in this project. Initial engagement</w:t>
      </w:r>
      <w:r w:rsidRPr="00374F14">
        <w:rPr>
          <w:lang w:val="en-GB"/>
        </w:rPr>
        <w:t xml:space="preserve"> involved establishing the feasibility of newly linking </w:t>
      </w:r>
      <w:r>
        <w:rPr>
          <w:lang w:val="en-GB"/>
        </w:rPr>
        <w:t>LA</w:t>
      </w:r>
      <w:r w:rsidRPr="00374F14">
        <w:rPr>
          <w:lang w:val="en-GB"/>
        </w:rPr>
        <w:t xml:space="preserve"> reablement care data with primary and secondary healthcare and administrative datasets </w:t>
      </w:r>
      <w:r>
        <w:rPr>
          <w:lang w:val="en-GB"/>
        </w:rPr>
        <w:t xml:space="preserve">held </w:t>
      </w:r>
      <w:r w:rsidRPr="00374F14">
        <w:rPr>
          <w:lang w:val="en-GB"/>
        </w:rPr>
        <w:t>within the SAIL Databank to better understand the population in receipt of reablement care</w:t>
      </w:r>
      <w:r>
        <w:rPr>
          <w:lang w:val="en-GB"/>
        </w:rPr>
        <w:t xml:space="preserve"> at a local level</w:t>
      </w:r>
      <w:r w:rsidRPr="00374F14">
        <w:rPr>
          <w:lang w:val="en-GB"/>
        </w:rPr>
        <w:t>. Following the expression of interest from LAs for research in this area</w:t>
      </w:r>
      <w:r w:rsidR="0047347B">
        <w:rPr>
          <w:lang w:val="en-GB"/>
        </w:rPr>
        <w:t xml:space="preserve"> and the strategic alignment in Wales</w:t>
      </w:r>
      <w:r w:rsidRPr="00374F14">
        <w:rPr>
          <w:lang w:val="en-GB"/>
        </w:rPr>
        <w:t xml:space="preserve">, </w:t>
      </w:r>
      <w:r w:rsidR="00E274A4">
        <w:rPr>
          <w:lang w:val="en-GB"/>
        </w:rPr>
        <w:t xml:space="preserve">aims and objectives were developed through </w:t>
      </w:r>
      <w:r w:rsidR="002A329C">
        <w:rPr>
          <w:lang w:val="en-GB"/>
        </w:rPr>
        <w:t xml:space="preserve">discussions with Networked Data Lab (NDL) partners, </w:t>
      </w:r>
      <w:r w:rsidR="005826A9">
        <w:rPr>
          <w:lang w:val="en-GB"/>
        </w:rPr>
        <w:t>RLIN (Reablement Learning and Improvement Network)</w:t>
      </w:r>
      <w:r w:rsidR="0047347B">
        <w:rPr>
          <w:lang w:val="en-GB"/>
        </w:rPr>
        <w:t>, local authorit</w:t>
      </w:r>
      <w:r w:rsidR="00761E5D">
        <w:rPr>
          <w:lang w:val="en-GB"/>
        </w:rPr>
        <w:t>y reablement care and data leads, and PPIE groups (SAIL Consumer Panel, DSPP PAPAG).</w:t>
      </w:r>
    </w:p>
    <w:p w14:paraId="1D188305" w14:textId="3CE3B558" w:rsidR="00D93C16" w:rsidRDefault="00326682" w:rsidP="00326682">
      <w:pPr>
        <w:pStyle w:val="Heading1"/>
        <w:rPr>
          <w:lang w:val="en-GB"/>
        </w:rPr>
      </w:pPr>
      <w:r>
        <w:rPr>
          <w:lang w:val="en-GB"/>
        </w:rPr>
        <w:t>Data</w:t>
      </w:r>
      <w:r w:rsidR="00D93C16">
        <w:rPr>
          <w:lang w:val="en-GB"/>
        </w:rPr>
        <w:t xml:space="preserve"> specification</w:t>
      </w:r>
    </w:p>
    <w:p w14:paraId="2B35274A" w14:textId="2027B84C" w:rsidR="00D93C16" w:rsidRPr="00D93C16" w:rsidRDefault="00D93C16" w:rsidP="001F06B6">
      <w:pPr>
        <w:rPr>
          <w:lang w:val="en-GB"/>
        </w:rPr>
      </w:pPr>
      <w:r>
        <w:rPr>
          <w:lang w:val="en-GB"/>
        </w:rPr>
        <w:t xml:space="preserve">To examine reablement care packages </w:t>
      </w:r>
      <w:r w:rsidR="00C46E36">
        <w:rPr>
          <w:lang w:val="en-GB"/>
        </w:rPr>
        <w:t xml:space="preserve">provided </w:t>
      </w:r>
      <w:r>
        <w:rPr>
          <w:lang w:val="en-GB"/>
        </w:rPr>
        <w:t>to adults aged 18 years and above in Wales, we developed a core data specification and shared with all</w:t>
      </w:r>
      <w:r w:rsidR="00F137F8">
        <w:rPr>
          <w:lang w:val="en-GB"/>
        </w:rPr>
        <w:t xml:space="preserve"> interested</w:t>
      </w:r>
      <w:r>
        <w:rPr>
          <w:lang w:val="en-GB"/>
        </w:rPr>
        <w:t xml:space="preserve"> LAs in Wales. There is no single standardised dataset for reablement care in Wales, so as a result the data received from each LA is slightly different (see appendix A).</w:t>
      </w:r>
    </w:p>
    <w:p w14:paraId="708309AD" w14:textId="77777777" w:rsidR="00A251E7" w:rsidRDefault="00326682" w:rsidP="00326682">
      <w:pPr>
        <w:pStyle w:val="Heading1"/>
        <w:rPr>
          <w:lang w:val="en-GB"/>
        </w:rPr>
      </w:pPr>
      <w:r>
        <w:rPr>
          <w:lang w:val="en-GB"/>
        </w:rPr>
        <w:t xml:space="preserve"> </w:t>
      </w:r>
      <w:r w:rsidR="00D93C16">
        <w:rPr>
          <w:lang w:val="en-GB"/>
        </w:rPr>
        <w:t>Secure data transfer</w:t>
      </w:r>
    </w:p>
    <w:p w14:paraId="791A9705" w14:textId="23359B7E" w:rsidR="005164FF" w:rsidRPr="005164FF" w:rsidRDefault="005164FF" w:rsidP="005164FF">
      <w:pPr>
        <w:rPr>
          <w:lang w:val="en-GB"/>
        </w:rPr>
      </w:pPr>
      <w:r w:rsidRPr="009843FE">
        <w:t xml:space="preserve">Data acquisition is a highly demanding process, involving the LA completing and signing a tripartite agreement, extracting the data from local systems, and then splitting and uploading identifiable data to DHCW for anonymisation and non-identifiable information to the SAIL Databank. Anonymised data is sent to SAIL and recombined with the non-identifiable data, making the data source ready for linkage. Individual identities are always protected in SAIL Databank. Approved researchers can only access anonymised data </w:t>
      </w:r>
      <w:r w:rsidRPr="009843FE">
        <w:fldChar w:fldCharType="begin" w:fldLock="1"/>
      </w:r>
      <w:r>
        <w:instrText>ADDIN CSL_CITATION {"citationItems":[{"id":"ITEM-1","itemData":{"URL":"https://saildatabank.com/governance/privacy-by-design/","accessed":{"date-parts":[["2024","8","12"]]},"id":"ITEM-1","issued":{"date-parts":[["0"]]},"title":"Privacy by Design - SAIL Databank","type":"webpage"},"uris":["http://www.mendeley.com/documents/?uuid=d003f0a6-9ace-39f9-baca-fdb26ea365da"]}],"mendeley":{"formattedCitation":"(9)","plainTextFormattedCitation":"(9)","previouslyFormattedCitation":"(9)"},"properties":{"noteIndex":0},"schema":"https://github.com/citation-style-language/schema/raw/master/csl-citation.json"}</w:instrText>
      </w:r>
      <w:r w:rsidRPr="009843FE">
        <w:fldChar w:fldCharType="separate"/>
      </w:r>
      <w:r w:rsidRPr="009843FE">
        <w:rPr>
          <w:noProof/>
        </w:rPr>
        <w:t>(9)</w:t>
      </w:r>
      <w:r w:rsidRPr="009843FE">
        <w:fldChar w:fldCharType="end"/>
      </w:r>
      <w:r w:rsidRPr="009843FE">
        <w:t xml:space="preserve">. Timelines for this process vary dramatically based on experience within the teams involved. Initial engagement began in June 2023, with the first LA reablement care dataset becoming available within the SAIL Databank in May 2024. </w:t>
      </w:r>
    </w:p>
    <w:p w14:paraId="20E38B3C" w14:textId="67497746" w:rsidR="00D93C16" w:rsidRPr="00105D7F" w:rsidRDefault="00A251E7" w:rsidP="00326682">
      <w:pPr>
        <w:pStyle w:val="Heading1"/>
        <w:rPr>
          <w:lang w:val="en-GB"/>
        </w:rPr>
      </w:pPr>
      <w:r>
        <w:rPr>
          <w:lang w:val="en-GB"/>
        </w:rPr>
        <w:t>L</w:t>
      </w:r>
      <w:r w:rsidR="00D93C16">
        <w:rPr>
          <w:lang w:val="en-GB"/>
        </w:rPr>
        <w:t xml:space="preserve">inkage to health </w:t>
      </w:r>
      <w:r w:rsidR="004A7FD3">
        <w:rPr>
          <w:lang w:val="en-GB"/>
        </w:rPr>
        <w:t>data</w:t>
      </w:r>
    </w:p>
    <w:p w14:paraId="454C69AC" w14:textId="3B7678D9" w:rsidR="00326682" w:rsidRDefault="00326682" w:rsidP="00326682">
      <w:pPr>
        <w:rPr>
          <w:lang w:val="en-GB"/>
        </w:rPr>
      </w:pPr>
      <w:r w:rsidRPr="340571F1">
        <w:rPr>
          <w:lang w:val="en-GB"/>
        </w:rPr>
        <w:t xml:space="preserve">A cohort of individuals in receipt of reablement care from participating LAs was created using the cleaning criteria outlined </w:t>
      </w:r>
      <w:r w:rsidR="00FE7256">
        <w:rPr>
          <w:lang w:val="en-GB"/>
        </w:rPr>
        <w:t xml:space="preserve">in Section </w:t>
      </w:r>
      <w:r w:rsidR="006763CC">
        <w:rPr>
          <w:lang w:val="en-GB"/>
        </w:rPr>
        <w:t>5</w:t>
      </w:r>
      <w:r w:rsidR="00FE7256">
        <w:rPr>
          <w:lang w:val="en-GB"/>
        </w:rPr>
        <w:t xml:space="preserve"> (below). </w:t>
      </w:r>
      <w:r w:rsidRPr="340571F1">
        <w:rPr>
          <w:lang w:val="en-GB"/>
        </w:rPr>
        <w:t xml:space="preserve">These reablement care records were then linked to anonymised individual-level, routinely-collected, population-scale electronic health record (EHR) and administrative health care data sources available within the SAIL Databank </w:t>
      </w:r>
      <w:r w:rsidRPr="340571F1">
        <w:rPr>
          <w:rStyle w:val="FootnoteReference"/>
          <w:lang w:val="en-GB"/>
        </w:rPr>
        <w:fldChar w:fldCharType="begin" w:fldLock="1"/>
      </w:r>
      <w:r w:rsidR="0013523C">
        <w:rPr>
          <w:lang w:val="en-GB"/>
        </w:rPr>
        <w:instrText>ADDIN CSL_CITATION {"citationItems":[{"id":"ITEM-1","itemData":{"URL":"https://saildatabank.com/","accessed":{"date-parts":[["2024","7","3"]]},"id":"ITEM-1","issued":{"date-parts":[["0"]]},"title":"Home - SAIL Databank","type":"webpage"},"uris":["http://www.mendeley.com/documents/?uuid=8a389101-3c58-3cf9-b735-a3e1f097c863"]},{"id":"ITEM-2","itemData":{"DOI":"10.1186/1472-6963-9-157","ISSN":"14726963","PMID":"19732426","abstract":"Background. Vast quantities of electronic data are collected about patients and service users as they pass through health service and other public sector organisations, and these data present enormous potential for research and policy evaluation. The Health Information Research Unit (HIRU) aims to realise the potential of electronically-held, person-based, routinely-collected data to conduct and support health-related studies. However, there are considerable challenges that must be addressed before such data can be used for these purposes, to ensure compliance with the legislation and guidelines generally known as Information Governance. Methods. A set of objectives was identified to address the challenges and establish the Secure Anonymised Information Linkage (SAIL) system in accordance with Information Governance. These were to: 1) ensure data transportation is secure; 2) operate a reliable record matching technique to enable accurate record linkage across datasets; 3) anonymise and encrypt the data to prevent re-identification of individuals; 4) apply measures to address disclosure risk in data views created for researchers; 5) ensure data access is controlled and authorised; 6) establish methods for scrutinising proposals for data utilisation and approving output; and 7) gain external verification of compliance with Information Governance. Results. The SAIL databank has been established and it operates on a DB2 platform (Data Warehouse Edition on AIX) running on an IBM 'P' series Supercomputer: Blue-C. The findings of an independent internal audit were favourable and concluded that the systems in place provide adequate assurance of compliance with Information Governance. This expanding databank already holds over 500 million anonymised and encrypted individual-level records from a range of sources relevant to health and well-being. This includes national datasets covering the whole of Wales (approximately 3 million population) and local provider-level datasets, with further growth in progress. The utility of the databank is demonstrated by increasing engagement in high quality research studies. Conclusion. Through the pragmatic approach that has been adopted, we have been able to address the key challenges in establishing a national databank of anonymised person-based records, so that the data are available for research and evaluation whilst meeting the requirements of Information Governance.","author":[{"dropping-particle":"V.","family":"Ford","given":"David","non-dropping-particle":"","parse-names":false,"suffix":""},{"dropping-particle":"","family":"Jones","given":"Kerina H.","non-dropping-particle":"","parse-names":false,"suffix":""},{"dropping-particle":"","family":"Verplancke","given":"Jean Philippe","non-dropping-particle":"","parse-names":false,"suffix":""},{"dropping-particle":"","family":"Lyons","given":"Ronan A.","non-dropping-particle":"","parse-names":false,"suffix":""},{"dropping-particle":"","family":"John","given":"Gareth","non-dropping-particle":"","parse-names":false,"suffix":""},{"dropping-particle":"","family":"Brown","given":"Ginevra","non-dropping-particle":"","parse-names":false,"suffix":""},{"dropping-particle":"","family":"Brooks","given":"Caroline J.","non-dropping-particle":"","parse-names":false,"suffix":""},{"dropping-particle":"","family":"Thompson","given":"Simon","non-dropping-particle":"","parse-names":false,"suffix":""},{"dropping-particle":"","family":"Bodger","given":"Owen","non-dropping-particle":"","parse-names":false,"suffix":""},{"dropping-particle":"","family":"Couch","given":"Tony","non-dropping-particle":"","parse-names":false,"suffix":""},{"dropping-particle":"","family":"Leake","given":"Ken","non-dropping-particle":"","parse-names":false,"suffix":""}],"container-title":"BMC Health Services Research","id":"ITEM-2","issued":{"date-parts":[["2009"]]},"page":"157","publisher":"BioMed Central","title":"The SAIL Databank: building a national architecture for e-health research and evaluation","type":"article-journal","volume":"9"},"uris":["http://www.mendeley.com/documents/?uuid=0d468d5d-7956-3ba8-8d2d-a0fb2d541030"]},{"id":"ITEM-3","itemData":{"DOI":"10.1186/1472-6947-9-3","ISSN":"1472-6947","PMID":"19149883","abstract":"Background: Vast amounts of data are collected about patients and service users in the course of health and social care service delivery. Electronic data systems for patient records have the potential to revolutionise service delivery and research. But in order to achieve this, it is essential that the ability to link the data at the individual record level be retained whilst adhering to the principles of information governance. The SAIL (Secure Anonymised Information Linkage) databank has been established using disparate datasets, and over 500 million records from multiple health and social care service providers have been loaded to date, with further growth in progress. Methods: Having established the infrastructure of the databank, the aim of this work was to develop and implement an accurate matching process to enable the assignment of a unique Anonymous Linking Field (ALF) to person-based records to make the databank ready for record-linkage research studies. An SQL-based matching algorithm (MACRAL, Matching Algorithm for Consistent Results in Anonymised Linkage) was developed for this purpose. Firstly the suitability of using a valid NHS number as the basis of a unique identifier was assessed using MACRAL. Secondly, MACRAL was applied in turn to match primary care, secondary care and social services datasets to the NHS Administrative Register (NHSAR), to assess the efficacy of this process, and the optimum matching technique. Results: The validation of using the NHS number yielded specificity values &gt; 99.8% and sensitivity values &gt; 94.6% using probabilistic record linkage (PRL) at the 50% threshold, and error rates were &lt; 0.2%. A range of techniques for matching datasets to the NHSAR were applied and the optimum technique resulted in sensitivity values of: 99.9% for a GP dataset from primary care, 99.3% for a PEDW dataset from secondary care and 95.2% for the PARIS database from social care. Conclusion: With the infrastructure that has been put in place, the reliable matching process that has been developed enables an ALF to be consistently allocated to records in the databank. The SAIL databank represents a research-ready platform for record-linkage studies.","author":[{"dropping-particle":"","family":"Lyons","given":"Ronan A.","non-dropping-particle":"","parse-names":false,"suffix":""},{"dropping-particle":"","family":"Jones","given":"Kerina H.","non-dropping-particle":"","parse-names":false,"suffix":""},{"dropping-particle":"","family":"John","given":"Gareth","non-dropping-particle":"","parse-names":false,"suffix":""},{"dropping-particle":"","family":"Brooks","given":"Caroline J.","non-dropping-particle":"","parse-names":false,"suffix":""},{"dropping-particle":"","family":"Verplancke","given":"Jean Philippe","non-dropping-particle":"","parse-names":false,"suffix":""},{"dropping-particle":"V.","family":"Ford","given":"David","non-dropping-particle":"","parse-names":false,"suffix":""},{"dropping-particle":"","family":"Brown","given":"Ginevra","non-dropping-particle":"","parse-names":false,"suffix":""},{"dropping-particle":"","family":"Leake","given":"Ken","non-dropping-particle":"","parse-names":false,"suffix":""}],"container-title":"BMC medical informatics and decision making","id":"ITEM-3","issue":"1","issued":{"date-parts":[["2009"]]},"publisher":"BMC Med Inform Decis Mak","title":"The SAIL databank: linking multiple health and social care datasets","type":"article-journal","volume":"9"},"uris":["http://www.mendeley.com/documents/?uuid=5519c1c3-5083-31c9-bfec-66515000d36f"]}],"mendeley":{"formattedCitation":"(1–3)","plainTextFormattedCitation":"(1–3)","previouslyFormattedCitation":"(1–3)"},"properties":{"noteIndex":0},"schema":"https://github.com/citation-style-language/schema/raw/master/csl-citation.json"}</w:instrText>
      </w:r>
      <w:r w:rsidRPr="340571F1">
        <w:rPr>
          <w:rStyle w:val="FootnoteReference"/>
          <w:lang w:val="en-GB"/>
        </w:rPr>
        <w:fldChar w:fldCharType="separate"/>
      </w:r>
      <w:r w:rsidRPr="340571F1">
        <w:rPr>
          <w:noProof/>
        </w:rPr>
        <w:t>(1–3)</w:t>
      </w:r>
      <w:r w:rsidRPr="340571F1">
        <w:rPr>
          <w:rStyle w:val="FootnoteReference"/>
          <w:lang w:val="en-GB"/>
        </w:rPr>
        <w:fldChar w:fldCharType="end"/>
      </w:r>
      <w:r w:rsidRPr="340571F1">
        <w:rPr>
          <w:lang w:val="en-GB"/>
        </w:rPr>
        <w:t xml:space="preserve"> using an anonymised linkage field (ALF) to determine demographic and health characteristics. The list of all SAIL data sources used in this study is provided in Appendix B.</w:t>
      </w:r>
    </w:p>
    <w:p w14:paraId="4F1C28BD" w14:textId="77777777" w:rsidR="00817804" w:rsidRDefault="00817804" w:rsidP="00100A33">
      <w:pPr>
        <w:pStyle w:val="Heading1"/>
      </w:pPr>
      <w:r>
        <w:t xml:space="preserve">Defining reablement care </w:t>
      </w:r>
    </w:p>
    <w:p w14:paraId="0653C510" w14:textId="1968902A" w:rsidR="00817804" w:rsidRDefault="00817804" w:rsidP="00817804">
      <w:r>
        <w:t>The services provided under the definition of reablement care vary by LA. For the purposes of this research, reablement care is defined as any kind of reablement care package that the LA would report in Welsh Government returns. Table 1 outlines the different types of service provided under the umbrella term of reablement care in all LAs.</w:t>
      </w:r>
    </w:p>
    <w:p w14:paraId="56BBA797" w14:textId="77777777" w:rsidR="00817804" w:rsidRDefault="00817804" w:rsidP="00817804">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r>
        <w:t>: Reablement service types by LA</w:t>
      </w:r>
    </w:p>
    <w:tbl>
      <w:tblPr>
        <w:tblStyle w:val="TableGrid"/>
        <w:tblW w:w="0" w:type="auto"/>
        <w:tblLook w:val="04A0" w:firstRow="1" w:lastRow="0" w:firstColumn="1" w:lastColumn="0" w:noHBand="0" w:noVBand="1"/>
      </w:tblPr>
      <w:tblGrid>
        <w:gridCol w:w="1785"/>
        <w:gridCol w:w="1947"/>
        <w:gridCol w:w="5284"/>
      </w:tblGrid>
      <w:tr w:rsidR="00817804" w14:paraId="60B2B1C6" w14:textId="77777777" w:rsidTr="003647DE">
        <w:tc>
          <w:tcPr>
            <w:tcW w:w="1785" w:type="dxa"/>
          </w:tcPr>
          <w:p w14:paraId="78192F35" w14:textId="77777777" w:rsidR="00817804" w:rsidRDefault="00817804" w:rsidP="00051FCE">
            <w:r>
              <w:t>LA name</w:t>
            </w:r>
          </w:p>
        </w:tc>
        <w:tc>
          <w:tcPr>
            <w:tcW w:w="1947" w:type="dxa"/>
          </w:tcPr>
          <w:p w14:paraId="7934FEE9" w14:textId="77777777" w:rsidR="00817804" w:rsidRDefault="00817804" w:rsidP="00051FCE">
            <w:r>
              <w:t>Service Type</w:t>
            </w:r>
          </w:p>
        </w:tc>
        <w:tc>
          <w:tcPr>
            <w:tcW w:w="5284" w:type="dxa"/>
          </w:tcPr>
          <w:p w14:paraId="012417D3" w14:textId="77777777" w:rsidR="00817804" w:rsidRDefault="00817804" w:rsidP="00051FCE">
            <w:r>
              <w:t>Definition</w:t>
            </w:r>
          </w:p>
        </w:tc>
      </w:tr>
      <w:tr w:rsidR="00817804" w14:paraId="45855FCA" w14:textId="77777777" w:rsidTr="003647DE">
        <w:tc>
          <w:tcPr>
            <w:tcW w:w="1785" w:type="dxa"/>
            <w:vMerge w:val="restart"/>
            <w:vAlign w:val="center"/>
          </w:tcPr>
          <w:p w14:paraId="425AD4A5" w14:textId="77777777" w:rsidR="00817804" w:rsidRDefault="00817804" w:rsidP="00051FCE">
            <w:r>
              <w:t>Bridgend</w:t>
            </w:r>
          </w:p>
        </w:tc>
        <w:tc>
          <w:tcPr>
            <w:tcW w:w="1947" w:type="dxa"/>
          </w:tcPr>
          <w:p w14:paraId="319C8978" w14:textId="77777777" w:rsidR="00817804" w:rsidRDefault="00817804" w:rsidP="00051FCE">
            <w:r>
              <w:t>Selective intake</w:t>
            </w:r>
          </w:p>
        </w:tc>
        <w:tc>
          <w:tcPr>
            <w:tcW w:w="5284" w:type="dxa"/>
          </w:tcPr>
          <w:p w14:paraId="5D529E07" w14:textId="77777777" w:rsidR="00817804" w:rsidRDefault="00817804" w:rsidP="00051FCE">
            <w:r>
              <w:t>Service has a clear criterion for eligibility and access with a functional goal e.g. relearning to walk.</w:t>
            </w:r>
          </w:p>
        </w:tc>
      </w:tr>
      <w:tr w:rsidR="00817804" w14:paraId="25DCFD47" w14:textId="77777777" w:rsidTr="003647DE">
        <w:tc>
          <w:tcPr>
            <w:tcW w:w="1785" w:type="dxa"/>
            <w:vMerge/>
          </w:tcPr>
          <w:p w14:paraId="28B89BC8" w14:textId="77777777" w:rsidR="00817804" w:rsidRDefault="00817804" w:rsidP="00051FCE"/>
        </w:tc>
        <w:tc>
          <w:tcPr>
            <w:tcW w:w="1947" w:type="dxa"/>
          </w:tcPr>
          <w:p w14:paraId="4D3D0180" w14:textId="77777777" w:rsidR="00817804" w:rsidRDefault="00817804" w:rsidP="00051FCE">
            <w:r>
              <w:t>Short-term service</w:t>
            </w:r>
          </w:p>
        </w:tc>
        <w:tc>
          <w:tcPr>
            <w:tcW w:w="5284" w:type="dxa"/>
          </w:tcPr>
          <w:p w14:paraId="386F6E08" w14:textId="77777777" w:rsidR="00817804" w:rsidRDefault="00817804" w:rsidP="00051FCE">
            <w:r>
              <w:t>Intake service which is non-selective with the goal of maximising independence and rightsizing ongoing care needs.</w:t>
            </w:r>
          </w:p>
        </w:tc>
      </w:tr>
      <w:tr w:rsidR="00817804" w14:paraId="3160FBB2" w14:textId="77777777" w:rsidTr="003647DE">
        <w:tc>
          <w:tcPr>
            <w:tcW w:w="1785" w:type="dxa"/>
            <w:vMerge w:val="restart"/>
            <w:vAlign w:val="center"/>
          </w:tcPr>
          <w:p w14:paraId="29ED5480" w14:textId="77777777" w:rsidR="00817804" w:rsidRDefault="00817804" w:rsidP="00051FCE">
            <w:r>
              <w:t>Rhondda Cynon Taf</w:t>
            </w:r>
          </w:p>
        </w:tc>
        <w:tc>
          <w:tcPr>
            <w:tcW w:w="1947" w:type="dxa"/>
          </w:tcPr>
          <w:p w14:paraId="10CF85D3" w14:textId="77777777" w:rsidR="00817804" w:rsidRDefault="00817804" w:rsidP="00051FCE">
            <w:r>
              <w:t>Intermediate Care</w:t>
            </w:r>
          </w:p>
        </w:tc>
        <w:tc>
          <w:tcPr>
            <w:tcW w:w="5284" w:type="dxa"/>
          </w:tcPr>
          <w:p w14:paraId="044DA288" w14:textId="3C763B0D" w:rsidR="00817804" w:rsidRDefault="00EA39C0" w:rsidP="00051FCE">
            <w:r>
              <w:t>A</w:t>
            </w:r>
            <w:r w:rsidRPr="00EA39C0">
              <w:t xml:space="preserve"> time-limited (1-6 weeks) service provision. The service can operate independently or work effectively with others to ensure individuals receive appropriate support following a period of ill health or during recuperation following a stay in hospital.</w:t>
            </w:r>
          </w:p>
        </w:tc>
      </w:tr>
      <w:tr w:rsidR="00817804" w14:paraId="5B441F61" w14:textId="77777777" w:rsidTr="003647DE">
        <w:tc>
          <w:tcPr>
            <w:tcW w:w="1785" w:type="dxa"/>
            <w:vMerge/>
          </w:tcPr>
          <w:p w14:paraId="70A4AFA8" w14:textId="77777777" w:rsidR="00817804" w:rsidRDefault="00817804" w:rsidP="00051FCE"/>
        </w:tc>
        <w:tc>
          <w:tcPr>
            <w:tcW w:w="1947" w:type="dxa"/>
          </w:tcPr>
          <w:p w14:paraId="78F3B19F" w14:textId="77777777" w:rsidR="00817804" w:rsidRDefault="00817804" w:rsidP="00051FCE">
            <w:r>
              <w:t>Reablement</w:t>
            </w:r>
          </w:p>
        </w:tc>
        <w:tc>
          <w:tcPr>
            <w:tcW w:w="5284" w:type="dxa"/>
          </w:tcPr>
          <w:p w14:paraId="3095B7B1" w14:textId="15736B03" w:rsidR="003647DE" w:rsidRPr="003647DE" w:rsidRDefault="003647DE" w:rsidP="003647DE">
            <w:pPr>
              <w:rPr>
                <w:rFonts w:ascii="Aptos Narrow" w:hAnsi="Aptos Narrow"/>
                <w:color w:val="000000"/>
                <w:shd w:val="clear" w:color="auto" w:fill="FFFFFF"/>
              </w:rPr>
            </w:pPr>
            <w:r>
              <w:rPr>
                <w:rFonts w:ascii="Aptos Narrow" w:hAnsi="Aptos Narrow"/>
                <w:color w:val="000000"/>
                <w:shd w:val="clear" w:color="auto" w:fill="FFFFFF"/>
              </w:rPr>
              <w:t>A</w:t>
            </w:r>
            <w:r w:rsidRPr="003647DE">
              <w:rPr>
                <w:rFonts w:ascii="Aptos Narrow" w:hAnsi="Aptos Narrow"/>
                <w:color w:val="000000"/>
                <w:shd w:val="clear" w:color="auto" w:fill="FFFFFF"/>
              </w:rPr>
              <w:t xml:space="preserve"> time-limited (1-6 weeks) service provision, delivering an outcome focused service that is developed by Occupational Therapists / Physiotherapists, assistant therapy practitioners and front-line staff to support individuals to achieve their goals and aspirations. </w:t>
            </w:r>
          </w:p>
          <w:p w14:paraId="7AB4C209" w14:textId="77777777" w:rsidR="003647DE" w:rsidRPr="003647DE" w:rsidRDefault="003647DE" w:rsidP="003647DE">
            <w:pPr>
              <w:rPr>
                <w:rFonts w:ascii="Aptos Narrow" w:hAnsi="Aptos Narrow"/>
                <w:color w:val="000000"/>
                <w:shd w:val="clear" w:color="auto" w:fill="FFFFFF"/>
              </w:rPr>
            </w:pPr>
            <w:r w:rsidRPr="003647DE">
              <w:rPr>
                <w:rFonts w:ascii="Aptos Narrow" w:hAnsi="Aptos Narrow"/>
                <w:color w:val="000000"/>
                <w:shd w:val="clear" w:color="auto" w:fill="FFFFFF"/>
              </w:rPr>
              <w:t xml:space="preserve"> </w:t>
            </w:r>
          </w:p>
          <w:p w14:paraId="37F208B0" w14:textId="0384D114" w:rsidR="00817804" w:rsidRDefault="003647DE" w:rsidP="003647DE">
            <w:r w:rsidRPr="003647DE">
              <w:rPr>
                <w:rFonts w:ascii="Aptos Narrow" w:hAnsi="Aptos Narrow"/>
                <w:color w:val="000000"/>
                <w:shd w:val="clear" w:color="auto" w:fill="FFFFFF"/>
              </w:rPr>
              <w:t>Some reablement programmes are delivered by  “Therapy only” to individuals when their cases is  too complex for front line staff delivery.</w:t>
            </w:r>
          </w:p>
        </w:tc>
      </w:tr>
      <w:tr w:rsidR="003647DE" w14:paraId="7CD0075A" w14:textId="77777777" w:rsidTr="00FB505C">
        <w:tc>
          <w:tcPr>
            <w:tcW w:w="1785" w:type="dxa"/>
            <w:vMerge/>
          </w:tcPr>
          <w:p w14:paraId="5F74A51A" w14:textId="77777777" w:rsidR="003647DE" w:rsidRDefault="003647DE" w:rsidP="00051FCE"/>
        </w:tc>
        <w:tc>
          <w:tcPr>
            <w:tcW w:w="1947" w:type="dxa"/>
          </w:tcPr>
          <w:p w14:paraId="18EEC09F" w14:textId="0D89ACF4" w:rsidR="003647DE" w:rsidRDefault="003647DE" w:rsidP="00051FCE">
            <w:r>
              <w:t>Intake – ceased operating</w:t>
            </w:r>
          </w:p>
        </w:tc>
        <w:tc>
          <w:tcPr>
            <w:tcW w:w="5284" w:type="dxa"/>
          </w:tcPr>
          <w:p w14:paraId="1A605600" w14:textId="66C99D8F" w:rsidR="003647DE" w:rsidRDefault="003647DE" w:rsidP="00051FCE">
            <w:r>
              <w:t>Taking people (usually with long term care needs) from hospital and rightsizing the package of care before commissioning ongoing care from the private sector.</w:t>
            </w:r>
          </w:p>
        </w:tc>
      </w:tr>
      <w:tr w:rsidR="003647DE" w14:paraId="788304D3" w14:textId="77777777" w:rsidTr="00FB505C">
        <w:tc>
          <w:tcPr>
            <w:tcW w:w="1785" w:type="dxa"/>
            <w:vMerge/>
          </w:tcPr>
          <w:p w14:paraId="53B7013A" w14:textId="77777777" w:rsidR="003647DE" w:rsidRDefault="003647DE" w:rsidP="00051FCE"/>
        </w:tc>
        <w:tc>
          <w:tcPr>
            <w:tcW w:w="1947" w:type="dxa"/>
          </w:tcPr>
          <w:p w14:paraId="2EB6FFE3" w14:textId="3E8359DD" w:rsidR="003647DE" w:rsidRDefault="003647DE" w:rsidP="00051FCE">
            <w:r>
              <w:t>Hybrid – ceased operating</w:t>
            </w:r>
          </w:p>
        </w:tc>
        <w:tc>
          <w:tcPr>
            <w:tcW w:w="5284" w:type="dxa"/>
          </w:tcPr>
          <w:p w14:paraId="3D837DEF" w14:textId="4298943A" w:rsidR="003647DE" w:rsidRDefault="003647DE" w:rsidP="00051FCE">
            <w:r w:rsidRPr="00E22BEC">
              <w:rPr>
                <w:rFonts w:ascii="Aptos Narrow" w:hAnsi="Aptos Narrow"/>
                <w:color w:val="000000"/>
                <w:shd w:val="clear" w:color="auto" w:fill="FFFFFF"/>
              </w:rPr>
              <w:t>Joint venture, pilot project with trained health and social care front line staff, providing social care and health tasks to individuals in their own home e.g. personal care, medication, health monitoring, and other health and social care tasks combined.</w:t>
            </w:r>
          </w:p>
        </w:tc>
      </w:tr>
    </w:tbl>
    <w:p w14:paraId="47F9A42D" w14:textId="77777777" w:rsidR="00817804" w:rsidRPr="00C118C9" w:rsidRDefault="00817804" w:rsidP="00326682">
      <w:pPr>
        <w:rPr>
          <w:lang w:val="en-GB"/>
        </w:rPr>
      </w:pPr>
    </w:p>
    <w:p w14:paraId="6A5E9380" w14:textId="77777777" w:rsidR="00E9563D" w:rsidRPr="00E9563D" w:rsidRDefault="00E9563D" w:rsidP="00E9563D">
      <w:pPr>
        <w:pStyle w:val="Heading1"/>
        <w:rPr>
          <w:rFonts w:eastAsia="MS Gothic"/>
          <w:lang w:val="en-GB"/>
        </w:rPr>
      </w:pPr>
      <w:r w:rsidRPr="00E9563D">
        <w:rPr>
          <w:rFonts w:eastAsia="MS Gothic"/>
          <w:lang w:val="en-GB"/>
        </w:rPr>
        <w:t>Study period</w:t>
      </w:r>
    </w:p>
    <w:p w14:paraId="494D879E" w14:textId="77777777" w:rsidR="00E9563D" w:rsidRPr="00E9563D" w:rsidRDefault="00E9563D" w:rsidP="00E9563D">
      <w:pPr>
        <w:rPr>
          <w:rFonts w:eastAsia="MS Mincho" w:cs="Arial"/>
          <w:lang w:val="en-GB"/>
        </w:rPr>
      </w:pPr>
      <w:r w:rsidRPr="00E9563D">
        <w:rPr>
          <w:rFonts w:eastAsia="MS Mincho" w:cs="Arial"/>
          <w:lang w:val="en-GB"/>
        </w:rPr>
        <w:t>Defined on a per LA basis, reflecting the period of data availability.</w:t>
      </w:r>
    </w:p>
    <w:p w14:paraId="7629A30F" w14:textId="7F8E2E88" w:rsidR="005E3211" w:rsidRDefault="005E3211" w:rsidP="005E3211">
      <w:pPr>
        <w:pStyle w:val="Caption"/>
        <w:keepNext/>
      </w:pPr>
      <w:r>
        <w:t xml:space="preserve">Table </w:t>
      </w:r>
      <w:r>
        <w:fldChar w:fldCharType="begin"/>
      </w:r>
      <w:r>
        <w:instrText xml:space="preserve"> SEQ Table \* ARABIC </w:instrText>
      </w:r>
      <w:r>
        <w:fldChar w:fldCharType="separate"/>
      </w:r>
      <w:r>
        <w:rPr>
          <w:noProof/>
        </w:rPr>
        <w:t>1</w:t>
      </w:r>
      <w:r>
        <w:fldChar w:fldCharType="end"/>
      </w:r>
      <w:r>
        <w:t>: Study period per LA</w:t>
      </w:r>
    </w:p>
    <w:tbl>
      <w:tblPr>
        <w:tblStyle w:val="TableGrid1"/>
        <w:tblW w:w="0" w:type="auto"/>
        <w:tblLook w:val="04A0" w:firstRow="1" w:lastRow="0" w:firstColumn="1" w:lastColumn="0" w:noHBand="0" w:noVBand="1"/>
      </w:tblPr>
      <w:tblGrid>
        <w:gridCol w:w="3062"/>
        <w:gridCol w:w="2977"/>
        <w:gridCol w:w="2977"/>
      </w:tblGrid>
      <w:tr w:rsidR="00E9563D" w:rsidRPr="00E9563D" w14:paraId="4248C948" w14:textId="77777777" w:rsidTr="005E3211">
        <w:tc>
          <w:tcPr>
            <w:tcW w:w="3062" w:type="dxa"/>
          </w:tcPr>
          <w:p w14:paraId="3E588460" w14:textId="77777777" w:rsidR="00E9563D" w:rsidRPr="00E9563D" w:rsidRDefault="00E9563D" w:rsidP="00E9563D">
            <w:pPr>
              <w:rPr>
                <w:rFonts w:eastAsia="MS Mincho" w:cs="Arial"/>
                <w:b/>
                <w:bCs/>
              </w:rPr>
            </w:pPr>
            <w:r w:rsidRPr="00E9563D">
              <w:rPr>
                <w:rFonts w:eastAsia="MS Mincho" w:cs="Arial"/>
                <w:b/>
                <w:bCs/>
              </w:rPr>
              <w:t>LA name</w:t>
            </w:r>
          </w:p>
        </w:tc>
        <w:tc>
          <w:tcPr>
            <w:tcW w:w="2977" w:type="dxa"/>
          </w:tcPr>
          <w:p w14:paraId="64DB37C1" w14:textId="77777777" w:rsidR="00E9563D" w:rsidRPr="00E9563D" w:rsidRDefault="00E9563D" w:rsidP="00E9563D">
            <w:pPr>
              <w:rPr>
                <w:rFonts w:eastAsia="MS Mincho" w:cs="Arial"/>
                <w:b/>
                <w:bCs/>
              </w:rPr>
            </w:pPr>
            <w:r w:rsidRPr="00E9563D">
              <w:rPr>
                <w:rFonts w:eastAsia="MS Mincho" w:cs="Arial"/>
                <w:b/>
                <w:bCs/>
              </w:rPr>
              <w:t>Start Date</w:t>
            </w:r>
          </w:p>
        </w:tc>
        <w:tc>
          <w:tcPr>
            <w:tcW w:w="2977" w:type="dxa"/>
          </w:tcPr>
          <w:p w14:paraId="48F6E1FF" w14:textId="77777777" w:rsidR="00E9563D" w:rsidRPr="00E9563D" w:rsidRDefault="00E9563D" w:rsidP="00E9563D">
            <w:pPr>
              <w:rPr>
                <w:rFonts w:eastAsia="MS Mincho" w:cs="Arial"/>
                <w:b/>
                <w:bCs/>
              </w:rPr>
            </w:pPr>
            <w:r w:rsidRPr="00E9563D">
              <w:rPr>
                <w:rFonts w:eastAsia="MS Mincho" w:cs="Arial"/>
                <w:b/>
                <w:bCs/>
              </w:rPr>
              <w:t>End Date</w:t>
            </w:r>
          </w:p>
        </w:tc>
      </w:tr>
      <w:tr w:rsidR="00E9563D" w:rsidRPr="00E9563D" w14:paraId="7183E881" w14:textId="77777777" w:rsidTr="005E3211">
        <w:tc>
          <w:tcPr>
            <w:tcW w:w="3062" w:type="dxa"/>
          </w:tcPr>
          <w:p w14:paraId="7D5E9A3B" w14:textId="77777777" w:rsidR="00E9563D" w:rsidRPr="00E9563D" w:rsidRDefault="00E9563D" w:rsidP="00E9563D">
            <w:pPr>
              <w:rPr>
                <w:rFonts w:eastAsia="MS Mincho" w:cs="Arial"/>
                <w:lang w:val="en-GB"/>
              </w:rPr>
            </w:pPr>
            <w:r w:rsidRPr="00E9563D">
              <w:rPr>
                <w:rFonts w:eastAsia="MS Mincho" w:cs="Arial"/>
                <w:lang w:val="en-GB"/>
              </w:rPr>
              <w:t>Bridgend</w:t>
            </w:r>
          </w:p>
        </w:tc>
        <w:tc>
          <w:tcPr>
            <w:tcW w:w="2977" w:type="dxa"/>
          </w:tcPr>
          <w:p w14:paraId="314FC9C9" w14:textId="77777777" w:rsidR="00E9563D" w:rsidRPr="00E9563D" w:rsidRDefault="00E9563D" w:rsidP="00E9563D">
            <w:pPr>
              <w:rPr>
                <w:rFonts w:eastAsia="MS Mincho" w:cs="Arial"/>
                <w:lang w:val="en-GB"/>
              </w:rPr>
            </w:pPr>
            <w:r w:rsidRPr="00E9563D">
              <w:rPr>
                <w:rFonts w:eastAsia="MS Mincho" w:cs="Arial"/>
                <w:lang w:val="en-GB"/>
              </w:rPr>
              <w:t>01/04/2021</w:t>
            </w:r>
          </w:p>
        </w:tc>
        <w:tc>
          <w:tcPr>
            <w:tcW w:w="2977" w:type="dxa"/>
          </w:tcPr>
          <w:p w14:paraId="5CFD03B4" w14:textId="77777777" w:rsidR="00E9563D" w:rsidRPr="00E9563D" w:rsidRDefault="00E9563D" w:rsidP="00E9563D">
            <w:pPr>
              <w:rPr>
                <w:rFonts w:eastAsia="MS Mincho" w:cs="Arial"/>
                <w:lang w:val="en-GB"/>
              </w:rPr>
            </w:pPr>
            <w:r w:rsidRPr="00E9563D">
              <w:rPr>
                <w:rFonts w:eastAsia="MS Mincho" w:cs="Arial"/>
                <w:lang w:val="en-GB"/>
              </w:rPr>
              <w:t>31/03/2024</w:t>
            </w:r>
          </w:p>
        </w:tc>
      </w:tr>
      <w:tr w:rsidR="00E9563D" w:rsidRPr="00E9563D" w14:paraId="22FA3624" w14:textId="77777777" w:rsidTr="005E3211">
        <w:tc>
          <w:tcPr>
            <w:tcW w:w="3062" w:type="dxa"/>
          </w:tcPr>
          <w:p w14:paraId="6C7B8E14" w14:textId="77777777" w:rsidR="00E9563D" w:rsidRPr="00E9563D" w:rsidRDefault="00E9563D" w:rsidP="00E9563D">
            <w:pPr>
              <w:rPr>
                <w:rFonts w:eastAsia="MS Mincho" w:cs="Arial"/>
                <w:lang w:val="en-GB"/>
              </w:rPr>
            </w:pPr>
            <w:r w:rsidRPr="00E9563D">
              <w:rPr>
                <w:rFonts w:eastAsia="MS Mincho" w:cs="Arial"/>
                <w:lang w:val="en-GB"/>
              </w:rPr>
              <w:t>Rhondda Cynon Taf</w:t>
            </w:r>
          </w:p>
        </w:tc>
        <w:tc>
          <w:tcPr>
            <w:tcW w:w="2977" w:type="dxa"/>
          </w:tcPr>
          <w:p w14:paraId="5B0680C9" w14:textId="77777777" w:rsidR="00E9563D" w:rsidRPr="00E9563D" w:rsidRDefault="00E9563D" w:rsidP="00E9563D">
            <w:pPr>
              <w:rPr>
                <w:rFonts w:eastAsia="MS Mincho" w:cs="Arial"/>
                <w:lang w:val="en-GB"/>
              </w:rPr>
            </w:pPr>
            <w:r w:rsidRPr="00E9563D">
              <w:rPr>
                <w:rFonts w:eastAsia="MS Mincho" w:cs="Arial"/>
                <w:lang w:val="en-GB"/>
              </w:rPr>
              <w:t>01/04/2022</w:t>
            </w:r>
          </w:p>
        </w:tc>
        <w:tc>
          <w:tcPr>
            <w:tcW w:w="2977" w:type="dxa"/>
          </w:tcPr>
          <w:p w14:paraId="23879209" w14:textId="77777777" w:rsidR="00E9563D" w:rsidRPr="00E9563D" w:rsidRDefault="00E9563D" w:rsidP="00E9563D">
            <w:pPr>
              <w:rPr>
                <w:rFonts w:eastAsia="MS Mincho" w:cs="Arial"/>
                <w:lang w:val="en-GB"/>
              </w:rPr>
            </w:pPr>
            <w:r w:rsidRPr="00E9563D">
              <w:rPr>
                <w:rFonts w:eastAsia="MS Mincho" w:cs="Arial"/>
                <w:lang w:val="en-GB"/>
              </w:rPr>
              <w:t>31/03/2023</w:t>
            </w:r>
          </w:p>
        </w:tc>
      </w:tr>
    </w:tbl>
    <w:p w14:paraId="73FBD8DE" w14:textId="77777777" w:rsidR="00E9563D" w:rsidRDefault="00E9563D" w:rsidP="00E9563D">
      <w:pPr>
        <w:rPr>
          <w:rFonts w:eastAsia="MS Mincho" w:cs="Arial"/>
          <w:lang w:val="en-GB"/>
        </w:rPr>
      </w:pPr>
    </w:p>
    <w:p w14:paraId="319CC756" w14:textId="39C95DF5" w:rsidR="002B4FB1" w:rsidRPr="00E9563D" w:rsidRDefault="002B4FB1" w:rsidP="00E9563D">
      <w:pPr>
        <w:rPr>
          <w:rFonts w:eastAsia="MS Mincho" w:cs="Arial"/>
          <w:lang w:val="en-GB"/>
        </w:rPr>
      </w:pPr>
      <w:r>
        <w:t>NOTE: the completion status of packages varied, with Bridgend providing data on all packages completed within the study period, whilst RCT provided data on any packages delivered (i.e. started, ongoing or completed) during the study period. To maintain a consistent approach across LAs, reablement package start date was used to determine demographics and health.</w:t>
      </w:r>
      <w:r w:rsidR="00324C4B">
        <w:t xml:space="preserve"> Due to the </w:t>
      </w:r>
      <w:r w:rsidR="00324C4B">
        <w:lastRenderedPageBreak/>
        <w:t>coverage of data from Bridgend, this likely results in</w:t>
      </w:r>
      <w:r w:rsidR="00A06B8E">
        <w:t xml:space="preserve"> an artificially low number of packages towards the end of the study period (</w:t>
      </w:r>
      <w:r w:rsidR="00E577E8">
        <w:t>i.e. they were completed after the study period, and thus not included in the data provisioned).</w:t>
      </w:r>
    </w:p>
    <w:p w14:paraId="1FBBBC07" w14:textId="77777777" w:rsidR="00E9563D" w:rsidRPr="00E9563D" w:rsidRDefault="00E9563D" w:rsidP="00E9563D">
      <w:pPr>
        <w:pStyle w:val="Heading1"/>
        <w:rPr>
          <w:rFonts w:eastAsia="MS Gothic"/>
          <w:lang w:val="en-GB"/>
        </w:rPr>
      </w:pPr>
      <w:r w:rsidRPr="00E9563D">
        <w:t>Inclusion</w:t>
      </w:r>
      <w:r w:rsidRPr="00E9563D">
        <w:rPr>
          <w:rFonts w:eastAsia="MS Gothic"/>
          <w:lang w:val="en-GB"/>
        </w:rPr>
        <w:t xml:space="preserve"> criteria</w:t>
      </w:r>
    </w:p>
    <w:p w14:paraId="00292A4B" w14:textId="7FAA310E" w:rsidR="00E9563D" w:rsidRPr="00E9563D" w:rsidRDefault="00E9563D" w:rsidP="00E9563D">
      <w:pPr>
        <w:pStyle w:val="BulletList"/>
        <w:rPr>
          <w:rFonts w:eastAsia="MS Mincho"/>
          <w:lang w:val="en-GB"/>
        </w:rPr>
      </w:pPr>
      <w:r w:rsidRPr="00E9563D">
        <w:rPr>
          <w:rFonts w:eastAsia="MS Mincho"/>
          <w:lang w:val="en-GB"/>
        </w:rPr>
        <w:t>Reablement care package start date within study period</w:t>
      </w:r>
      <w:r>
        <w:rPr>
          <w:rFonts w:eastAsia="MS Mincho"/>
          <w:lang w:val="en-GB"/>
        </w:rPr>
        <w:t xml:space="preserve"> </w:t>
      </w:r>
      <w:r w:rsidRPr="00E9563D">
        <w:rPr>
          <w:rFonts w:eastAsia="MS Mincho"/>
          <w:lang w:val="en-GB"/>
        </w:rPr>
        <w:t>(as determined by the LA).</w:t>
      </w:r>
    </w:p>
    <w:p w14:paraId="4648393E" w14:textId="0386E79D" w:rsidR="00E9563D" w:rsidRPr="00E9563D" w:rsidRDefault="00E9563D" w:rsidP="00E9563D">
      <w:pPr>
        <w:pStyle w:val="BulletList"/>
        <w:rPr>
          <w:rFonts w:eastAsia="MS Mincho"/>
          <w:lang w:val="en-GB"/>
        </w:rPr>
      </w:pPr>
      <w:r w:rsidRPr="00E9563D">
        <w:rPr>
          <w:rFonts w:eastAsia="MS Mincho"/>
          <w:lang w:val="en-GB"/>
        </w:rPr>
        <w:t>Linkage match of 90% or above</w:t>
      </w:r>
      <w:r w:rsidR="009E3B10">
        <w:rPr>
          <w:rFonts w:eastAsia="MS Mincho"/>
          <w:lang w:val="en-GB"/>
        </w:rPr>
        <w:t xml:space="preserve"> (i.e. </w:t>
      </w:r>
      <w:r w:rsidR="00FF1D42">
        <w:rPr>
          <w:rFonts w:eastAsia="MS Mincho"/>
          <w:lang w:val="en-GB"/>
        </w:rPr>
        <w:t xml:space="preserve">match on NHS number, </w:t>
      </w:r>
      <w:r w:rsidR="00CF5858">
        <w:rPr>
          <w:rFonts w:eastAsia="MS Mincho"/>
          <w:lang w:val="en-GB"/>
        </w:rPr>
        <w:t xml:space="preserve">exact match on key identifiable variables, </w:t>
      </w:r>
      <w:r w:rsidR="00D337D9">
        <w:rPr>
          <w:rFonts w:eastAsia="MS Mincho"/>
          <w:lang w:val="en-GB"/>
        </w:rPr>
        <w:t>probabilistic match on identifiable variables at 90% and above)</w:t>
      </w:r>
      <w:r w:rsidR="00E70ACB">
        <w:rPr>
          <w:rFonts w:eastAsia="MS Mincho"/>
          <w:lang w:val="en-GB"/>
        </w:rPr>
        <w:t xml:space="preserve"> </w:t>
      </w:r>
      <w:r w:rsidR="00E70ACB">
        <w:rPr>
          <w:rFonts w:eastAsia="MS Mincho"/>
          <w:lang w:val="en-GB"/>
        </w:rPr>
        <w:fldChar w:fldCharType="begin" w:fldLock="1"/>
      </w:r>
      <w:r w:rsidR="00E70ACB">
        <w:rPr>
          <w:rFonts w:eastAsia="MS Mincho"/>
          <w:lang w:val="en-GB"/>
        </w:rPr>
        <w:instrText>ADDIN CSL_CITATION {"citationItems":[{"id":"ITEM-1","itemData":{"DOI":"10.1186/1472-6947-9-3","ISSN":"1472-6947","PMID":"19149883","abstract":"Background: Vast amounts of data are collected about patients and service users in the course of health and social care service delivery. Electronic data systems for patient records have the potential to revolutionise service delivery and research. But in order to achieve this, it is essential that the ability to link the data at the individual record level be retained whilst adhering to the principles of information governance. The SAIL (Secure Anonymised Information Linkage) databank has been established using disparate datasets, and over 500 million records from multiple health and social care service providers have been loaded to date, with further growth in progress. Methods: Having established the infrastructure of the databank, the aim of this work was to develop and implement an accurate matching process to enable the assignment of a unique Anonymous Linking Field (ALF) to person-based records to make the databank ready for record-linkage research studies. An SQL-based matching algorithm (MACRAL, Matching Algorithm for Consistent Results in Anonymised Linkage) was developed for this purpose. Firstly the suitability of using a valid NHS number as the basis of a unique identifier was assessed using MACRAL. Secondly, MACRAL was applied in turn to match primary care, secondary care and social services datasets to the NHS Administrative Register (NHSAR), to assess the efficacy of this process, and the optimum matching technique. Results: The validation of using the NHS number yielded specificity values &gt; 99.8% and sensitivity values &gt; 94.6% using probabilistic record linkage (PRL) at the 50% threshold, and error rates were &lt; 0.2%. A range of techniques for matching datasets to the NHSAR were applied and the optimum technique resulted in sensitivity values of: 99.9% for a GP dataset from primary care, 99.3% for a PEDW dataset from secondary care and 95.2% for the PARIS database from social care. Conclusion: With the infrastructure that has been put in place, the reliable matching process that has been developed enables an ALF to be consistently allocated to records in the databank. The SAIL databank represents a research-ready platform for record-linkage studies.","author":[{"dropping-particle":"","family":"Lyons","given":"Ronan A.","non-dropping-particle":"","parse-names":false,"suffix":""},{"dropping-particle":"","family":"Jones","given":"Kerina H.","non-dropping-particle":"","parse-names":false,"suffix":""},{"dropping-particle":"","family":"John","given":"Gareth","non-dropping-particle":"","parse-names":false,"suffix":""},{"dropping-particle":"","family":"Brooks","given":"Caroline J.","non-dropping-particle":"","parse-names":false,"suffix":""},{"dropping-particle":"","family":"Verplancke","given":"Jean Philippe","non-dropping-particle":"","parse-names":false,"suffix":""},{"dropping-particle":"V.","family":"Ford","given":"David","non-dropping-particle":"","parse-names":false,"suffix":""},{"dropping-particle":"","family":"Brown","given":"Ginevra","non-dropping-particle":"","parse-names":false,"suffix":""},{"dropping-particle":"","family":"Leake","given":"Ken","non-dropping-particle":"","parse-names":false,"suffix":""}],"container-title":"BMC medical informatics and decision making","id":"ITEM-1","issue":"1","issued":{"date-parts":[["2009"]]},"publisher":"BMC Med Inform Decis Mak","title":"The SAIL databank: linking multiple health and social care datasets","type":"article-journal","volume":"9"},"uris":["http://www.mendeley.com/documents/?uuid=5519c1c3-5083-31c9-bfec-66515000d36f"]}],"mendeley":{"formattedCitation":"(3)","plainTextFormattedCitation":"(3)"},"properties":{"noteIndex":0},"schema":"https://github.com/citation-style-language/schema/raw/master/csl-citation.json"}</w:instrText>
      </w:r>
      <w:r w:rsidR="00E70ACB">
        <w:rPr>
          <w:rFonts w:eastAsia="MS Mincho"/>
          <w:lang w:val="en-GB"/>
        </w:rPr>
        <w:fldChar w:fldCharType="separate"/>
      </w:r>
      <w:r w:rsidR="00E70ACB" w:rsidRPr="00E70ACB">
        <w:rPr>
          <w:rFonts w:eastAsia="MS Mincho"/>
          <w:noProof/>
          <w:lang w:val="en-GB"/>
        </w:rPr>
        <w:t>(3)</w:t>
      </w:r>
      <w:r w:rsidR="00E70ACB">
        <w:rPr>
          <w:rFonts w:eastAsia="MS Mincho"/>
          <w:lang w:val="en-GB"/>
        </w:rPr>
        <w:fldChar w:fldCharType="end"/>
      </w:r>
      <w:r w:rsidRPr="00E9563D">
        <w:rPr>
          <w:rFonts w:eastAsia="MS Mincho"/>
          <w:lang w:val="en-GB"/>
        </w:rPr>
        <w:t>.</w:t>
      </w:r>
    </w:p>
    <w:p w14:paraId="5BC8C9A1" w14:textId="77777777" w:rsidR="00E9563D" w:rsidRPr="00E9563D" w:rsidRDefault="00E9563D" w:rsidP="00E9563D">
      <w:pPr>
        <w:pStyle w:val="BulletList"/>
        <w:rPr>
          <w:rFonts w:eastAsia="MS Mincho"/>
          <w:lang w:val="en-GB"/>
        </w:rPr>
      </w:pPr>
      <w:r w:rsidRPr="00E9563D">
        <w:rPr>
          <w:rFonts w:eastAsia="MS Mincho"/>
          <w:lang w:val="en-GB"/>
        </w:rPr>
        <w:t>Have a valid sex code.</w:t>
      </w:r>
    </w:p>
    <w:p w14:paraId="40EC0000" w14:textId="77777777" w:rsidR="00E9563D" w:rsidRPr="00E9563D" w:rsidRDefault="00E9563D" w:rsidP="00E9563D">
      <w:pPr>
        <w:pStyle w:val="BulletList"/>
        <w:rPr>
          <w:rFonts w:eastAsia="MS Mincho"/>
          <w:lang w:val="en-GB"/>
        </w:rPr>
      </w:pPr>
      <w:r w:rsidRPr="00E9563D">
        <w:rPr>
          <w:rFonts w:eastAsia="MS Mincho"/>
          <w:lang w:val="en-GB"/>
        </w:rPr>
        <w:t>Have a valid week of birth.</w:t>
      </w:r>
    </w:p>
    <w:p w14:paraId="38C8EA06" w14:textId="77777777" w:rsidR="00E9563D" w:rsidRPr="00E9563D" w:rsidRDefault="00E9563D" w:rsidP="00E9563D">
      <w:pPr>
        <w:pStyle w:val="BulletList"/>
        <w:rPr>
          <w:rFonts w:eastAsia="MS Mincho"/>
          <w:lang w:val="en-GB"/>
        </w:rPr>
      </w:pPr>
      <w:r w:rsidRPr="00E9563D">
        <w:rPr>
          <w:rFonts w:eastAsia="MS Mincho"/>
          <w:lang w:val="en-GB"/>
        </w:rPr>
        <w:t>Residing in the LA of interest.</w:t>
      </w:r>
    </w:p>
    <w:p w14:paraId="0EC6C2D9" w14:textId="77777777" w:rsidR="00E9563D" w:rsidRPr="00E9563D" w:rsidRDefault="00E9563D" w:rsidP="00E9563D">
      <w:pPr>
        <w:pStyle w:val="BulletList"/>
        <w:rPr>
          <w:rFonts w:eastAsia="MS Mincho"/>
          <w:lang w:val="en-GB"/>
        </w:rPr>
      </w:pPr>
      <w:r w:rsidRPr="00E9563D">
        <w:rPr>
          <w:rFonts w:eastAsia="MS Mincho"/>
          <w:lang w:val="en-GB"/>
        </w:rPr>
        <w:t>Death date does not precede reablement care package start date.</w:t>
      </w:r>
    </w:p>
    <w:p w14:paraId="7A2DAA10" w14:textId="77777777" w:rsidR="00E9563D" w:rsidRPr="00E9563D" w:rsidRDefault="00E9563D" w:rsidP="00E9563D">
      <w:pPr>
        <w:pStyle w:val="BulletList"/>
        <w:rPr>
          <w:rFonts w:eastAsia="MS Mincho"/>
          <w:lang w:val="en-GB"/>
        </w:rPr>
      </w:pPr>
      <w:r w:rsidRPr="00E9563D">
        <w:rPr>
          <w:rFonts w:eastAsia="MS Mincho"/>
          <w:lang w:val="en-GB"/>
        </w:rPr>
        <w:t>Registered with a SAIL GP for a full year prior to reablement start date.</w:t>
      </w:r>
    </w:p>
    <w:p w14:paraId="44E22099" w14:textId="77777777" w:rsidR="00E9563D" w:rsidRPr="00E9563D" w:rsidRDefault="00E9563D" w:rsidP="00E9563D">
      <w:pPr>
        <w:spacing w:line="240" w:lineRule="auto"/>
        <w:rPr>
          <w:rFonts w:eastAsia="MS Mincho" w:cs="Arial"/>
          <w:lang w:val="en-GB"/>
        </w:rPr>
      </w:pPr>
      <w:r w:rsidRPr="00E9563D">
        <w:rPr>
          <w:rFonts w:eastAsia="MS Mincho" w:cs="Arial"/>
          <w:lang w:val="en-GB"/>
        </w:rPr>
        <w:t>A flowchart detailing the numbers excluded at each stage can be found in Appendix C.</w:t>
      </w:r>
    </w:p>
    <w:p w14:paraId="2D5D4C6F" w14:textId="77777777" w:rsidR="00E9563D" w:rsidRPr="00E9563D" w:rsidRDefault="00E9563D" w:rsidP="00E9563D">
      <w:pPr>
        <w:pStyle w:val="Heading1"/>
        <w:rPr>
          <w:rFonts w:eastAsia="MS Gothic"/>
          <w:lang w:val="en-GB"/>
        </w:rPr>
      </w:pPr>
      <w:r w:rsidRPr="00E9563D">
        <w:rPr>
          <w:rFonts w:eastAsia="MS Gothic"/>
          <w:lang w:val="en-GB"/>
        </w:rPr>
        <w:t>Demographics</w:t>
      </w:r>
    </w:p>
    <w:p w14:paraId="6F4A10F8" w14:textId="77777777" w:rsidR="00E9563D" w:rsidRPr="00E9563D" w:rsidRDefault="00E9563D" w:rsidP="00E9563D">
      <w:pPr>
        <w:rPr>
          <w:rFonts w:eastAsia="MS Mincho" w:cs="Arial"/>
          <w:lang w:val="en-GB"/>
        </w:rPr>
      </w:pPr>
      <w:r w:rsidRPr="00E9563D">
        <w:rPr>
          <w:rFonts w:eastAsia="MS Mincho" w:cs="Arial"/>
          <w:lang w:val="en-GB"/>
        </w:rPr>
        <w:t>The following demographic were explored in the analysis:</w:t>
      </w:r>
    </w:p>
    <w:p w14:paraId="0779E159" w14:textId="77777777" w:rsidR="00E9563D" w:rsidRPr="00E9563D" w:rsidRDefault="00E9563D" w:rsidP="00E9563D">
      <w:pPr>
        <w:pStyle w:val="BulletList"/>
        <w:rPr>
          <w:rFonts w:eastAsia="MS Mincho"/>
          <w:lang w:val="en-GB"/>
        </w:rPr>
      </w:pPr>
      <w:r w:rsidRPr="00E9563D">
        <w:rPr>
          <w:rFonts w:eastAsia="MS Mincho"/>
          <w:lang w:val="en-GB"/>
        </w:rPr>
        <w:t>Sex: male, female.</w:t>
      </w:r>
    </w:p>
    <w:p w14:paraId="69C6D27F" w14:textId="77777777" w:rsidR="00E9563D" w:rsidRPr="00E9563D" w:rsidRDefault="00E9563D" w:rsidP="00E9563D">
      <w:pPr>
        <w:pStyle w:val="BulletList"/>
        <w:rPr>
          <w:rFonts w:eastAsia="MS Mincho"/>
          <w:lang w:val="en-GB"/>
        </w:rPr>
      </w:pPr>
      <w:r w:rsidRPr="00E9563D">
        <w:rPr>
          <w:rFonts w:eastAsia="MS Mincho"/>
          <w:lang w:val="en-GB"/>
        </w:rPr>
        <w:t>Age group: under 65, 65-69, 70-74, 75-79, 80-84, 85-89, 90+.</w:t>
      </w:r>
    </w:p>
    <w:p w14:paraId="0B8630B3" w14:textId="298CBD94" w:rsidR="00E9563D" w:rsidRPr="00E9563D" w:rsidRDefault="00E9563D" w:rsidP="00E9563D">
      <w:pPr>
        <w:pStyle w:val="BulletList"/>
        <w:rPr>
          <w:rFonts w:eastAsia="MS Mincho"/>
          <w:lang w:val="en-GB"/>
        </w:rPr>
      </w:pPr>
      <w:r w:rsidRPr="00E9563D">
        <w:rPr>
          <w:rFonts w:eastAsia="MS Mincho"/>
          <w:lang w:val="en-GB"/>
        </w:rPr>
        <w:t xml:space="preserve">Deprivation: 1 (most deprived), 2, 3, 4, 5 (least deprived). Uses WIMD (Welsh Index of Multiple Deprivation) 2019 quintiles </w:t>
      </w:r>
      <w:r w:rsidRPr="00E9563D">
        <w:rPr>
          <w:rFonts w:eastAsia="MS Mincho"/>
          <w:lang w:val="en-GB"/>
        </w:rPr>
        <w:fldChar w:fldCharType="begin" w:fldLock="1"/>
      </w:r>
      <w:r w:rsidR="0013523C">
        <w:rPr>
          <w:rFonts w:eastAsia="MS Mincho"/>
          <w:lang w:val="en-GB"/>
        </w:rPr>
        <w:instrText>ADDIN CSL_CITATION {"citationItems":[{"id":"ITEM-1","itemData":{"URL":"https://www.gov.wales/welsh-index-multiple-deprivation-full-index-update-ranks-2019","accessed":{"date-parts":[["2023","1","9"]]},"id":"ITEM-1","issued":{"date-parts":[["0"]]},"title":"Welsh Index of Multiple Deprivation (full Index update with ranks): 2019 | GOV.WALES","type":"webpage"},"uris":["http://www.mendeley.com/documents/?uuid=4d10379b-9e93-3adb-b889-e689a46b2761"]}],"mendeley":{"formattedCitation":"(4)","plainTextFormattedCitation":"(4)","previouslyFormattedCitation":"(4)"},"properties":{"noteIndex":0},"schema":"https://github.com/citation-style-language/schema/raw/master/csl-citation.json"}</w:instrText>
      </w:r>
      <w:r w:rsidRPr="00E9563D">
        <w:rPr>
          <w:rFonts w:eastAsia="MS Mincho"/>
          <w:lang w:val="en-GB"/>
        </w:rPr>
        <w:fldChar w:fldCharType="separate"/>
      </w:r>
      <w:r w:rsidRPr="00E9563D">
        <w:rPr>
          <w:rFonts w:eastAsia="MS Mincho"/>
          <w:noProof/>
          <w:lang w:val="en-GB"/>
        </w:rPr>
        <w:t>(4)</w:t>
      </w:r>
      <w:r w:rsidRPr="00E9563D">
        <w:rPr>
          <w:rFonts w:eastAsia="MS Mincho"/>
          <w:lang w:val="en-GB"/>
        </w:rPr>
        <w:fldChar w:fldCharType="end"/>
      </w:r>
      <w:r w:rsidRPr="00E9563D">
        <w:rPr>
          <w:rFonts w:eastAsia="MS Mincho"/>
          <w:lang w:val="en-GB"/>
        </w:rPr>
        <w:t>.</w:t>
      </w:r>
    </w:p>
    <w:p w14:paraId="3606FF58" w14:textId="1B76960C" w:rsidR="00E9563D" w:rsidRDefault="00E9563D" w:rsidP="00E9563D">
      <w:pPr>
        <w:pStyle w:val="BulletList"/>
        <w:rPr>
          <w:rFonts w:eastAsia="MS Mincho"/>
          <w:lang w:val="en-GB"/>
        </w:rPr>
      </w:pPr>
      <w:r w:rsidRPr="00E9563D">
        <w:rPr>
          <w:rFonts w:eastAsia="MS Mincho"/>
          <w:lang w:val="en-GB"/>
        </w:rPr>
        <w:t xml:space="preserve">Rurality: </w:t>
      </w:r>
      <w:r w:rsidR="00FE7256">
        <w:rPr>
          <w:rFonts w:eastAsia="MS Mincho"/>
          <w:lang w:val="en-GB"/>
        </w:rPr>
        <w:t>rural, urban. Uses Rural Urban Classification 2011.</w:t>
      </w:r>
    </w:p>
    <w:p w14:paraId="28FD2442" w14:textId="77777777" w:rsidR="00E9563D" w:rsidRPr="00E9563D" w:rsidRDefault="00E9563D" w:rsidP="00E9563D">
      <w:pPr>
        <w:pStyle w:val="Heading1"/>
        <w:rPr>
          <w:rFonts w:eastAsia="MS Gothic"/>
        </w:rPr>
      </w:pPr>
      <w:r w:rsidRPr="00E9563D">
        <w:rPr>
          <w:rFonts w:eastAsia="MS Gothic"/>
        </w:rPr>
        <w:t>Long term conditions</w:t>
      </w:r>
    </w:p>
    <w:p w14:paraId="1264CC0D" w14:textId="20B6E34A" w:rsidR="00E9563D" w:rsidRDefault="00E9563D" w:rsidP="00E9563D">
      <w:pPr>
        <w:rPr>
          <w:rFonts w:eastAsia="MS Mincho" w:cs="Arial"/>
        </w:rPr>
      </w:pPr>
      <w:r w:rsidRPr="00E9563D">
        <w:rPr>
          <w:rFonts w:eastAsia="MS Mincho" w:cs="Arial"/>
        </w:rPr>
        <w:t xml:space="preserve">Long-term conditions (LTCs) were identified using primary care WLGP data. Conditions of interest were based on those used in version 1.1 of the Cambridge Multimorbidity Score, as used by the University of Cambridge Primary Care Unit </w:t>
      </w:r>
      <w:r w:rsidRPr="00E9563D">
        <w:rPr>
          <w:rFonts w:eastAsia="MS Mincho" w:cs="Arial"/>
        </w:rPr>
        <w:fldChar w:fldCharType="begin" w:fldLock="1"/>
      </w:r>
      <w:r w:rsidR="0013523C">
        <w:rPr>
          <w:rFonts w:eastAsia="MS Mincho" w:cs="Arial"/>
        </w:rPr>
        <w:instrText>ADDIN CSL_CITATION {"citationItems":[{"id":"ITEM-1","itemData":{"URL":"https://www.phpc.cam.ac.uk/pcu/research/research-groups/crmh/cprd_cam/codelists/v11/","accessed":{"date-parts":[["2023","1","9"]]},"id":"ITEM-1","issued":{"date-parts":[["0"]]},"title":"CPRD @ Cambridge - Codes Lists (GOLD) - Primary Care Unit","type":"webpage"},"uris":["http://www.mendeley.com/documents/?uuid=1f2c773d-0ea6-3aae-87fc-e43067ff6f4c"]},{"id":"ITEM-2","itemData":{"DOI":"10.3399/BJGP18X695465","ISSN":"0960-1643","PMID":"29530918","abstract":"Background Multimorbidity places a substantial burden on patients and the healthcare system, but few contemporary epidemiological data are available.\n\nAim To describe the epidemiology of multimorbidity in adults in England, and quantify associations between multimorbidity and health service utilisation.\n\nDesign and setting Retrospective cohort study, undertaken in England.\n\nMethod The study used a random sample of 403 985 adult patients (aged ≥18 years), who were registered with a general practice on 1 January 2012 and included in the Clinical Practice Research Datalink. Multimorbidity was defined as having two or more of 36 long-term conditions recorded in patients’ medical records, and associations between multimorbidity and health service utilisation (GP consultations, prescriptions, and hospitalisations) over 4 years were quantified.\n\nResults In total, 27.2% of the patients involved in the study had multimorbidity. The most prevalent conditions were hypertension (18.2%), depression or anxiety (10.3%), and chronic pain (10.1%). The prevalence of multimorbidity was higher in females than males (30.0% versus 24.4% respectively) and among those with lower socioeconomic status (30.0% in the quintile with the greatest levels of deprivation versus 25.8% in that with the lowest). Physical–mental comorbidity constituted a much greater proportion of overall morbidity in both younger patients (18–44 years) and those patients with a lower socioeconomic status. Multimorbidity was strongly associated with health service utilisation. Patients with multimorbidity accounted for 52.9% of GP consultations, 78.7% of prescriptions, and 56.1% of hospital admissions.\n\nConclusion Multimorbidity is common, socially patterned, and associated with increased health service utilisation. These findings support the need to improve the quality and efficiency of health services providing care to patients with multimorbidity at both practice and national level.","author":[{"dropping-particle":"","family":"Cassell","given":"Anna","non-dropping-particle":"","parse-names":false,"suffix":""},{"dropping-particle":"","family":"Edwards","given":"Duncan","non-dropping-particle":"","parse-names":false,"suffix":""},{"dropping-particle":"","family":"Harshfield","given":"Amelia","non-dropping-particle":"","parse-names":false,"suffix":""},{"dropping-particle":"","family":"Rhodes","given":"Kirsty","non-dropping-particle":"","parse-names":false,"suffix":""},{"dropping-particle":"","family":"Brimicombe","given":"James","non-dropping-particle":"","parse-names":false,"suffix":""},{"dropping-particle":"","family":"Payne","given":"Rupert","non-dropping-particle":"","parse-names":false,"suffix":""},{"dropping-particle":"","family":"Griffin","given":"Simon","non-dropping-particle":"","parse-names":false,"suffix":""}],"container-title":"British Journal of General Practice","id":"ITEM-2","issue":"669","issued":{"date-parts":[["2018","4","1"]]},"page":"e245-e251","publisher":"British Journal of General Practice","title":"The epidemiology of multimorbidity in primary care: a retrospective cohort study","type":"article-journal","volume":"68"},"uris":["http://www.mendeley.com/documents/?uuid=eb122aaf-ea87-3cb6-82a5-8964be840fa7"]}],"mendeley":{"formattedCitation":"(5,6)","plainTextFormattedCitation":"(5,6)","previouslyFormattedCitation":"(5,6)"},"properties":{"noteIndex":0},"schema":"https://github.com/citation-style-language/schema/raw/master/csl-citation.json"}</w:instrText>
      </w:r>
      <w:r w:rsidRPr="00E9563D">
        <w:rPr>
          <w:rFonts w:eastAsia="MS Mincho" w:cs="Arial"/>
        </w:rPr>
        <w:fldChar w:fldCharType="separate"/>
      </w:r>
      <w:r w:rsidRPr="00E9563D">
        <w:rPr>
          <w:rFonts w:eastAsia="MS Mincho" w:cs="Arial"/>
          <w:noProof/>
        </w:rPr>
        <w:t>(5,6)</w:t>
      </w:r>
      <w:r w:rsidRPr="00E9563D">
        <w:rPr>
          <w:rFonts w:eastAsia="MS Mincho" w:cs="Arial"/>
        </w:rPr>
        <w:fldChar w:fldCharType="end"/>
      </w:r>
      <w:r w:rsidRPr="00E9563D">
        <w:rPr>
          <w:rFonts w:eastAsia="MS Mincho" w:cs="Arial"/>
        </w:rPr>
        <w:t xml:space="preserve">. As only Read codes are available in Wales, we used Read code alternatives to Medcodes, provided by Cambridge Primary Care Unit, and Read code alternatives for product codes, developed by Hanlon et al., to identify LTCs </w:t>
      </w:r>
      <w:r w:rsidRPr="00E9563D">
        <w:rPr>
          <w:rFonts w:eastAsia="MS Mincho" w:cs="Arial"/>
        </w:rPr>
        <w:fldChar w:fldCharType="begin" w:fldLock="1"/>
      </w:r>
      <w:r w:rsidR="0013523C">
        <w:rPr>
          <w:rFonts w:eastAsia="MS Mincho" w:cs="Arial"/>
        </w:rPr>
        <w:instrText>ADDIN CSL_CITATION {"citationItems":[{"id":"ITEM-1","itemData":{"DOI":"10.1371/JOURNAL.PMED.1003931","ISSN":"15491676","PMID":"35255092","abstract":"Background Cohorts such as UK Biobank are increasingly used to study multimorbidity; however, there are concerns that lack of representativeness may lead to biased results. This study aims to compare associations between multimorbidity and adverse health outcomes in UK Biobank and a nationally representative sample. Methods and findings These are observational analyses of cohorts identified from linked routine healthcare data from UK Biobank participants (n = 211,597 from England, Scotland, and Wales with linked primary care data, age 40 to 70, mean age 56.5 years, 54.6% women, baseline assessment 2006 to 2010) and from the Secure Anonymised Information Linkage (SAIL) databank (n = 852,055 from Wales, age 40 to 70, mean age 54.2, 50.0% women, baseline January 2011). Multimorbidity (n = 40 long-term conditions [LTCs]) was identified from primary care Read codes and quantified using a simple count and a weighted score. Individual LTCs and LTC combinations were also assessed. Associations with all-cause mortality, unscheduled hospitalisation, and major adverse cardiovascular events (MACEs) were assessed using Weibull or negative binomial models adjusted for age, sex, and socioeconomic status, over 7.5 years follow-up for both datasets. Multimorbidity was less common in UK Biobank than SAIL (26.9% and 33.0% with ≥2 LTCs in UK Biobank and SAIL, respectively). This difference was attenuated, but persisted, after standardising by age, sex, and socioeconomic status. The association between increasing multimorbidity count and mortality, hospitalisation, and MACE was similar between both datasets at LTC counts of ≤3; however, above this level, UK Biobank underestimated the risk associated with multimorbidity (e.g., mortality hazard ratio for 2 LTCs 1.62 (95% confidence interval 1.57 to 1.68) in SAIL and 1.51 (1.43 to 1.59) in UK Biobank, hazard ratio for 5 LTCs was 3.46 (3.31 to 3.61) in SAIL and 2.88 (2.63 to 3.15) in UK Biobank). Absolute risk of mortality, hospitalisation, and MACE, at all levels of multimorbidity, was lower in UK Biobank than SAIL (adjusting for age, sex, and socioeconomic status). Both cohorts produced similar hazard ratios for some LTCs (e.g., hypertension and coronary heart disease), but UK Biobank underestimated the risk for others (e.g., alcohol-related disorders or mental health conditions). Hazard ratios for some LTC combinations were similar between the cohorts (e.g., cardiovascular conditions); however, UK Biobank underestimated the …","author":[{"dropping-particle":"","family":"Hanlon","given":"Peter","non-dropping-particle":"","parse-names":false,"suffix":""},{"dropping-particle":"","family":"Jani","given":"Bhautesh D.","non-dropping-particle":"","parse-names":false,"suffix":""},{"dropping-particle":"","family":"Nicholl","given":"Barbara","non-dropping-particle":"","parse-names":false,"suffix":""},{"dropping-particle":"","family":"Lewsey","given":"Jim","non-dropping-particle":"","parse-names":false,"suffix":""},{"dropping-particle":"","family":"McAllister","given":"David A.","non-dropping-particle":"","parse-names":false,"suffix":""},{"dropping-particle":"","family":"Mair","given":"Frances S.","non-dropping-particle":"","parse-names":false,"suffix":""}],"container-title":"PLoS Medicine","id":"ITEM-1","issue":"3","issued":{"date-parts":[["2022","3","1"]]},"publisher":"PLOS","title":"Associations between multimorbidity and adverse health outcomes in UK Biobank and the SAIL Databank: A comparison of longitudinal cohort studies","type":"article-journal","volume":"19"},"uris":["http://www.mendeley.com/documents/?uuid=dcea6b80-6956-3679-989b-e7fba271246a"]},{"id":"ITEM-2","itemData":{"DOI":"10.1503/cmaj.190757","ISSN":"0820-3946","author":[{"dropping-particle":"","family":"Payne","given":"Rupert A.","non-dropping-particle":"","parse-names":false,"suffix":""},{"dropping-particle":"","family":"Mendonca","given":"Silvia C.","non-dropping-particle":"","parse-names":false,"suffix":""},{"dropping-particle":"","family":"Elliott","given":"Marc N.","non-dropping-particle":"","parse-names":false,"suffix":""},{"dropping-particle":"","family":"Saunders","given":"Catherine L.","non-dropping-particle":"","parse-names":false,"suffix":""},{"dropping-particle":"","family":"Edwards","given":"Duncan A.","non-dropping-particle":"","parse-names":false,"suffix":""},{"dropping-particle":"","family":"Marshall","given":"Martin","non-dropping-particle":"","parse-names":false,"suffix":""},{"dropping-particle":"","family":"Roland","given":"Martin","non-dropping-particle":"","parse-names":false,"suffix":""}],"container-title":"Canadian Medical Association Journal","id":"ITEM-2","issue":"5","issued":{"date-parts":[["2020","2","3"]]},"page":"E107-E114","title":"Development and validation of the Cambridge Multimorbidity Score","type":"article-journal","volume":"192"},"uris":["http://www.mendeley.com/documents/?uuid=706e48da-a842-3b6b-b3fb-381f58128d04"]}],"mendeley":{"formattedCitation":"(7,8)","plainTextFormattedCitation":"(7,8)","previouslyFormattedCitation":"(7,8)"},"properties":{"noteIndex":0},"schema":"https://github.com/citation-style-language/schema/raw/master/csl-citation.json"}</w:instrText>
      </w:r>
      <w:r w:rsidRPr="00E9563D">
        <w:rPr>
          <w:rFonts w:eastAsia="MS Mincho" w:cs="Arial"/>
        </w:rPr>
        <w:fldChar w:fldCharType="separate"/>
      </w:r>
      <w:r w:rsidRPr="00E9563D">
        <w:rPr>
          <w:rFonts w:eastAsia="MS Mincho" w:cs="Arial"/>
          <w:noProof/>
        </w:rPr>
        <w:t>(7,8)</w:t>
      </w:r>
      <w:r w:rsidRPr="00E9563D">
        <w:rPr>
          <w:rFonts w:eastAsia="MS Mincho" w:cs="Arial"/>
        </w:rPr>
        <w:fldChar w:fldCharType="end"/>
      </w:r>
      <w:r w:rsidRPr="00E9563D">
        <w:rPr>
          <w:rFonts w:eastAsia="MS Mincho" w:cs="Arial"/>
        </w:rPr>
        <w:t xml:space="preserve">. The look-back period for each condition was as defined by Cassell </w:t>
      </w:r>
      <w:r w:rsidRPr="00E9563D">
        <w:rPr>
          <w:rFonts w:eastAsia="MS Mincho" w:cs="Arial"/>
        </w:rPr>
        <w:fldChar w:fldCharType="begin" w:fldLock="1"/>
      </w:r>
      <w:r w:rsidR="0013523C">
        <w:rPr>
          <w:rFonts w:eastAsia="MS Mincho" w:cs="Arial"/>
        </w:rPr>
        <w:instrText>ADDIN CSL_CITATION {"citationItems":[{"id":"ITEM-1","itemData":{"DOI":"10.3399/BJGP18X695465","ISSN":"0960-1643","PMID":"29530918","abstract":"Background Multimorbidity places a substantial burden on patients and the healthcare system, but few contemporary epidemiological data are available.\n\nAim To describe the epidemiology of multimorbidity in adults in England, and quantify associations between multimorbidity and health service utilisation.\n\nDesign and setting Retrospective cohort study, undertaken in England.\n\nMethod The study used a random sample of 403 985 adult patients (aged ≥18 years), who were registered with a general practice on 1 January 2012 and included in the Clinical Practice Research Datalink. Multimorbidity was defined as having two or more of 36 long-term conditions recorded in patients’ medical records, and associations between multimorbidity and health service utilisation (GP consultations, prescriptions, and hospitalisations) over 4 years were quantified.\n\nResults In total, 27.2% of the patients involved in the study had multimorbidity. The most prevalent conditions were hypertension (18.2%), depression or anxiety (10.3%), and chronic pain (10.1%). The prevalence of multimorbidity was higher in females than males (30.0% versus 24.4% respectively) and among those with lower socioeconomic status (30.0% in the quintile with the greatest levels of deprivation versus 25.8% in that with the lowest). Physical–mental comorbidity constituted a much greater proportion of overall morbidity in both younger patients (18–44 years) and those patients with a lower socioeconomic status. Multimorbidity was strongly associated with health service utilisation. Patients with multimorbidity accounted for 52.9% of GP consultations, 78.7% of prescriptions, and 56.1% of hospital admissions.\n\nConclusion Multimorbidity is common, socially patterned, and associated with increased health service utilisation. These findings support the need to improve the quality and efficiency of health services providing care to patients with multimorbidity at both practice and national level.","author":[{"dropping-particle":"","family":"Cassell","given":"Anna","non-dropping-particle":"","parse-names":false,"suffix":""},{"dropping-particle":"","family":"Edwards","given":"Duncan","non-dropping-particle":"","parse-names":false,"suffix":""},{"dropping-particle":"","family":"Harshfield","given":"Amelia","non-dropping-particle":"","parse-names":false,"suffix":""},{"dropping-particle":"","family":"Rhodes","given":"Kirsty","non-dropping-particle":"","parse-names":false,"suffix":""},{"dropping-particle":"","family":"Brimicombe","given":"James","non-dropping-particle":"","parse-names":false,"suffix":""},{"dropping-particle":"","family":"Payne","given":"Rupert","non-dropping-particle":"","parse-names":false,"suffix":""},{"dropping-particle":"","family":"Griffin","given":"Simon","non-dropping-particle":"","parse-names":false,"suffix":""}],"container-title":"British Journal of General Practice","id":"ITEM-1","issue":"669","issued":{"date-parts":[["2018","4","1"]]},"page":"e245-e251","publisher":"British Journal of General Practice","title":"The epidemiology of multimorbidity in primary care: a retrospective cohort study","type":"article-journal","volume":"68"},"uris":["http://www.mendeley.com/documents/?uuid=eb122aaf-ea87-3cb6-82a5-8964be840fa7"]}],"mendeley":{"formattedCitation":"(6)","plainTextFormattedCitation":"(6)","previouslyFormattedCitation":"(6)"},"properties":{"noteIndex":0},"schema":"https://github.com/citation-style-language/schema/raw/master/csl-citation.json"}</w:instrText>
      </w:r>
      <w:r w:rsidRPr="00E9563D">
        <w:rPr>
          <w:rFonts w:eastAsia="MS Mincho" w:cs="Arial"/>
        </w:rPr>
        <w:fldChar w:fldCharType="separate"/>
      </w:r>
      <w:r w:rsidRPr="00E9563D">
        <w:rPr>
          <w:rFonts w:eastAsia="MS Mincho" w:cs="Arial"/>
          <w:noProof/>
        </w:rPr>
        <w:t>(6)</w:t>
      </w:r>
      <w:r w:rsidRPr="00E9563D">
        <w:rPr>
          <w:rFonts w:eastAsia="MS Mincho" w:cs="Arial"/>
        </w:rPr>
        <w:fldChar w:fldCharType="end"/>
      </w:r>
      <w:r w:rsidRPr="00E9563D">
        <w:rPr>
          <w:rFonts w:eastAsia="MS Mincho" w:cs="Arial"/>
        </w:rPr>
        <w:t xml:space="preserve">. The full list of LTCs used in the analysis can be found in Appendix </w:t>
      </w:r>
      <w:r w:rsidR="00FE7256">
        <w:rPr>
          <w:rFonts w:eastAsia="MS Mincho" w:cs="Arial"/>
        </w:rPr>
        <w:t>D</w:t>
      </w:r>
      <w:r w:rsidRPr="00E9563D">
        <w:rPr>
          <w:rFonts w:eastAsia="MS Mincho" w:cs="Arial"/>
        </w:rPr>
        <w:t xml:space="preserve">. Chronic painful conditions were included in this analysis as they are included within the morbidities covered by the Cambridge Multimorbidity method, but should, as noted by the original authors, be interpreted with caution as pain medications can be used for other purposes </w:t>
      </w:r>
      <w:r w:rsidRPr="00E9563D">
        <w:rPr>
          <w:rFonts w:eastAsia="MS Mincho" w:cs="Arial"/>
        </w:rPr>
        <w:fldChar w:fldCharType="begin" w:fldLock="1"/>
      </w:r>
      <w:r w:rsidR="0013523C">
        <w:rPr>
          <w:rFonts w:eastAsia="MS Mincho" w:cs="Arial"/>
        </w:rPr>
        <w:instrText>ADDIN CSL_CITATION {"citationItems":[{"id":"ITEM-1","itemData":{"URL":"https://www.phpc.cam.ac.uk/pcu/research/research-groups/crmh/cprd_cam/codelists/v11/","accessed":{"date-parts":[["2023","1","9"]]},"id":"ITEM-1","issued":{"date-parts":[["0"]]},"title":"CPRD @ Cambridge - Codes Lists (GOLD) - Primary Care Unit","type":"webpage"},"uris":["http://www.mendeley.com/documents/?uuid=1f2c773d-0ea6-3aae-87fc-e43067ff6f4c"]}],"mendeley":{"formattedCitation":"(5)","plainTextFormattedCitation":"(5)","previouslyFormattedCitation":"(5)"},"properties":{"noteIndex":0},"schema":"https://github.com/citation-style-language/schema/raw/master/csl-citation.json"}</w:instrText>
      </w:r>
      <w:r w:rsidRPr="00E9563D">
        <w:rPr>
          <w:rFonts w:eastAsia="MS Mincho" w:cs="Arial"/>
        </w:rPr>
        <w:fldChar w:fldCharType="separate"/>
      </w:r>
      <w:r w:rsidRPr="00E9563D">
        <w:rPr>
          <w:rFonts w:eastAsia="MS Mincho" w:cs="Arial"/>
          <w:noProof/>
        </w:rPr>
        <w:t>(5)</w:t>
      </w:r>
      <w:r w:rsidRPr="00E9563D">
        <w:rPr>
          <w:rFonts w:eastAsia="MS Mincho" w:cs="Arial"/>
        </w:rPr>
        <w:fldChar w:fldCharType="end"/>
      </w:r>
      <w:r w:rsidRPr="00E9563D">
        <w:rPr>
          <w:rFonts w:eastAsia="MS Mincho" w:cs="Arial"/>
        </w:rPr>
        <w:t>. Multimorbidity was defined as the presence of two or more LTCs.</w:t>
      </w:r>
    </w:p>
    <w:p w14:paraId="09FAE82C" w14:textId="77777777" w:rsidR="00AA36DC" w:rsidRDefault="00663BED" w:rsidP="0DA9970D">
      <w:pPr>
        <w:rPr>
          <w:rFonts w:eastAsia="MS Mincho" w:cs="Arial"/>
        </w:rPr>
      </w:pPr>
      <w:r>
        <w:rPr>
          <w:rFonts w:eastAsia="MS Mincho" w:cs="Arial"/>
        </w:rPr>
        <w:t>To place</w:t>
      </w:r>
      <w:r w:rsidR="00D2001D">
        <w:rPr>
          <w:rFonts w:eastAsia="MS Mincho" w:cs="Arial"/>
        </w:rPr>
        <w:t xml:space="preserve"> prevalence of multimorbidity in the context of the wider population, </w:t>
      </w:r>
      <w:r w:rsidR="00302ECC">
        <w:rPr>
          <w:rFonts w:eastAsia="MS Mincho" w:cs="Arial"/>
        </w:rPr>
        <w:t xml:space="preserve">an age-sex-deprivation-location matched </w:t>
      </w:r>
      <w:r w:rsidR="00AA36DC">
        <w:rPr>
          <w:rFonts w:eastAsia="MS Mincho" w:cs="Arial"/>
        </w:rPr>
        <w:t>cohort was created using the following steps:</w:t>
      </w:r>
    </w:p>
    <w:p w14:paraId="4AE5AC3E" w14:textId="2CAD2897" w:rsidR="001F506D" w:rsidRDefault="001F506D" w:rsidP="00AA36DC">
      <w:pPr>
        <w:pStyle w:val="BulletList"/>
      </w:pPr>
      <w:r w:rsidRPr="001F506D">
        <w:lastRenderedPageBreak/>
        <w:t xml:space="preserve">A matching pool </w:t>
      </w:r>
      <w:r w:rsidR="6E70C620" w:rsidRPr="0DA9970D">
        <w:t>(controls)</w:t>
      </w:r>
      <w:r w:rsidRPr="0DA9970D">
        <w:t xml:space="preserve"> </w:t>
      </w:r>
      <w:r w:rsidRPr="001F506D">
        <w:t xml:space="preserve">was created of individuals who were resident in the LAs of interest but were not identified in the </w:t>
      </w:r>
      <w:r>
        <w:t>reablement</w:t>
      </w:r>
      <w:r w:rsidR="00EB0E8E">
        <w:t xml:space="preserve"> care</w:t>
      </w:r>
      <w:r w:rsidRPr="001F506D">
        <w:t xml:space="preserve"> cohort</w:t>
      </w:r>
      <w:r w:rsidR="1DD5B5D3" w:rsidRPr="0DA9970D">
        <w:t xml:space="preserve"> (cases)</w:t>
      </w:r>
      <w:r w:rsidRPr="0DA9970D">
        <w:t xml:space="preserve">. </w:t>
      </w:r>
    </w:p>
    <w:p w14:paraId="24835A33" w14:textId="77777777" w:rsidR="0071621D" w:rsidRDefault="001F506D" w:rsidP="006D0050">
      <w:pPr>
        <w:pStyle w:val="BulletList"/>
      </w:pPr>
      <w:r w:rsidRPr="001F506D">
        <w:t xml:space="preserve">Using </w:t>
      </w:r>
      <w:r w:rsidR="4C9F3490" w:rsidRPr="0DA9970D">
        <w:t>Exact match from</w:t>
      </w:r>
      <w:r w:rsidRPr="001F506D">
        <w:t xml:space="preserve"> the R Library ‘Matchit’, </w:t>
      </w:r>
      <w:r w:rsidR="11B34B93" w:rsidRPr="0DA9970D">
        <w:t>the</w:t>
      </w:r>
      <w:r w:rsidR="1EC3A3A9" w:rsidRPr="0DA9970D">
        <w:t xml:space="preserve"> matching pool </w:t>
      </w:r>
      <w:r w:rsidR="26E46C32" w:rsidRPr="0DA9970D">
        <w:t xml:space="preserve">was matched to the Reablement cohort </w:t>
      </w:r>
      <w:r w:rsidR="11B34B93" w:rsidRPr="0DA9970D">
        <w:t xml:space="preserve">individuals </w:t>
      </w:r>
      <w:r w:rsidR="6105BEF5" w:rsidRPr="0DA9970D">
        <w:t xml:space="preserve">on </w:t>
      </w:r>
      <w:r w:rsidRPr="001F506D">
        <w:t>sex</w:t>
      </w:r>
      <w:r w:rsidR="34D77E4D" w:rsidRPr="0DA9970D">
        <w:t xml:space="preserve"> </w:t>
      </w:r>
      <w:r w:rsidR="15264275" w:rsidRPr="0DA9970D">
        <w:t>producing</w:t>
      </w:r>
      <w:r w:rsidR="34D77E4D" w:rsidRPr="0DA9970D">
        <w:t xml:space="preserve"> two groups (male and female)</w:t>
      </w:r>
      <w:r w:rsidR="00D903BA">
        <w:t>, each</w:t>
      </w:r>
      <w:r w:rsidR="4BBC02A9" w:rsidRPr="0DA9970D">
        <w:t xml:space="preserve"> containing multiple</w:t>
      </w:r>
      <w:r w:rsidR="007802BC">
        <w:t xml:space="preserve"> unique</w:t>
      </w:r>
      <w:r w:rsidR="4BBC02A9" w:rsidRPr="0DA9970D">
        <w:t xml:space="preserve"> </w:t>
      </w:r>
      <w:r w:rsidR="0FA9C902" w:rsidRPr="0DA9970D">
        <w:t>c</w:t>
      </w:r>
      <w:r w:rsidR="00D903BA">
        <w:t xml:space="preserve">ases and controls. </w:t>
      </w:r>
    </w:p>
    <w:p w14:paraId="73D84A05" w14:textId="5372D820" w:rsidR="000238BC" w:rsidRDefault="008F4A9F" w:rsidP="006D0050">
      <w:pPr>
        <w:pStyle w:val="BulletList"/>
      </w:pPr>
      <w:r>
        <w:t>Cycling through the cases in each group one at a time,</w:t>
      </w:r>
      <w:r w:rsidR="001F506D" w:rsidRPr="001F506D">
        <w:t xml:space="preserve"> </w:t>
      </w:r>
      <w:r w:rsidR="008B3093">
        <w:t>controls were filtered to th</w:t>
      </w:r>
      <w:r w:rsidR="00D43B59">
        <w:t xml:space="preserve">ose with </w:t>
      </w:r>
      <w:r w:rsidR="00C50420">
        <w:t xml:space="preserve">the same WIMD and age-group as the case, and the </w:t>
      </w:r>
      <w:r w:rsidR="001F506D" w:rsidRPr="001F506D">
        <w:t xml:space="preserve">index date of </w:t>
      </w:r>
      <w:r w:rsidR="00EB0E8E">
        <w:t xml:space="preserve">the </w:t>
      </w:r>
      <w:r w:rsidR="0041690E">
        <w:t>selected case</w:t>
      </w:r>
      <w:r w:rsidR="001F506D" w:rsidRPr="001F506D">
        <w:t xml:space="preserve"> was imputed to </w:t>
      </w:r>
      <w:r w:rsidR="00D15DCE">
        <w:t>all</w:t>
      </w:r>
      <w:r w:rsidR="00C50420">
        <w:t xml:space="preserve"> remaining</w:t>
      </w:r>
      <w:r w:rsidR="00D15DCE">
        <w:t xml:space="preserve"> </w:t>
      </w:r>
      <w:r w:rsidR="001A25C8">
        <w:t>controls</w:t>
      </w:r>
      <w:r w:rsidR="00D15DCE">
        <w:t xml:space="preserve"> </w:t>
      </w:r>
      <w:r w:rsidR="001F506D" w:rsidRPr="001F506D">
        <w:t xml:space="preserve">as a pseudo-index date. </w:t>
      </w:r>
    </w:p>
    <w:p w14:paraId="2BDB5662" w14:textId="01340335" w:rsidR="003E01B1" w:rsidRDefault="001F506D" w:rsidP="006D0050">
      <w:pPr>
        <w:pStyle w:val="BulletList"/>
      </w:pPr>
      <w:r w:rsidRPr="001F506D">
        <w:t xml:space="preserve">The inclusion criteria were then re-applied to </w:t>
      </w:r>
      <w:r w:rsidR="0065694D">
        <w:t>the remaining</w:t>
      </w:r>
      <w:r w:rsidRPr="001F506D">
        <w:t xml:space="preserve"> </w:t>
      </w:r>
      <w:r w:rsidR="00DB7AB3">
        <w:t>controls</w:t>
      </w:r>
      <w:r w:rsidRPr="001F506D">
        <w:t xml:space="preserve"> based on the pseudo-index date, and a </w:t>
      </w:r>
      <w:r w:rsidR="00EB0E8E">
        <w:t>single match</w:t>
      </w:r>
      <w:r w:rsidRPr="001F506D">
        <w:t xml:space="preserve"> was selected at random</w:t>
      </w:r>
      <w:r w:rsidR="00C91D9B">
        <w:t>. This</w:t>
      </w:r>
      <w:r w:rsidR="00DB7AB3" w:rsidRPr="0DA9970D">
        <w:t xml:space="preserve"> result</w:t>
      </w:r>
      <w:r w:rsidR="003E01B1">
        <w:t>ed</w:t>
      </w:r>
      <w:r w:rsidRPr="001F506D">
        <w:t xml:space="preserve"> in a 1:1 exact match </w:t>
      </w:r>
      <w:r w:rsidR="004159E6">
        <w:t>for each case</w:t>
      </w:r>
      <w:r w:rsidR="00DB7AB3">
        <w:t>.</w:t>
      </w:r>
      <w:r w:rsidR="00C73967">
        <w:t xml:space="preserve"> </w:t>
      </w:r>
      <w:r w:rsidR="00530E6B">
        <w:t>After a</w:t>
      </w:r>
      <w:r w:rsidR="00BA2B6B">
        <w:t xml:space="preserve"> control ha</w:t>
      </w:r>
      <w:r w:rsidR="003E01B1">
        <w:t>d</w:t>
      </w:r>
      <w:r w:rsidR="00BA2B6B">
        <w:t xml:space="preserve"> been matched, it </w:t>
      </w:r>
      <w:r w:rsidR="003E01B1">
        <w:t>was</w:t>
      </w:r>
      <w:r w:rsidR="00BA2B6B">
        <w:t xml:space="preserve"> removed from the</w:t>
      </w:r>
      <w:r w:rsidR="00C91D9B">
        <w:t xml:space="preserve"> list </w:t>
      </w:r>
      <w:r w:rsidRPr="001F506D">
        <w:t xml:space="preserve">of </w:t>
      </w:r>
      <w:r w:rsidR="00C91D9B">
        <w:t>controls in the group</w:t>
      </w:r>
      <w:r w:rsidR="00487ABB">
        <w:t xml:space="preserve"> i.e.</w:t>
      </w:r>
      <w:r w:rsidR="00BA2B6B">
        <w:t xml:space="preserve"> </w:t>
      </w:r>
      <w:r w:rsidR="008B3033">
        <w:t>controls are only matched once.</w:t>
      </w:r>
      <w:r w:rsidRPr="001F506D">
        <w:t xml:space="preserve"> </w:t>
      </w:r>
    </w:p>
    <w:p w14:paraId="0788B776" w14:textId="6E1EBA3B" w:rsidR="001F506D" w:rsidRDefault="001F506D" w:rsidP="006D0050">
      <w:pPr>
        <w:pStyle w:val="BulletList"/>
      </w:pPr>
      <w:r w:rsidRPr="001F506D">
        <w:t xml:space="preserve">We verified that the age </w:t>
      </w:r>
      <w:r w:rsidR="00EA31E5">
        <w:t>group</w:t>
      </w:r>
      <w:r w:rsidR="009F6D5F">
        <w:t xml:space="preserve">, </w:t>
      </w:r>
      <w:r w:rsidRPr="0DA9970D">
        <w:t>sex</w:t>
      </w:r>
      <w:r w:rsidR="00A44744">
        <w:t xml:space="preserve"> and WIMD</w:t>
      </w:r>
      <w:r w:rsidRPr="001F506D">
        <w:t xml:space="preserve"> distribution of the </w:t>
      </w:r>
      <w:r w:rsidR="00FD5CBB">
        <w:t xml:space="preserve">reablement care cohort and </w:t>
      </w:r>
      <w:r w:rsidR="00567974">
        <w:t>matched cohort</w:t>
      </w:r>
      <w:r w:rsidRPr="001F506D">
        <w:t xml:space="preserve"> were similar using cross-tabulation functions in R</w:t>
      </w:r>
      <w:r w:rsidR="00567974">
        <w:t>.</w:t>
      </w:r>
    </w:p>
    <w:p w14:paraId="3FF4BA8E" w14:textId="77777777" w:rsidR="00E9563D" w:rsidRPr="00E9563D" w:rsidRDefault="00E9563D" w:rsidP="00E9563D">
      <w:pPr>
        <w:pStyle w:val="Heading1"/>
        <w:rPr>
          <w:rFonts w:eastAsia="MS Gothic"/>
          <w:lang w:val="en-GB"/>
        </w:rPr>
      </w:pPr>
      <w:r w:rsidRPr="00E9563D">
        <w:rPr>
          <w:rFonts w:eastAsia="MS Gothic"/>
          <w:lang w:val="en-GB"/>
        </w:rPr>
        <w:t>Referral type</w:t>
      </w:r>
    </w:p>
    <w:p w14:paraId="2AA5BD64" w14:textId="0D778DCA" w:rsidR="00E9563D" w:rsidRDefault="00E9563D" w:rsidP="00E9563D">
      <w:pPr>
        <w:rPr>
          <w:rFonts w:eastAsia="MS Mincho" w:cs="Arial"/>
          <w:lang w:val="en-GB"/>
        </w:rPr>
      </w:pPr>
      <w:r w:rsidRPr="00E9563D">
        <w:rPr>
          <w:rFonts w:eastAsia="MS Mincho" w:cs="Arial"/>
          <w:lang w:val="en-GB"/>
        </w:rPr>
        <w:t>Referral type was divided into two categories: hospital discharge versus community referral. Where available within the local authority data, this was taken from the “location of patient at the time of referral” variable. Where data was missing, or the variable was unavailable, this was determined by the presence/absence of a hospital discharge within the week prior to reablement start date.</w:t>
      </w:r>
      <w:r w:rsidR="008E33F4">
        <w:rPr>
          <w:rFonts w:eastAsia="MS Mincho" w:cs="Arial"/>
          <w:lang w:val="en-GB"/>
        </w:rPr>
        <w:t xml:space="preserve"> </w:t>
      </w:r>
      <w:r w:rsidR="00A84C98">
        <w:rPr>
          <w:rFonts w:eastAsia="MS Mincho" w:cs="Arial"/>
          <w:lang w:val="en-GB"/>
        </w:rPr>
        <w:t>The use of one week prior was determined by first testing the sensitivity and specificity of one week versus two weeks (as proposed by LA reablement leads)</w:t>
      </w:r>
      <w:r w:rsidR="001E0593">
        <w:rPr>
          <w:rFonts w:eastAsia="MS Mincho" w:cs="Arial"/>
          <w:lang w:val="en-GB"/>
        </w:rPr>
        <w:t xml:space="preserve"> using </w:t>
      </w:r>
      <w:r w:rsidR="005216C0">
        <w:rPr>
          <w:rFonts w:eastAsia="MS Mincho" w:cs="Arial"/>
          <w:lang w:val="en-GB"/>
        </w:rPr>
        <w:t>records for which “location of patient at the time of referral” was available</w:t>
      </w:r>
      <w:r w:rsidR="00A84C98">
        <w:rPr>
          <w:rFonts w:eastAsia="MS Mincho" w:cs="Arial"/>
          <w:lang w:val="en-GB"/>
        </w:rPr>
        <w:t xml:space="preserve">, </w:t>
      </w:r>
      <w:r w:rsidR="001E0593">
        <w:rPr>
          <w:rFonts w:eastAsia="MS Mincho" w:cs="Arial"/>
          <w:lang w:val="en-GB"/>
        </w:rPr>
        <w:t xml:space="preserve">and then further testing 6 days and 8 days to confirm </w:t>
      </w:r>
      <w:r w:rsidR="005216C0">
        <w:rPr>
          <w:rFonts w:eastAsia="MS Mincho" w:cs="Arial"/>
          <w:lang w:val="en-GB"/>
        </w:rPr>
        <w:t>one week provided the best fit</w:t>
      </w:r>
      <w:r w:rsidR="00147F85">
        <w:rPr>
          <w:rFonts w:eastAsia="MS Mincho" w:cs="Arial"/>
          <w:lang w:val="en-GB"/>
        </w:rPr>
        <w:t xml:space="preserve"> (Table 2)</w:t>
      </w:r>
      <w:r w:rsidR="005216C0">
        <w:rPr>
          <w:rFonts w:eastAsia="MS Mincho" w:cs="Arial"/>
          <w:lang w:val="en-GB"/>
        </w:rPr>
        <w:t>.</w:t>
      </w:r>
    </w:p>
    <w:p w14:paraId="38DF2D18" w14:textId="5E1D1F6A" w:rsidR="005E3211" w:rsidRDefault="005E3211" w:rsidP="005E3211">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Sensitivity tests to determine </w:t>
      </w:r>
      <w:r w:rsidR="00F97B96">
        <w:t xml:space="preserve">the </w:t>
      </w:r>
      <w:r>
        <w:t>number of days prior to reablement care package start date</w:t>
      </w:r>
      <w:r w:rsidR="00F97B96">
        <w:t xml:space="preserve"> to determine a hospital discharge referral</w:t>
      </w:r>
    </w:p>
    <w:tbl>
      <w:tblPr>
        <w:tblStyle w:val="TableGrid"/>
        <w:tblW w:w="0" w:type="auto"/>
        <w:tblLook w:val="04A0" w:firstRow="1" w:lastRow="0" w:firstColumn="1" w:lastColumn="0" w:noHBand="0" w:noVBand="1"/>
      </w:tblPr>
      <w:tblGrid>
        <w:gridCol w:w="1901"/>
        <w:gridCol w:w="1927"/>
        <w:gridCol w:w="1453"/>
        <w:gridCol w:w="2030"/>
        <w:gridCol w:w="1705"/>
      </w:tblGrid>
      <w:tr w:rsidR="001E4F14" w14:paraId="3E859064" w14:textId="1A539C58" w:rsidTr="005E3211">
        <w:tc>
          <w:tcPr>
            <w:tcW w:w="1901" w:type="dxa"/>
          </w:tcPr>
          <w:p w14:paraId="1F0178EE" w14:textId="70903C1B" w:rsidR="001E4F14" w:rsidRDefault="001E4F14" w:rsidP="001E4F14">
            <w:pPr>
              <w:rPr>
                <w:rFonts w:eastAsia="MS Mincho" w:cs="Arial"/>
                <w:lang w:val="en-GB"/>
              </w:rPr>
            </w:pPr>
            <w:r>
              <w:rPr>
                <w:rFonts w:eastAsia="MS Mincho" w:cs="Arial"/>
                <w:lang w:val="en-GB"/>
              </w:rPr>
              <w:t>Days prior</w:t>
            </w:r>
          </w:p>
        </w:tc>
        <w:tc>
          <w:tcPr>
            <w:tcW w:w="1927" w:type="dxa"/>
          </w:tcPr>
          <w:p w14:paraId="16891569" w14:textId="7C01DBB0" w:rsidR="001E4F14" w:rsidRDefault="001E4F14" w:rsidP="001E4F14">
            <w:pPr>
              <w:rPr>
                <w:rFonts w:eastAsia="MS Mincho" w:cs="Arial"/>
                <w:lang w:val="en-GB"/>
              </w:rPr>
            </w:pPr>
            <w:r>
              <w:rPr>
                <w:rFonts w:eastAsia="MS Mincho" w:cs="Arial"/>
                <w:lang w:val="en-GB"/>
              </w:rPr>
              <w:t>Hospital discharge referral (N)</w:t>
            </w:r>
          </w:p>
        </w:tc>
        <w:tc>
          <w:tcPr>
            <w:tcW w:w="1453" w:type="dxa"/>
          </w:tcPr>
          <w:p w14:paraId="585104A3" w14:textId="6F7C8400" w:rsidR="001E4F14" w:rsidRDefault="001E4F14" w:rsidP="001E4F14">
            <w:pPr>
              <w:rPr>
                <w:rFonts w:eastAsia="MS Mincho" w:cs="Arial"/>
                <w:lang w:val="en-GB"/>
              </w:rPr>
            </w:pPr>
            <w:r>
              <w:rPr>
                <w:rFonts w:eastAsia="MS Mincho" w:cs="Arial"/>
                <w:lang w:val="en-GB"/>
              </w:rPr>
              <w:t>Variation from recorded count (%)</w:t>
            </w:r>
          </w:p>
        </w:tc>
        <w:tc>
          <w:tcPr>
            <w:tcW w:w="2030" w:type="dxa"/>
          </w:tcPr>
          <w:p w14:paraId="2407138B" w14:textId="4DDA4E16" w:rsidR="001E4F14" w:rsidRDefault="001E4F14" w:rsidP="001E4F14">
            <w:pPr>
              <w:rPr>
                <w:rFonts w:eastAsia="MS Mincho" w:cs="Arial"/>
                <w:lang w:val="en-GB"/>
              </w:rPr>
            </w:pPr>
            <w:r>
              <w:rPr>
                <w:rFonts w:eastAsia="MS Mincho" w:cs="Arial"/>
                <w:lang w:val="en-GB"/>
              </w:rPr>
              <w:t>Community referral</w:t>
            </w:r>
          </w:p>
        </w:tc>
        <w:tc>
          <w:tcPr>
            <w:tcW w:w="1705" w:type="dxa"/>
          </w:tcPr>
          <w:p w14:paraId="14A18FDC" w14:textId="557C756B" w:rsidR="001E4F14" w:rsidRDefault="001E4F14" w:rsidP="001E4F14">
            <w:pPr>
              <w:rPr>
                <w:rFonts w:eastAsia="MS Mincho" w:cs="Arial"/>
                <w:lang w:val="en-GB"/>
              </w:rPr>
            </w:pPr>
            <w:r>
              <w:rPr>
                <w:rFonts w:eastAsia="MS Mincho" w:cs="Arial"/>
                <w:lang w:val="en-GB"/>
              </w:rPr>
              <w:t>Variation from recorded count (%)</w:t>
            </w:r>
          </w:p>
        </w:tc>
      </w:tr>
      <w:tr w:rsidR="001E4F14" w14:paraId="1AC14D8F" w14:textId="5A7FD1F1" w:rsidTr="005E3211">
        <w:tc>
          <w:tcPr>
            <w:tcW w:w="1901" w:type="dxa"/>
          </w:tcPr>
          <w:p w14:paraId="25011E74" w14:textId="7270DE14" w:rsidR="001E4F14" w:rsidRDefault="001E4F14" w:rsidP="001E4F14">
            <w:pPr>
              <w:rPr>
                <w:rFonts w:eastAsia="MS Mincho" w:cs="Arial"/>
                <w:lang w:val="en-GB"/>
              </w:rPr>
            </w:pPr>
            <w:r>
              <w:rPr>
                <w:rFonts w:eastAsia="MS Mincho" w:cs="Arial"/>
                <w:lang w:val="en-GB"/>
              </w:rPr>
              <w:t>NA (as recorded in data)</w:t>
            </w:r>
          </w:p>
        </w:tc>
        <w:tc>
          <w:tcPr>
            <w:tcW w:w="1927" w:type="dxa"/>
          </w:tcPr>
          <w:p w14:paraId="36F9FE9D" w14:textId="0B61E23F" w:rsidR="001E4F14" w:rsidRDefault="001E4F14" w:rsidP="001E4F14">
            <w:pPr>
              <w:rPr>
                <w:rFonts w:eastAsia="MS Mincho" w:cs="Arial"/>
                <w:lang w:val="en-GB"/>
              </w:rPr>
            </w:pPr>
            <w:r>
              <w:rPr>
                <w:rFonts w:eastAsia="MS Mincho" w:cs="Arial"/>
                <w:lang w:val="en-GB"/>
              </w:rPr>
              <w:t>577</w:t>
            </w:r>
          </w:p>
        </w:tc>
        <w:tc>
          <w:tcPr>
            <w:tcW w:w="1453" w:type="dxa"/>
          </w:tcPr>
          <w:p w14:paraId="01ABAC05" w14:textId="1076C1D4" w:rsidR="001E4F14" w:rsidRDefault="001E4F14" w:rsidP="001E4F14">
            <w:pPr>
              <w:rPr>
                <w:rFonts w:eastAsia="MS Mincho" w:cs="Arial"/>
                <w:lang w:val="en-GB"/>
              </w:rPr>
            </w:pPr>
            <w:r>
              <w:rPr>
                <w:rFonts w:eastAsia="MS Mincho" w:cs="Arial"/>
                <w:lang w:val="en-GB"/>
              </w:rPr>
              <w:t>NA</w:t>
            </w:r>
          </w:p>
        </w:tc>
        <w:tc>
          <w:tcPr>
            <w:tcW w:w="2030" w:type="dxa"/>
          </w:tcPr>
          <w:p w14:paraId="2FA9A8E6" w14:textId="2B42466C" w:rsidR="001E4F14" w:rsidRDefault="001E4F14" w:rsidP="001E4F14">
            <w:pPr>
              <w:rPr>
                <w:rFonts w:eastAsia="MS Mincho" w:cs="Arial"/>
                <w:lang w:val="en-GB"/>
              </w:rPr>
            </w:pPr>
            <w:r>
              <w:rPr>
                <w:rFonts w:eastAsia="MS Mincho" w:cs="Arial"/>
                <w:lang w:val="en-GB"/>
              </w:rPr>
              <w:t>561</w:t>
            </w:r>
          </w:p>
        </w:tc>
        <w:tc>
          <w:tcPr>
            <w:tcW w:w="1705" w:type="dxa"/>
          </w:tcPr>
          <w:p w14:paraId="74A5E955" w14:textId="62330AE0" w:rsidR="001E4F14" w:rsidRDefault="001E4F14" w:rsidP="001E4F14">
            <w:pPr>
              <w:rPr>
                <w:rFonts w:eastAsia="MS Mincho" w:cs="Arial"/>
                <w:lang w:val="en-GB"/>
              </w:rPr>
            </w:pPr>
            <w:r>
              <w:rPr>
                <w:rFonts w:eastAsia="MS Mincho" w:cs="Arial"/>
                <w:lang w:val="en-GB"/>
              </w:rPr>
              <w:t>NA</w:t>
            </w:r>
          </w:p>
        </w:tc>
      </w:tr>
      <w:tr w:rsidR="001E4F14" w14:paraId="030100DC" w14:textId="7FF17EEF" w:rsidTr="005E3211">
        <w:tc>
          <w:tcPr>
            <w:tcW w:w="1901" w:type="dxa"/>
          </w:tcPr>
          <w:p w14:paraId="04C91DCD" w14:textId="02642007" w:rsidR="001E4F14" w:rsidRDefault="001E4F14" w:rsidP="001E4F14">
            <w:pPr>
              <w:rPr>
                <w:rFonts w:eastAsia="MS Mincho" w:cs="Arial"/>
                <w:lang w:val="en-GB"/>
              </w:rPr>
            </w:pPr>
            <w:r>
              <w:rPr>
                <w:rFonts w:eastAsia="MS Mincho" w:cs="Arial"/>
                <w:lang w:val="en-GB"/>
              </w:rPr>
              <w:t xml:space="preserve">14 </w:t>
            </w:r>
          </w:p>
        </w:tc>
        <w:tc>
          <w:tcPr>
            <w:tcW w:w="1927" w:type="dxa"/>
          </w:tcPr>
          <w:p w14:paraId="3288F373" w14:textId="5B351C46" w:rsidR="001E4F14" w:rsidRDefault="001E4F14" w:rsidP="001E4F14">
            <w:pPr>
              <w:rPr>
                <w:rFonts w:eastAsia="MS Mincho" w:cs="Arial"/>
                <w:lang w:val="en-GB"/>
              </w:rPr>
            </w:pPr>
            <w:r>
              <w:rPr>
                <w:rFonts w:eastAsia="MS Mincho" w:cs="Arial"/>
                <w:lang w:val="en-GB"/>
              </w:rPr>
              <w:t>49</w:t>
            </w:r>
          </w:p>
        </w:tc>
        <w:tc>
          <w:tcPr>
            <w:tcW w:w="1453" w:type="dxa"/>
          </w:tcPr>
          <w:p w14:paraId="034A1252" w14:textId="1F8A8EA9" w:rsidR="001E4F14" w:rsidRDefault="001E4F14" w:rsidP="001E4F14">
            <w:pPr>
              <w:rPr>
                <w:rFonts w:eastAsia="MS Mincho" w:cs="Arial"/>
                <w:lang w:val="en-GB"/>
              </w:rPr>
            </w:pPr>
            <w:r w:rsidRPr="00F71CA7">
              <w:rPr>
                <w:rFonts w:eastAsia="MS Mincho" w:cs="Arial"/>
                <w:lang w:val="en-GB"/>
              </w:rPr>
              <w:t>-91.51</w:t>
            </w:r>
          </w:p>
        </w:tc>
        <w:tc>
          <w:tcPr>
            <w:tcW w:w="2030" w:type="dxa"/>
          </w:tcPr>
          <w:p w14:paraId="4AF06289" w14:textId="218FAC15" w:rsidR="001E4F14" w:rsidRDefault="001E4F14" w:rsidP="001E4F14">
            <w:pPr>
              <w:rPr>
                <w:rFonts w:eastAsia="MS Mincho" w:cs="Arial"/>
                <w:lang w:val="en-GB"/>
              </w:rPr>
            </w:pPr>
            <w:r>
              <w:rPr>
                <w:rFonts w:eastAsia="MS Mincho" w:cs="Arial"/>
                <w:lang w:val="en-GB"/>
              </w:rPr>
              <w:t>1089</w:t>
            </w:r>
          </w:p>
        </w:tc>
        <w:tc>
          <w:tcPr>
            <w:tcW w:w="1705" w:type="dxa"/>
          </w:tcPr>
          <w:p w14:paraId="6E9F86B1" w14:textId="1FC96E6F" w:rsidR="001E4F14" w:rsidRDefault="001E4F14" w:rsidP="001E4F14">
            <w:pPr>
              <w:rPr>
                <w:rFonts w:eastAsia="MS Mincho" w:cs="Arial"/>
                <w:lang w:val="en-GB"/>
              </w:rPr>
            </w:pPr>
            <w:r w:rsidRPr="007D0A18">
              <w:rPr>
                <w:rFonts w:eastAsia="MS Mincho" w:cs="Arial"/>
                <w:lang w:val="en-GB"/>
              </w:rPr>
              <w:t>94.12</w:t>
            </w:r>
          </w:p>
        </w:tc>
      </w:tr>
      <w:tr w:rsidR="001E4F14" w14:paraId="2E4AD92F" w14:textId="1B5AA45F" w:rsidTr="005E3211">
        <w:tc>
          <w:tcPr>
            <w:tcW w:w="1901" w:type="dxa"/>
          </w:tcPr>
          <w:p w14:paraId="588A984A" w14:textId="11AAEF0F" w:rsidR="001E4F14" w:rsidRDefault="001E4F14" w:rsidP="001E4F14">
            <w:pPr>
              <w:rPr>
                <w:rFonts w:eastAsia="MS Mincho" w:cs="Arial"/>
                <w:lang w:val="en-GB"/>
              </w:rPr>
            </w:pPr>
            <w:r>
              <w:rPr>
                <w:rFonts w:eastAsia="MS Mincho" w:cs="Arial"/>
                <w:lang w:val="en-GB"/>
              </w:rPr>
              <w:t xml:space="preserve">8 </w:t>
            </w:r>
          </w:p>
        </w:tc>
        <w:tc>
          <w:tcPr>
            <w:tcW w:w="1927" w:type="dxa"/>
          </w:tcPr>
          <w:p w14:paraId="58013AB5" w14:textId="0D9E52C6" w:rsidR="001E4F14" w:rsidRDefault="001E4F14" w:rsidP="001E4F14">
            <w:pPr>
              <w:rPr>
                <w:rFonts w:eastAsia="MS Mincho" w:cs="Arial"/>
                <w:lang w:val="en-GB"/>
              </w:rPr>
            </w:pPr>
            <w:r>
              <w:rPr>
                <w:rFonts w:eastAsia="MS Mincho" w:cs="Arial"/>
                <w:lang w:val="en-GB"/>
              </w:rPr>
              <w:t>25</w:t>
            </w:r>
          </w:p>
        </w:tc>
        <w:tc>
          <w:tcPr>
            <w:tcW w:w="1453" w:type="dxa"/>
          </w:tcPr>
          <w:p w14:paraId="71211E49" w14:textId="0DDA1D1F" w:rsidR="001E4F14" w:rsidRDefault="001E4F14" w:rsidP="001E4F14">
            <w:pPr>
              <w:rPr>
                <w:rFonts w:eastAsia="MS Mincho" w:cs="Arial"/>
                <w:lang w:val="en-GB"/>
              </w:rPr>
            </w:pPr>
            <w:r w:rsidRPr="00F71CA7">
              <w:rPr>
                <w:rFonts w:eastAsia="MS Mincho" w:cs="Arial"/>
                <w:lang w:val="en-GB"/>
              </w:rPr>
              <w:t>-95.67</w:t>
            </w:r>
          </w:p>
        </w:tc>
        <w:tc>
          <w:tcPr>
            <w:tcW w:w="2030" w:type="dxa"/>
          </w:tcPr>
          <w:p w14:paraId="42360AD8" w14:textId="039BE1AB" w:rsidR="001E4F14" w:rsidRDefault="001E4F14" w:rsidP="001E4F14">
            <w:pPr>
              <w:rPr>
                <w:rFonts w:eastAsia="MS Mincho" w:cs="Arial"/>
                <w:lang w:val="en-GB"/>
              </w:rPr>
            </w:pPr>
            <w:r>
              <w:rPr>
                <w:rFonts w:eastAsia="MS Mincho" w:cs="Arial"/>
                <w:lang w:val="en-GB"/>
              </w:rPr>
              <w:t>1113</w:t>
            </w:r>
          </w:p>
        </w:tc>
        <w:tc>
          <w:tcPr>
            <w:tcW w:w="1705" w:type="dxa"/>
          </w:tcPr>
          <w:p w14:paraId="7F60A002" w14:textId="0E2D0177" w:rsidR="001E4F14" w:rsidRDefault="001E4F14" w:rsidP="001E4F14">
            <w:pPr>
              <w:rPr>
                <w:rFonts w:eastAsia="MS Mincho" w:cs="Arial"/>
                <w:lang w:val="en-GB"/>
              </w:rPr>
            </w:pPr>
            <w:r w:rsidRPr="007D0A18">
              <w:rPr>
                <w:rFonts w:eastAsia="MS Mincho" w:cs="Arial"/>
                <w:lang w:val="en-GB"/>
              </w:rPr>
              <w:t>98.40</w:t>
            </w:r>
          </w:p>
        </w:tc>
      </w:tr>
      <w:tr w:rsidR="001E4F14" w14:paraId="363483B3" w14:textId="3131A361" w:rsidTr="005E3211">
        <w:tc>
          <w:tcPr>
            <w:tcW w:w="1901" w:type="dxa"/>
          </w:tcPr>
          <w:p w14:paraId="038AE49B" w14:textId="65A1C6E6" w:rsidR="001E4F14" w:rsidRDefault="001E4F14" w:rsidP="001E4F14">
            <w:pPr>
              <w:rPr>
                <w:rFonts w:eastAsia="MS Mincho" w:cs="Arial"/>
                <w:lang w:val="en-GB"/>
              </w:rPr>
            </w:pPr>
            <w:r>
              <w:rPr>
                <w:rFonts w:eastAsia="MS Mincho" w:cs="Arial"/>
                <w:lang w:val="en-GB"/>
              </w:rPr>
              <w:t>7</w:t>
            </w:r>
          </w:p>
        </w:tc>
        <w:tc>
          <w:tcPr>
            <w:tcW w:w="1927" w:type="dxa"/>
          </w:tcPr>
          <w:p w14:paraId="0270D02D" w14:textId="6F9DE960" w:rsidR="001E4F14" w:rsidRDefault="001E4F14" w:rsidP="001E4F14">
            <w:pPr>
              <w:rPr>
                <w:rFonts w:eastAsia="MS Mincho" w:cs="Arial"/>
                <w:lang w:val="en-GB"/>
              </w:rPr>
            </w:pPr>
            <w:r>
              <w:rPr>
                <w:rFonts w:eastAsia="MS Mincho" w:cs="Arial"/>
                <w:lang w:val="en-GB"/>
              </w:rPr>
              <w:t>543</w:t>
            </w:r>
          </w:p>
        </w:tc>
        <w:tc>
          <w:tcPr>
            <w:tcW w:w="1453" w:type="dxa"/>
          </w:tcPr>
          <w:p w14:paraId="54FD6176" w14:textId="180EFC17" w:rsidR="001E4F14" w:rsidRDefault="001E4F14" w:rsidP="001E4F14">
            <w:pPr>
              <w:rPr>
                <w:rFonts w:eastAsia="MS Mincho" w:cs="Arial"/>
                <w:lang w:val="en-GB"/>
              </w:rPr>
            </w:pPr>
            <w:r w:rsidRPr="00F71CA7">
              <w:rPr>
                <w:rFonts w:eastAsia="MS Mincho" w:cs="Arial"/>
                <w:lang w:val="en-GB"/>
              </w:rPr>
              <w:t>-5.89</w:t>
            </w:r>
          </w:p>
        </w:tc>
        <w:tc>
          <w:tcPr>
            <w:tcW w:w="2030" w:type="dxa"/>
          </w:tcPr>
          <w:p w14:paraId="3CEEF4DC" w14:textId="11E9CDB5" w:rsidR="001E4F14" w:rsidRDefault="001E4F14" w:rsidP="001E4F14">
            <w:pPr>
              <w:rPr>
                <w:rFonts w:eastAsia="MS Mincho" w:cs="Arial"/>
                <w:lang w:val="en-GB"/>
              </w:rPr>
            </w:pPr>
            <w:r>
              <w:rPr>
                <w:rFonts w:eastAsia="MS Mincho" w:cs="Arial"/>
                <w:lang w:val="en-GB"/>
              </w:rPr>
              <w:t>595</w:t>
            </w:r>
          </w:p>
        </w:tc>
        <w:tc>
          <w:tcPr>
            <w:tcW w:w="1705" w:type="dxa"/>
          </w:tcPr>
          <w:p w14:paraId="58557F40" w14:textId="518559F1" w:rsidR="001E4F14" w:rsidRDefault="001E4F14" w:rsidP="001E4F14">
            <w:pPr>
              <w:rPr>
                <w:rFonts w:eastAsia="MS Mincho" w:cs="Arial"/>
                <w:lang w:val="en-GB"/>
              </w:rPr>
            </w:pPr>
            <w:r w:rsidRPr="007D0A18">
              <w:rPr>
                <w:rFonts w:eastAsia="MS Mincho" w:cs="Arial"/>
                <w:lang w:val="en-GB"/>
              </w:rPr>
              <w:t>6.06</w:t>
            </w:r>
          </w:p>
        </w:tc>
      </w:tr>
      <w:tr w:rsidR="001E4F14" w14:paraId="34D4B980" w14:textId="41FCB567" w:rsidTr="005E3211">
        <w:tc>
          <w:tcPr>
            <w:tcW w:w="1901" w:type="dxa"/>
          </w:tcPr>
          <w:p w14:paraId="437A5005" w14:textId="0A584518" w:rsidR="001E4F14" w:rsidRDefault="001E4F14" w:rsidP="001E4F14">
            <w:pPr>
              <w:rPr>
                <w:rFonts w:eastAsia="MS Mincho" w:cs="Arial"/>
                <w:lang w:val="en-GB"/>
              </w:rPr>
            </w:pPr>
            <w:r>
              <w:rPr>
                <w:rFonts w:eastAsia="MS Mincho" w:cs="Arial"/>
                <w:lang w:val="en-GB"/>
              </w:rPr>
              <w:t>6</w:t>
            </w:r>
          </w:p>
        </w:tc>
        <w:tc>
          <w:tcPr>
            <w:tcW w:w="1927" w:type="dxa"/>
          </w:tcPr>
          <w:p w14:paraId="465CA71C" w14:textId="03D84D71" w:rsidR="001E4F14" w:rsidRDefault="001E4F14" w:rsidP="001E4F14">
            <w:pPr>
              <w:rPr>
                <w:rFonts w:eastAsia="MS Mincho" w:cs="Arial"/>
                <w:lang w:val="en-GB"/>
              </w:rPr>
            </w:pPr>
            <w:r>
              <w:rPr>
                <w:rFonts w:eastAsia="MS Mincho" w:cs="Arial"/>
                <w:lang w:val="en-GB"/>
              </w:rPr>
              <w:t>527</w:t>
            </w:r>
          </w:p>
        </w:tc>
        <w:tc>
          <w:tcPr>
            <w:tcW w:w="1453" w:type="dxa"/>
          </w:tcPr>
          <w:p w14:paraId="74C95134" w14:textId="1C1FA831" w:rsidR="001E4F14" w:rsidRDefault="001E4F14" w:rsidP="001E4F14">
            <w:pPr>
              <w:rPr>
                <w:rFonts w:eastAsia="MS Mincho" w:cs="Arial"/>
                <w:lang w:val="en-GB"/>
              </w:rPr>
            </w:pPr>
            <w:r w:rsidRPr="00F71CA7">
              <w:rPr>
                <w:rFonts w:eastAsia="MS Mincho" w:cs="Arial"/>
                <w:lang w:val="en-GB"/>
              </w:rPr>
              <w:t>-8.67</w:t>
            </w:r>
          </w:p>
        </w:tc>
        <w:tc>
          <w:tcPr>
            <w:tcW w:w="2030" w:type="dxa"/>
          </w:tcPr>
          <w:p w14:paraId="6B83A819" w14:textId="058425DD" w:rsidR="001E4F14" w:rsidRDefault="001E4F14" w:rsidP="001E4F14">
            <w:pPr>
              <w:rPr>
                <w:rFonts w:eastAsia="MS Mincho" w:cs="Arial"/>
                <w:lang w:val="en-GB"/>
              </w:rPr>
            </w:pPr>
            <w:r>
              <w:rPr>
                <w:rFonts w:eastAsia="MS Mincho" w:cs="Arial"/>
                <w:lang w:val="en-GB"/>
              </w:rPr>
              <w:t>611</w:t>
            </w:r>
          </w:p>
        </w:tc>
        <w:tc>
          <w:tcPr>
            <w:tcW w:w="1705" w:type="dxa"/>
          </w:tcPr>
          <w:p w14:paraId="16C7F6EE" w14:textId="39AD3C65" w:rsidR="001E4F14" w:rsidRDefault="001E4F14" w:rsidP="001E4F14">
            <w:pPr>
              <w:rPr>
                <w:rFonts w:eastAsia="MS Mincho" w:cs="Arial"/>
                <w:lang w:val="en-GB"/>
              </w:rPr>
            </w:pPr>
            <w:r w:rsidRPr="007D0A18">
              <w:rPr>
                <w:rFonts w:eastAsia="MS Mincho" w:cs="Arial"/>
                <w:lang w:val="en-GB"/>
              </w:rPr>
              <w:t>8.91</w:t>
            </w:r>
          </w:p>
        </w:tc>
      </w:tr>
    </w:tbl>
    <w:p w14:paraId="044A95C0" w14:textId="77777777" w:rsidR="005216C0" w:rsidRPr="00E9563D" w:rsidRDefault="005216C0" w:rsidP="00E9563D">
      <w:pPr>
        <w:rPr>
          <w:rFonts w:eastAsia="MS Mincho" w:cs="Arial"/>
          <w:lang w:val="en-GB"/>
        </w:rPr>
      </w:pPr>
    </w:p>
    <w:p w14:paraId="3D97AD71" w14:textId="6AF128EB" w:rsidR="00C174D5" w:rsidRDefault="00C174D5" w:rsidP="00326682">
      <w:pPr>
        <w:pStyle w:val="Heading1"/>
        <w:rPr>
          <w:lang w:val="en-GB"/>
        </w:rPr>
      </w:pPr>
      <w:r>
        <w:rPr>
          <w:lang w:val="en-GB"/>
        </w:rPr>
        <w:t>Step change in support</w:t>
      </w:r>
    </w:p>
    <w:p w14:paraId="11F2EE88" w14:textId="77777777" w:rsidR="00C174D5" w:rsidRPr="00374F14" w:rsidRDefault="00C174D5" w:rsidP="00C174D5">
      <w:pPr>
        <w:rPr>
          <w:lang w:val="en-GB"/>
        </w:rPr>
      </w:pPr>
      <w:r w:rsidRPr="00374F14">
        <w:rPr>
          <w:lang w:val="en-GB"/>
        </w:rPr>
        <w:t>Local authorities are required to report step change in support post completion of a reablement care pack to Welsh Government. There are four categories of step change in support:</w:t>
      </w:r>
    </w:p>
    <w:p w14:paraId="2FB57F7F" w14:textId="77777777" w:rsidR="00C174D5" w:rsidRPr="00374F14" w:rsidRDefault="00C174D5" w:rsidP="00C174D5">
      <w:pPr>
        <w:pStyle w:val="BulletList"/>
        <w:rPr>
          <w:lang w:val="en-GB"/>
        </w:rPr>
      </w:pPr>
      <w:r w:rsidRPr="00374F14">
        <w:rPr>
          <w:lang w:val="en-GB"/>
        </w:rPr>
        <w:lastRenderedPageBreak/>
        <w:t>reduced the need for support.</w:t>
      </w:r>
    </w:p>
    <w:p w14:paraId="60E8E56E" w14:textId="77777777" w:rsidR="00C174D5" w:rsidRPr="00374F14" w:rsidRDefault="00C174D5" w:rsidP="00C174D5">
      <w:pPr>
        <w:pStyle w:val="BulletList"/>
        <w:rPr>
          <w:lang w:val="en-GB"/>
        </w:rPr>
      </w:pPr>
      <w:r w:rsidRPr="00374F14">
        <w:rPr>
          <w:lang w:val="en-GB"/>
        </w:rPr>
        <w:t>maintained the need for the same level of support.</w:t>
      </w:r>
    </w:p>
    <w:p w14:paraId="61B692F0" w14:textId="77777777" w:rsidR="00C174D5" w:rsidRPr="00374F14" w:rsidRDefault="00C174D5" w:rsidP="00C174D5">
      <w:pPr>
        <w:pStyle w:val="BulletList"/>
        <w:rPr>
          <w:lang w:val="en-GB"/>
        </w:rPr>
      </w:pPr>
      <w:r w:rsidRPr="00374F14">
        <w:rPr>
          <w:lang w:val="en-GB"/>
        </w:rPr>
        <w:t>mitigated the need for support.</w:t>
      </w:r>
    </w:p>
    <w:p w14:paraId="7A5E626D" w14:textId="0669855B" w:rsidR="00C174D5" w:rsidRPr="00C174D5" w:rsidRDefault="00C174D5" w:rsidP="00C174D5">
      <w:pPr>
        <w:pStyle w:val="BulletList"/>
        <w:rPr>
          <w:lang w:val="en-GB"/>
        </w:rPr>
      </w:pPr>
      <w:r w:rsidRPr="00374F14">
        <w:rPr>
          <w:lang w:val="en-GB"/>
        </w:rPr>
        <w:t>neither reduced, maintained nor mitigated the need for support.</w:t>
      </w:r>
    </w:p>
    <w:p w14:paraId="54E2700D" w14:textId="73046080" w:rsidR="2627A841" w:rsidRDefault="2627A841" w:rsidP="471BC8BF">
      <w:pPr>
        <w:pStyle w:val="BulletList"/>
        <w:numPr>
          <w:ilvl w:val="0"/>
          <w:numId w:val="0"/>
        </w:numPr>
      </w:pPr>
      <w:r w:rsidRPr="471BC8BF">
        <w:t xml:space="preserve">Within each local authority’s data, this was recorded under the column “relative_level_of_support_needs_post_reablement”.  </w:t>
      </w:r>
      <w:r w:rsidR="45B858B3" w:rsidRPr="471BC8BF">
        <w:t xml:space="preserve">Additional steps of cleaning were applied to Bridgend to align with Welsh government categories. </w:t>
      </w:r>
      <w:r w:rsidR="5DDA1036" w:rsidRPr="471BC8BF">
        <w:t xml:space="preserve">“Mitigated the need for support (independent)” was relabeled as “Mitigated the need for support” and “Decrease the need for support” as “reduced the need for support”. </w:t>
      </w:r>
    </w:p>
    <w:p w14:paraId="18DE1236" w14:textId="5E39DBD9" w:rsidR="16BA4988" w:rsidRDefault="16BA4988" w:rsidP="471BC8BF">
      <w:pPr>
        <w:pStyle w:val="BulletList"/>
        <w:numPr>
          <w:ilvl w:val="0"/>
          <w:numId w:val="0"/>
        </w:numPr>
      </w:pPr>
      <w:r w:rsidRPr="471BC8BF">
        <w:t xml:space="preserve">Finally, </w:t>
      </w:r>
      <w:r w:rsidR="4C78C1CB" w:rsidRPr="471BC8BF">
        <w:t>c</w:t>
      </w:r>
      <w:r w:rsidR="74AB6082" w:rsidRPr="471BC8BF">
        <w:t xml:space="preserve">ounts and proportions of </w:t>
      </w:r>
      <w:r w:rsidR="6454690F" w:rsidRPr="471BC8BF">
        <w:t xml:space="preserve">completed packages with </w:t>
      </w:r>
      <w:r w:rsidR="74AB6082" w:rsidRPr="471BC8BF">
        <w:t>each category of step change</w:t>
      </w:r>
      <w:r w:rsidR="27480468" w:rsidRPr="471BC8BF">
        <w:t xml:space="preserve"> in support</w:t>
      </w:r>
      <w:r w:rsidR="18C96A7E" w:rsidRPr="471BC8BF">
        <w:t xml:space="preserve"> were calculated</w:t>
      </w:r>
      <w:r w:rsidR="6DF15030" w:rsidRPr="471BC8BF">
        <w:t xml:space="preserve"> within each local authority’s data</w:t>
      </w:r>
      <w:r w:rsidR="74AB6082" w:rsidRPr="471BC8BF">
        <w:t>.</w:t>
      </w:r>
      <w:r w:rsidR="43C27428" w:rsidRPr="471BC8BF">
        <w:t xml:space="preserve"> </w:t>
      </w:r>
      <w:r w:rsidR="74AB6082" w:rsidRPr="471BC8BF">
        <w:t xml:space="preserve"> </w:t>
      </w:r>
    </w:p>
    <w:p w14:paraId="57E38B4B" w14:textId="5DE537B9" w:rsidR="0013523C" w:rsidRDefault="0013523C" w:rsidP="00326682">
      <w:pPr>
        <w:pStyle w:val="Heading1"/>
        <w:rPr>
          <w:lang w:val="en-GB"/>
        </w:rPr>
      </w:pPr>
      <w:r>
        <w:rPr>
          <w:lang w:val="en-GB"/>
        </w:rPr>
        <w:t>References</w:t>
      </w:r>
    </w:p>
    <w:p w14:paraId="6F7770C1" w14:textId="6401DA86" w:rsidR="00E70ACB" w:rsidRPr="00E70ACB" w:rsidRDefault="0013523C" w:rsidP="00E70ACB">
      <w:pPr>
        <w:widowControl w:val="0"/>
        <w:autoSpaceDE w:val="0"/>
        <w:autoSpaceDN w:val="0"/>
        <w:adjustRightInd w:val="0"/>
        <w:spacing w:line="240" w:lineRule="auto"/>
        <w:ind w:left="640" w:hanging="640"/>
        <w:rPr>
          <w:rFonts w:cs="Calibri"/>
          <w:noProof/>
        </w:rPr>
      </w:pPr>
      <w:r>
        <w:rPr>
          <w:lang w:val="en-GB"/>
        </w:rPr>
        <w:fldChar w:fldCharType="begin" w:fldLock="1"/>
      </w:r>
      <w:r>
        <w:rPr>
          <w:lang w:val="en-GB"/>
        </w:rPr>
        <w:instrText xml:space="preserve">ADDIN Mendeley Bibliography CSL_BIBLIOGRAPHY </w:instrText>
      </w:r>
      <w:r>
        <w:rPr>
          <w:lang w:val="en-GB"/>
        </w:rPr>
        <w:fldChar w:fldCharType="separate"/>
      </w:r>
      <w:r w:rsidR="00E70ACB" w:rsidRPr="00E70ACB">
        <w:rPr>
          <w:rFonts w:cs="Calibri"/>
          <w:noProof/>
        </w:rPr>
        <w:t xml:space="preserve">1. </w:t>
      </w:r>
      <w:r w:rsidR="00E70ACB" w:rsidRPr="00E70ACB">
        <w:rPr>
          <w:rFonts w:cs="Calibri"/>
          <w:noProof/>
        </w:rPr>
        <w:tab/>
        <w:t>Home - SAIL Databank [Internet]. [cited 2024 Jul 3]. Available from: https://saildatabank.com/</w:t>
      </w:r>
    </w:p>
    <w:p w14:paraId="542D938C" w14:textId="77777777" w:rsidR="00E70ACB" w:rsidRPr="00E70ACB" w:rsidRDefault="00E70ACB" w:rsidP="00E70ACB">
      <w:pPr>
        <w:widowControl w:val="0"/>
        <w:autoSpaceDE w:val="0"/>
        <w:autoSpaceDN w:val="0"/>
        <w:adjustRightInd w:val="0"/>
        <w:spacing w:line="240" w:lineRule="auto"/>
        <w:ind w:left="640" w:hanging="640"/>
        <w:rPr>
          <w:rFonts w:cs="Calibri"/>
          <w:noProof/>
        </w:rPr>
      </w:pPr>
      <w:r w:rsidRPr="00E70ACB">
        <w:rPr>
          <w:rFonts w:cs="Calibri"/>
          <w:noProof/>
        </w:rPr>
        <w:t xml:space="preserve">2. </w:t>
      </w:r>
      <w:r w:rsidRPr="00E70ACB">
        <w:rPr>
          <w:rFonts w:cs="Calibri"/>
          <w:noProof/>
        </w:rPr>
        <w:tab/>
        <w:t>Ford D V., Jones KH, Verplancke JP, Lyons RA, John G, Brown G, et al. The SAIL Databank: building a national architecture for e-health research and evaluation. BMC Health Serv Res [Internet]. 2009 [cited 2022 Dec 16];9:157. Available from: /pmc/articles/PMC2744675/</w:t>
      </w:r>
    </w:p>
    <w:p w14:paraId="73825060" w14:textId="77777777" w:rsidR="00E70ACB" w:rsidRPr="00E70ACB" w:rsidRDefault="00E70ACB" w:rsidP="00E70ACB">
      <w:pPr>
        <w:widowControl w:val="0"/>
        <w:autoSpaceDE w:val="0"/>
        <w:autoSpaceDN w:val="0"/>
        <w:adjustRightInd w:val="0"/>
        <w:spacing w:line="240" w:lineRule="auto"/>
        <w:ind w:left="640" w:hanging="640"/>
        <w:rPr>
          <w:rFonts w:cs="Calibri"/>
          <w:noProof/>
        </w:rPr>
      </w:pPr>
      <w:r w:rsidRPr="00E70ACB">
        <w:rPr>
          <w:rFonts w:cs="Calibri"/>
          <w:noProof/>
        </w:rPr>
        <w:t xml:space="preserve">3. </w:t>
      </w:r>
      <w:r w:rsidRPr="00E70ACB">
        <w:rPr>
          <w:rFonts w:cs="Calibri"/>
          <w:noProof/>
        </w:rPr>
        <w:tab/>
        <w:t>Lyons RA, Jones KH, John G, Brooks CJ, Verplancke JP, Ford D V., et al. The SAIL databank: linking multiple health and social care datasets. BMC Med Inform Decis Mak [Internet]. 2009 [cited 2022 Dec 16];9(1). Available from: https://pubmed.ncbi.nlm.nih.gov/19149883/</w:t>
      </w:r>
    </w:p>
    <w:p w14:paraId="69527001" w14:textId="77777777" w:rsidR="00E70ACB" w:rsidRPr="00E70ACB" w:rsidRDefault="00E70ACB" w:rsidP="00E70ACB">
      <w:pPr>
        <w:widowControl w:val="0"/>
        <w:autoSpaceDE w:val="0"/>
        <w:autoSpaceDN w:val="0"/>
        <w:adjustRightInd w:val="0"/>
        <w:spacing w:line="240" w:lineRule="auto"/>
        <w:ind w:left="640" w:hanging="640"/>
        <w:rPr>
          <w:rFonts w:cs="Calibri"/>
          <w:noProof/>
        </w:rPr>
      </w:pPr>
      <w:r w:rsidRPr="00E70ACB">
        <w:rPr>
          <w:rFonts w:cs="Calibri"/>
          <w:noProof/>
        </w:rPr>
        <w:t xml:space="preserve">4. </w:t>
      </w:r>
      <w:r w:rsidRPr="00E70ACB">
        <w:rPr>
          <w:rFonts w:cs="Calibri"/>
          <w:noProof/>
        </w:rPr>
        <w:tab/>
        <w:t>Welsh Index of Multiple Deprivation (full Index update with ranks): 2019 | GOV.WALES [Internet]. [cited 2023 Jan 9]. Available from: https://www.gov.wales/welsh-index-multiple-deprivation-full-index-update-ranks-2019</w:t>
      </w:r>
    </w:p>
    <w:p w14:paraId="1A9FBD64" w14:textId="77777777" w:rsidR="00E70ACB" w:rsidRPr="00E70ACB" w:rsidRDefault="00E70ACB" w:rsidP="00E70ACB">
      <w:pPr>
        <w:widowControl w:val="0"/>
        <w:autoSpaceDE w:val="0"/>
        <w:autoSpaceDN w:val="0"/>
        <w:adjustRightInd w:val="0"/>
        <w:spacing w:line="240" w:lineRule="auto"/>
        <w:ind w:left="640" w:hanging="640"/>
        <w:rPr>
          <w:rFonts w:cs="Calibri"/>
          <w:noProof/>
        </w:rPr>
      </w:pPr>
      <w:r w:rsidRPr="00E70ACB">
        <w:rPr>
          <w:rFonts w:cs="Calibri"/>
          <w:noProof/>
        </w:rPr>
        <w:t xml:space="preserve">5. </w:t>
      </w:r>
      <w:r w:rsidRPr="00E70ACB">
        <w:rPr>
          <w:rFonts w:cs="Calibri"/>
          <w:noProof/>
        </w:rPr>
        <w:tab/>
        <w:t>CPRD @ Cambridge - Codes Lists (GOLD) - Primary Care Unit [Internet]. [cited 2023 Jan 9]. Available from: https://www.phpc.cam.ac.uk/pcu/research/research-groups/crmh/cprd_cam/codelists/v11/</w:t>
      </w:r>
    </w:p>
    <w:p w14:paraId="7D3175CC" w14:textId="77777777" w:rsidR="00E70ACB" w:rsidRPr="00E70ACB" w:rsidRDefault="00E70ACB" w:rsidP="00E70ACB">
      <w:pPr>
        <w:widowControl w:val="0"/>
        <w:autoSpaceDE w:val="0"/>
        <w:autoSpaceDN w:val="0"/>
        <w:adjustRightInd w:val="0"/>
        <w:spacing w:line="240" w:lineRule="auto"/>
        <w:ind w:left="640" w:hanging="640"/>
        <w:rPr>
          <w:rFonts w:cs="Calibri"/>
          <w:noProof/>
        </w:rPr>
      </w:pPr>
      <w:r w:rsidRPr="00E70ACB">
        <w:rPr>
          <w:rFonts w:cs="Calibri"/>
          <w:noProof/>
        </w:rPr>
        <w:t xml:space="preserve">6. </w:t>
      </w:r>
      <w:r w:rsidRPr="00E70ACB">
        <w:rPr>
          <w:rFonts w:cs="Calibri"/>
          <w:noProof/>
        </w:rPr>
        <w:tab/>
        <w:t>Cassell A, Edwards D, Harshfield A, Rhodes K, Brimicombe J, Payne R, et al. The epidemiology of multimorbidity in primary care: a retrospective cohort study. Br J Gen Pract [Internet]. 2018 Apr 1 [cited 2023 Jan 9];68(669):e245–51. Available from: https://bjgp.org/content/68/669/e245</w:t>
      </w:r>
    </w:p>
    <w:p w14:paraId="6D811675" w14:textId="77777777" w:rsidR="00E70ACB" w:rsidRPr="00E70ACB" w:rsidRDefault="00E70ACB" w:rsidP="00E70ACB">
      <w:pPr>
        <w:widowControl w:val="0"/>
        <w:autoSpaceDE w:val="0"/>
        <w:autoSpaceDN w:val="0"/>
        <w:adjustRightInd w:val="0"/>
        <w:spacing w:line="240" w:lineRule="auto"/>
        <w:ind w:left="640" w:hanging="640"/>
        <w:rPr>
          <w:rFonts w:cs="Calibri"/>
          <w:noProof/>
        </w:rPr>
      </w:pPr>
      <w:r w:rsidRPr="00E70ACB">
        <w:rPr>
          <w:rFonts w:cs="Calibri"/>
          <w:noProof/>
        </w:rPr>
        <w:t xml:space="preserve">7. </w:t>
      </w:r>
      <w:r w:rsidRPr="00E70ACB">
        <w:rPr>
          <w:rFonts w:cs="Calibri"/>
          <w:noProof/>
        </w:rPr>
        <w:tab/>
        <w:t>Hanlon P, Jani BD, Nicholl B, Lewsey J, McAllister DA, Mair FS. Associations between multimorbidity and adverse health outcomes in UK Biobank and the SAIL Databank: A comparison of longitudinal cohort studies. PLoS Med [Internet]. 2022 Mar 1 [cited 2023 Jan 9];19(3). Available from: /pmc/articles/PMC8901063/</w:t>
      </w:r>
    </w:p>
    <w:p w14:paraId="0C477062" w14:textId="77777777" w:rsidR="00E70ACB" w:rsidRPr="00E70ACB" w:rsidRDefault="00E70ACB" w:rsidP="00E70ACB">
      <w:pPr>
        <w:widowControl w:val="0"/>
        <w:autoSpaceDE w:val="0"/>
        <w:autoSpaceDN w:val="0"/>
        <w:adjustRightInd w:val="0"/>
        <w:spacing w:line="240" w:lineRule="auto"/>
        <w:ind w:left="640" w:hanging="640"/>
        <w:rPr>
          <w:rFonts w:cs="Calibri"/>
          <w:noProof/>
        </w:rPr>
      </w:pPr>
      <w:r w:rsidRPr="00E70ACB">
        <w:rPr>
          <w:rFonts w:cs="Calibri"/>
          <w:noProof/>
        </w:rPr>
        <w:t xml:space="preserve">8. </w:t>
      </w:r>
      <w:r w:rsidRPr="00E70ACB">
        <w:rPr>
          <w:rFonts w:cs="Calibri"/>
          <w:noProof/>
        </w:rPr>
        <w:tab/>
        <w:t>Payne RA, Mendonca SC, Elliott MN, Saunders CL, Edwards DA, Marshall M, et al. Development and validation of the Cambridge Multimorbidity Score. Can Med Assoc J [Internet]. 2020 Feb 3 [cited 2022 Aug 30];192(5):E107–14. Available from: https://www.ncbi.nlm.nih.gov/pmc/articles/PMC7004217/</w:t>
      </w:r>
    </w:p>
    <w:p w14:paraId="77BA33DD" w14:textId="6D67E6FE" w:rsidR="0013523C" w:rsidRPr="0013523C" w:rsidRDefault="0013523C" w:rsidP="0013523C">
      <w:pPr>
        <w:rPr>
          <w:lang w:val="en-GB"/>
        </w:rPr>
      </w:pPr>
      <w:r>
        <w:rPr>
          <w:lang w:val="en-GB"/>
        </w:rPr>
        <w:fldChar w:fldCharType="end"/>
      </w:r>
    </w:p>
    <w:p w14:paraId="0408A48E" w14:textId="26244122" w:rsidR="00326682" w:rsidRDefault="00326682" w:rsidP="00326682">
      <w:pPr>
        <w:pStyle w:val="Heading1"/>
        <w:rPr>
          <w:lang w:val="en-GB"/>
        </w:rPr>
      </w:pPr>
      <w:r>
        <w:rPr>
          <w:lang w:val="en-GB"/>
        </w:rPr>
        <w:lastRenderedPageBreak/>
        <w:t>Appendices</w:t>
      </w:r>
    </w:p>
    <w:p w14:paraId="5A9D8851" w14:textId="77777777" w:rsidR="00326682" w:rsidRDefault="00326682" w:rsidP="00326682">
      <w:pPr>
        <w:pStyle w:val="Heading2"/>
        <w:rPr>
          <w:lang w:val="en-GB"/>
        </w:rPr>
      </w:pPr>
      <w:r>
        <w:rPr>
          <w:lang w:val="en-GB"/>
        </w:rPr>
        <w:t>Appendix A: LA data variables</w:t>
      </w:r>
    </w:p>
    <w:tbl>
      <w:tblPr>
        <w:tblStyle w:val="TableGrid"/>
        <w:tblW w:w="7385" w:type="dxa"/>
        <w:jc w:val="center"/>
        <w:tblLook w:val="04A0" w:firstRow="1" w:lastRow="0" w:firstColumn="1" w:lastColumn="0" w:noHBand="0" w:noVBand="1"/>
      </w:tblPr>
      <w:tblGrid>
        <w:gridCol w:w="986"/>
        <w:gridCol w:w="4467"/>
        <w:gridCol w:w="1023"/>
        <w:gridCol w:w="909"/>
      </w:tblGrid>
      <w:tr w:rsidR="00FE7256" w:rsidRPr="006916A3" w14:paraId="577772E8" w14:textId="77777777" w:rsidTr="00FE7256">
        <w:trPr>
          <w:trHeight w:val="300"/>
          <w:jc w:val="center"/>
        </w:trPr>
        <w:tc>
          <w:tcPr>
            <w:tcW w:w="986" w:type="dxa"/>
          </w:tcPr>
          <w:p w14:paraId="6883761F" w14:textId="77777777" w:rsidR="00FE7256" w:rsidRPr="006916A3" w:rsidRDefault="00FE7256" w:rsidP="00051FCE">
            <w:pPr>
              <w:spacing w:after="160"/>
              <w:rPr>
                <w:b/>
                <w:bCs/>
                <w:lang w:val="en-GB"/>
              </w:rPr>
            </w:pPr>
          </w:p>
        </w:tc>
        <w:tc>
          <w:tcPr>
            <w:tcW w:w="4467" w:type="dxa"/>
            <w:noWrap/>
            <w:hideMark/>
          </w:tcPr>
          <w:p w14:paraId="16577648" w14:textId="77777777" w:rsidR="00FE7256" w:rsidRPr="006916A3" w:rsidRDefault="00FE7256" w:rsidP="00051FCE">
            <w:pPr>
              <w:spacing w:after="160"/>
              <w:rPr>
                <w:b/>
                <w:bCs/>
                <w:lang w:val="en-GB"/>
              </w:rPr>
            </w:pPr>
            <w:r w:rsidRPr="006916A3">
              <w:rPr>
                <w:b/>
                <w:bCs/>
                <w:lang w:val="en-GB"/>
              </w:rPr>
              <w:t>Data item</w:t>
            </w:r>
          </w:p>
        </w:tc>
        <w:tc>
          <w:tcPr>
            <w:tcW w:w="1023" w:type="dxa"/>
          </w:tcPr>
          <w:p w14:paraId="346154AA" w14:textId="77777777" w:rsidR="00FE7256" w:rsidRDefault="00FE7256" w:rsidP="00051FCE">
            <w:pPr>
              <w:rPr>
                <w:lang w:val="en-GB"/>
              </w:rPr>
            </w:pPr>
            <w:r w:rsidRPr="00FE7256">
              <w:rPr>
                <w:lang w:val="en-GB"/>
              </w:rPr>
              <w:t>Bridgend</w:t>
            </w:r>
          </w:p>
        </w:tc>
        <w:tc>
          <w:tcPr>
            <w:tcW w:w="909" w:type="dxa"/>
          </w:tcPr>
          <w:p w14:paraId="14F9D38E" w14:textId="77777777" w:rsidR="00FE7256" w:rsidRPr="006916A3" w:rsidRDefault="00FE7256" w:rsidP="00051FCE">
            <w:pPr>
              <w:spacing w:after="160"/>
              <w:rPr>
                <w:lang w:val="en-GB"/>
              </w:rPr>
            </w:pPr>
            <w:r>
              <w:rPr>
                <w:lang w:val="en-GB"/>
              </w:rPr>
              <w:t>RCT</w:t>
            </w:r>
          </w:p>
        </w:tc>
      </w:tr>
      <w:tr w:rsidR="00FE7256" w:rsidRPr="006916A3" w14:paraId="44ACFA90" w14:textId="77777777" w:rsidTr="00FE7256">
        <w:trPr>
          <w:trHeight w:val="300"/>
          <w:jc w:val="center"/>
        </w:trPr>
        <w:tc>
          <w:tcPr>
            <w:tcW w:w="986" w:type="dxa"/>
            <w:vMerge w:val="restart"/>
            <w:vAlign w:val="center"/>
          </w:tcPr>
          <w:p w14:paraId="1C800EA4" w14:textId="77777777" w:rsidR="00FE7256" w:rsidRPr="006916A3" w:rsidRDefault="00FE7256" w:rsidP="00FE7256">
            <w:pPr>
              <w:spacing w:after="160"/>
              <w:rPr>
                <w:lang w:val="en-GB"/>
              </w:rPr>
            </w:pPr>
            <w:r w:rsidRPr="006916A3">
              <w:rPr>
                <w:lang w:val="en-GB"/>
              </w:rPr>
              <w:t>Section 1</w:t>
            </w:r>
          </w:p>
        </w:tc>
        <w:tc>
          <w:tcPr>
            <w:tcW w:w="4467" w:type="dxa"/>
            <w:noWrap/>
          </w:tcPr>
          <w:p w14:paraId="77BE73AE" w14:textId="77777777" w:rsidR="00FE7256" w:rsidRPr="006916A3" w:rsidRDefault="00FE7256" w:rsidP="00FE7256">
            <w:pPr>
              <w:spacing w:after="160"/>
              <w:rPr>
                <w:b/>
                <w:bCs/>
                <w:lang w:val="en-GB"/>
              </w:rPr>
            </w:pPr>
            <w:r w:rsidRPr="006916A3">
              <w:rPr>
                <w:lang w:val="en-GB"/>
              </w:rPr>
              <w:t>NHS number</w:t>
            </w:r>
          </w:p>
        </w:tc>
        <w:tc>
          <w:tcPr>
            <w:tcW w:w="1023" w:type="dxa"/>
          </w:tcPr>
          <w:p w14:paraId="6068CCB3" w14:textId="537D0D76" w:rsidR="00FE7256" w:rsidRPr="006916A3" w:rsidRDefault="00FE7256" w:rsidP="00FE7256">
            <w:pPr>
              <w:rPr>
                <w:lang w:val="en-GB"/>
              </w:rPr>
            </w:pPr>
            <w:r w:rsidRPr="006916A3">
              <w:rPr>
                <w:lang w:val="en-GB"/>
              </w:rPr>
              <w:t>Y</w:t>
            </w:r>
          </w:p>
        </w:tc>
        <w:tc>
          <w:tcPr>
            <w:tcW w:w="909" w:type="dxa"/>
          </w:tcPr>
          <w:p w14:paraId="2F81DDD9" w14:textId="77777777" w:rsidR="00FE7256" w:rsidRPr="006916A3" w:rsidRDefault="00FE7256" w:rsidP="00FE7256">
            <w:pPr>
              <w:spacing w:after="160"/>
              <w:rPr>
                <w:lang w:val="en-GB"/>
              </w:rPr>
            </w:pPr>
            <w:r w:rsidRPr="006916A3">
              <w:rPr>
                <w:lang w:val="en-GB"/>
              </w:rPr>
              <w:t>Y</w:t>
            </w:r>
          </w:p>
        </w:tc>
      </w:tr>
      <w:tr w:rsidR="00FE7256" w:rsidRPr="006916A3" w14:paraId="2CEEBF6F" w14:textId="77777777" w:rsidTr="00FE7256">
        <w:trPr>
          <w:trHeight w:val="300"/>
          <w:jc w:val="center"/>
        </w:trPr>
        <w:tc>
          <w:tcPr>
            <w:tcW w:w="986" w:type="dxa"/>
            <w:vMerge/>
          </w:tcPr>
          <w:p w14:paraId="3B1550B6" w14:textId="77777777" w:rsidR="00FE7256" w:rsidRPr="006916A3" w:rsidRDefault="00FE7256" w:rsidP="00FE7256">
            <w:pPr>
              <w:spacing w:after="160"/>
              <w:rPr>
                <w:lang w:val="en-GB"/>
              </w:rPr>
            </w:pPr>
          </w:p>
        </w:tc>
        <w:tc>
          <w:tcPr>
            <w:tcW w:w="4467" w:type="dxa"/>
            <w:noWrap/>
          </w:tcPr>
          <w:p w14:paraId="3BC62D42" w14:textId="77777777" w:rsidR="00FE7256" w:rsidRPr="006916A3" w:rsidRDefault="00FE7256" w:rsidP="00FE7256">
            <w:pPr>
              <w:spacing w:after="160"/>
              <w:rPr>
                <w:lang w:val="en-GB"/>
              </w:rPr>
            </w:pPr>
            <w:r w:rsidRPr="006916A3">
              <w:rPr>
                <w:lang w:val="en-GB"/>
              </w:rPr>
              <w:t>Person ID (from source system)</w:t>
            </w:r>
          </w:p>
        </w:tc>
        <w:tc>
          <w:tcPr>
            <w:tcW w:w="1023" w:type="dxa"/>
          </w:tcPr>
          <w:p w14:paraId="3CC32055" w14:textId="7F7A4CCB" w:rsidR="00FE7256" w:rsidRPr="006916A3" w:rsidRDefault="00FE7256" w:rsidP="00FE7256">
            <w:pPr>
              <w:rPr>
                <w:lang w:val="en-GB"/>
              </w:rPr>
            </w:pPr>
            <w:r w:rsidRPr="006916A3">
              <w:rPr>
                <w:lang w:val="en-GB"/>
              </w:rPr>
              <w:t>Y</w:t>
            </w:r>
          </w:p>
        </w:tc>
        <w:tc>
          <w:tcPr>
            <w:tcW w:w="909" w:type="dxa"/>
          </w:tcPr>
          <w:p w14:paraId="24BC312D" w14:textId="77777777" w:rsidR="00FE7256" w:rsidRPr="006916A3" w:rsidRDefault="00FE7256" w:rsidP="00FE7256">
            <w:pPr>
              <w:spacing w:after="160"/>
              <w:rPr>
                <w:lang w:val="en-GB"/>
              </w:rPr>
            </w:pPr>
            <w:r w:rsidRPr="006916A3">
              <w:rPr>
                <w:lang w:val="en-GB"/>
              </w:rPr>
              <w:t>Y</w:t>
            </w:r>
          </w:p>
        </w:tc>
      </w:tr>
      <w:tr w:rsidR="00FE7256" w:rsidRPr="006916A3" w14:paraId="19B2011B" w14:textId="77777777" w:rsidTr="00FE7256">
        <w:trPr>
          <w:trHeight w:val="300"/>
          <w:jc w:val="center"/>
        </w:trPr>
        <w:tc>
          <w:tcPr>
            <w:tcW w:w="986" w:type="dxa"/>
            <w:vMerge/>
          </w:tcPr>
          <w:p w14:paraId="5E32DE30" w14:textId="77777777" w:rsidR="00FE7256" w:rsidRPr="006916A3" w:rsidRDefault="00FE7256" w:rsidP="00FE7256">
            <w:pPr>
              <w:spacing w:after="160"/>
              <w:rPr>
                <w:lang w:val="en-GB"/>
              </w:rPr>
            </w:pPr>
          </w:p>
        </w:tc>
        <w:tc>
          <w:tcPr>
            <w:tcW w:w="4467" w:type="dxa"/>
            <w:noWrap/>
            <w:hideMark/>
          </w:tcPr>
          <w:p w14:paraId="6082C19C" w14:textId="77777777" w:rsidR="00FE7256" w:rsidRPr="006916A3" w:rsidRDefault="00FE7256" w:rsidP="00FE7256">
            <w:pPr>
              <w:spacing w:after="160"/>
              <w:rPr>
                <w:lang w:val="en-GB"/>
              </w:rPr>
            </w:pPr>
            <w:r w:rsidRPr="006916A3">
              <w:rPr>
                <w:lang w:val="en-GB"/>
              </w:rPr>
              <w:t>First name(s)</w:t>
            </w:r>
          </w:p>
        </w:tc>
        <w:tc>
          <w:tcPr>
            <w:tcW w:w="1023" w:type="dxa"/>
          </w:tcPr>
          <w:p w14:paraId="134A6646" w14:textId="11E0FB4A" w:rsidR="00FE7256" w:rsidRPr="006916A3" w:rsidRDefault="00FE7256" w:rsidP="00FE7256">
            <w:pPr>
              <w:rPr>
                <w:lang w:val="en-GB"/>
              </w:rPr>
            </w:pPr>
            <w:r w:rsidRPr="006916A3">
              <w:rPr>
                <w:lang w:val="en-GB"/>
              </w:rPr>
              <w:t>Y</w:t>
            </w:r>
          </w:p>
        </w:tc>
        <w:tc>
          <w:tcPr>
            <w:tcW w:w="909" w:type="dxa"/>
          </w:tcPr>
          <w:p w14:paraId="284254C9" w14:textId="77777777" w:rsidR="00FE7256" w:rsidRPr="006916A3" w:rsidRDefault="00FE7256" w:rsidP="00FE7256">
            <w:pPr>
              <w:spacing w:after="160"/>
              <w:rPr>
                <w:lang w:val="en-GB"/>
              </w:rPr>
            </w:pPr>
            <w:r w:rsidRPr="006916A3">
              <w:rPr>
                <w:lang w:val="en-GB"/>
              </w:rPr>
              <w:t>Y</w:t>
            </w:r>
          </w:p>
        </w:tc>
      </w:tr>
      <w:tr w:rsidR="00FE7256" w:rsidRPr="006916A3" w14:paraId="6566314B" w14:textId="77777777" w:rsidTr="00FE7256">
        <w:trPr>
          <w:trHeight w:val="300"/>
          <w:jc w:val="center"/>
        </w:trPr>
        <w:tc>
          <w:tcPr>
            <w:tcW w:w="986" w:type="dxa"/>
            <w:vMerge/>
          </w:tcPr>
          <w:p w14:paraId="5CE13156" w14:textId="77777777" w:rsidR="00FE7256" w:rsidRPr="006916A3" w:rsidRDefault="00FE7256" w:rsidP="00FE7256">
            <w:pPr>
              <w:spacing w:after="160"/>
              <w:rPr>
                <w:lang w:val="en-GB"/>
              </w:rPr>
            </w:pPr>
          </w:p>
        </w:tc>
        <w:tc>
          <w:tcPr>
            <w:tcW w:w="4467" w:type="dxa"/>
            <w:noWrap/>
            <w:hideMark/>
          </w:tcPr>
          <w:p w14:paraId="462EA9DA" w14:textId="77777777" w:rsidR="00FE7256" w:rsidRPr="006916A3" w:rsidRDefault="00FE7256" w:rsidP="00FE7256">
            <w:pPr>
              <w:spacing w:after="160"/>
              <w:rPr>
                <w:lang w:val="en-GB"/>
              </w:rPr>
            </w:pPr>
            <w:r w:rsidRPr="006916A3">
              <w:rPr>
                <w:lang w:val="en-GB"/>
              </w:rPr>
              <w:t>Surname</w:t>
            </w:r>
          </w:p>
        </w:tc>
        <w:tc>
          <w:tcPr>
            <w:tcW w:w="1023" w:type="dxa"/>
          </w:tcPr>
          <w:p w14:paraId="0736E278" w14:textId="7F14FCF4" w:rsidR="00FE7256" w:rsidRPr="006916A3" w:rsidRDefault="00FE7256" w:rsidP="00FE7256">
            <w:pPr>
              <w:rPr>
                <w:lang w:val="en-GB"/>
              </w:rPr>
            </w:pPr>
            <w:r w:rsidRPr="006916A3">
              <w:rPr>
                <w:lang w:val="en-GB"/>
              </w:rPr>
              <w:t>Y</w:t>
            </w:r>
          </w:p>
        </w:tc>
        <w:tc>
          <w:tcPr>
            <w:tcW w:w="909" w:type="dxa"/>
          </w:tcPr>
          <w:p w14:paraId="5F9ADA00" w14:textId="77777777" w:rsidR="00FE7256" w:rsidRPr="006916A3" w:rsidRDefault="00FE7256" w:rsidP="00FE7256">
            <w:pPr>
              <w:spacing w:after="160"/>
              <w:rPr>
                <w:lang w:val="en-GB"/>
              </w:rPr>
            </w:pPr>
            <w:r w:rsidRPr="006916A3">
              <w:rPr>
                <w:lang w:val="en-GB"/>
              </w:rPr>
              <w:t>Y</w:t>
            </w:r>
          </w:p>
        </w:tc>
      </w:tr>
      <w:tr w:rsidR="00FE7256" w:rsidRPr="006916A3" w14:paraId="3F4F470E" w14:textId="77777777" w:rsidTr="00FE7256">
        <w:trPr>
          <w:trHeight w:val="300"/>
          <w:jc w:val="center"/>
        </w:trPr>
        <w:tc>
          <w:tcPr>
            <w:tcW w:w="986" w:type="dxa"/>
            <w:vMerge/>
          </w:tcPr>
          <w:p w14:paraId="1C7E06C8" w14:textId="77777777" w:rsidR="00FE7256" w:rsidRPr="006916A3" w:rsidRDefault="00FE7256" w:rsidP="00FE7256">
            <w:pPr>
              <w:spacing w:after="160"/>
              <w:rPr>
                <w:lang w:val="en-GB"/>
              </w:rPr>
            </w:pPr>
          </w:p>
        </w:tc>
        <w:tc>
          <w:tcPr>
            <w:tcW w:w="4467" w:type="dxa"/>
            <w:noWrap/>
            <w:hideMark/>
          </w:tcPr>
          <w:p w14:paraId="29D6D5CA" w14:textId="77777777" w:rsidR="00FE7256" w:rsidRPr="006916A3" w:rsidRDefault="00FE7256" w:rsidP="00FE7256">
            <w:pPr>
              <w:spacing w:after="160"/>
              <w:rPr>
                <w:lang w:val="en-GB"/>
              </w:rPr>
            </w:pPr>
            <w:r w:rsidRPr="006916A3">
              <w:rPr>
                <w:lang w:val="en-GB"/>
              </w:rPr>
              <w:t>Address</w:t>
            </w:r>
          </w:p>
        </w:tc>
        <w:tc>
          <w:tcPr>
            <w:tcW w:w="1023" w:type="dxa"/>
          </w:tcPr>
          <w:p w14:paraId="31D46387" w14:textId="633909E2" w:rsidR="00FE7256" w:rsidRPr="006916A3" w:rsidRDefault="00FE7256" w:rsidP="00FE7256">
            <w:pPr>
              <w:rPr>
                <w:lang w:val="en-GB"/>
              </w:rPr>
            </w:pPr>
            <w:r w:rsidRPr="006916A3">
              <w:rPr>
                <w:lang w:val="en-GB"/>
              </w:rPr>
              <w:t>Y</w:t>
            </w:r>
          </w:p>
        </w:tc>
        <w:tc>
          <w:tcPr>
            <w:tcW w:w="909" w:type="dxa"/>
          </w:tcPr>
          <w:p w14:paraId="3BFAEDE9" w14:textId="77777777" w:rsidR="00FE7256" w:rsidRPr="006916A3" w:rsidRDefault="00FE7256" w:rsidP="00FE7256">
            <w:pPr>
              <w:spacing w:after="160"/>
              <w:rPr>
                <w:lang w:val="en-GB"/>
              </w:rPr>
            </w:pPr>
            <w:r w:rsidRPr="006916A3">
              <w:rPr>
                <w:lang w:val="en-GB"/>
              </w:rPr>
              <w:t>Y</w:t>
            </w:r>
          </w:p>
        </w:tc>
      </w:tr>
      <w:tr w:rsidR="00FE7256" w:rsidRPr="006916A3" w14:paraId="675EDE6C" w14:textId="77777777" w:rsidTr="00FE7256">
        <w:trPr>
          <w:trHeight w:val="300"/>
          <w:jc w:val="center"/>
        </w:trPr>
        <w:tc>
          <w:tcPr>
            <w:tcW w:w="986" w:type="dxa"/>
            <w:vMerge/>
          </w:tcPr>
          <w:p w14:paraId="5F65B5E8" w14:textId="77777777" w:rsidR="00FE7256" w:rsidRPr="006916A3" w:rsidRDefault="00FE7256" w:rsidP="00FE7256">
            <w:pPr>
              <w:spacing w:after="160"/>
              <w:rPr>
                <w:lang w:val="en-GB"/>
              </w:rPr>
            </w:pPr>
          </w:p>
        </w:tc>
        <w:tc>
          <w:tcPr>
            <w:tcW w:w="4467" w:type="dxa"/>
            <w:noWrap/>
          </w:tcPr>
          <w:p w14:paraId="5C006C9B" w14:textId="77777777" w:rsidR="00FE7256" w:rsidRPr="006916A3" w:rsidRDefault="00FE7256" w:rsidP="00FE7256">
            <w:pPr>
              <w:spacing w:after="160"/>
              <w:rPr>
                <w:lang w:val="en-GB"/>
              </w:rPr>
            </w:pPr>
            <w:r w:rsidRPr="006916A3">
              <w:rPr>
                <w:lang w:val="en-GB"/>
              </w:rPr>
              <w:t>Postcode</w:t>
            </w:r>
          </w:p>
        </w:tc>
        <w:tc>
          <w:tcPr>
            <w:tcW w:w="1023" w:type="dxa"/>
          </w:tcPr>
          <w:p w14:paraId="175362A8" w14:textId="1E3D1D03" w:rsidR="00FE7256" w:rsidRPr="006916A3" w:rsidRDefault="00FE7256" w:rsidP="00FE7256">
            <w:pPr>
              <w:rPr>
                <w:lang w:val="en-GB"/>
              </w:rPr>
            </w:pPr>
            <w:r w:rsidRPr="006916A3">
              <w:rPr>
                <w:lang w:val="en-GB"/>
              </w:rPr>
              <w:t>Y</w:t>
            </w:r>
          </w:p>
        </w:tc>
        <w:tc>
          <w:tcPr>
            <w:tcW w:w="909" w:type="dxa"/>
          </w:tcPr>
          <w:p w14:paraId="74FC9388" w14:textId="77777777" w:rsidR="00FE7256" w:rsidRPr="006916A3" w:rsidRDefault="00FE7256" w:rsidP="00FE7256">
            <w:pPr>
              <w:spacing w:after="160"/>
              <w:rPr>
                <w:lang w:val="en-GB"/>
              </w:rPr>
            </w:pPr>
            <w:r w:rsidRPr="006916A3">
              <w:rPr>
                <w:lang w:val="en-GB"/>
              </w:rPr>
              <w:t>Y</w:t>
            </w:r>
          </w:p>
        </w:tc>
      </w:tr>
      <w:tr w:rsidR="00FE7256" w:rsidRPr="006916A3" w14:paraId="269750A9" w14:textId="77777777" w:rsidTr="00FE7256">
        <w:trPr>
          <w:trHeight w:val="300"/>
          <w:jc w:val="center"/>
        </w:trPr>
        <w:tc>
          <w:tcPr>
            <w:tcW w:w="986" w:type="dxa"/>
            <w:vMerge/>
          </w:tcPr>
          <w:p w14:paraId="3D87D3DD" w14:textId="77777777" w:rsidR="00FE7256" w:rsidRPr="006916A3" w:rsidRDefault="00FE7256" w:rsidP="00FE7256">
            <w:pPr>
              <w:spacing w:after="160"/>
              <w:rPr>
                <w:lang w:val="en-GB"/>
              </w:rPr>
            </w:pPr>
          </w:p>
        </w:tc>
        <w:tc>
          <w:tcPr>
            <w:tcW w:w="4467" w:type="dxa"/>
            <w:noWrap/>
          </w:tcPr>
          <w:p w14:paraId="1ED79E14" w14:textId="77777777" w:rsidR="00FE7256" w:rsidRPr="006916A3" w:rsidRDefault="00FE7256" w:rsidP="00FE7256">
            <w:pPr>
              <w:spacing w:after="160"/>
              <w:rPr>
                <w:lang w:val="en-GB"/>
              </w:rPr>
            </w:pPr>
            <w:r w:rsidRPr="006916A3">
              <w:rPr>
                <w:lang w:val="en-GB"/>
              </w:rPr>
              <w:t>Date of Birth</w:t>
            </w:r>
          </w:p>
        </w:tc>
        <w:tc>
          <w:tcPr>
            <w:tcW w:w="1023" w:type="dxa"/>
          </w:tcPr>
          <w:p w14:paraId="50D8221B" w14:textId="298EC3DF" w:rsidR="00FE7256" w:rsidRPr="006916A3" w:rsidRDefault="00FE7256" w:rsidP="00FE7256">
            <w:pPr>
              <w:rPr>
                <w:lang w:val="en-GB"/>
              </w:rPr>
            </w:pPr>
            <w:r w:rsidRPr="006916A3">
              <w:rPr>
                <w:lang w:val="en-GB"/>
              </w:rPr>
              <w:t>Y</w:t>
            </w:r>
          </w:p>
        </w:tc>
        <w:tc>
          <w:tcPr>
            <w:tcW w:w="909" w:type="dxa"/>
          </w:tcPr>
          <w:p w14:paraId="0EA15288" w14:textId="77777777" w:rsidR="00FE7256" w:rsidRPr="006916A3" w:rsidRDefault="00FE7256" w:rsidP="00FE7256">
            <w:pPr>
              <w:spacing w:after="160"/>
              <w:rPr>
                <w:lang w:val="en-GB"/>
              </w:rPr>
            </w:pPr>
            <w:r w:rsidRPr="006916A3">
              <w:rPr>
                <w:lang w:val="en-GB"/>
              </w:rPr>
              <w:t>Y</w:t>
            </w:r>
          </w:p>
        </w:tc>
      </w:tr>
      <w:tr w:rsidR="00FE7256" w:rsidRPr="006916A3" w14:paraId="65501C60" w14:textId="77777777" w:rsidTr="00FE7256">
        <w:trPr>
          <w:trHeight w:val="300"/>
          <w:jc w:val="center"/>
        </w:trPr>
        <w:tc>
          <w:tcPr>
            <w:tcW w:w="986" w:type="dxa"/>
            <w:vMerge w:val="restart"/>
            <w:vAlign w:val="center"/>
          </w:tcPr>
          <w:p w14:paraId="15FE1CF1" w14:textId="77777777" w:rsidR="00FE7256" w:rsidRPr="006916A3" w:rsidRDefault="00FE7256" w:rsidP="00FE7256">
            <w:pPr>
              <w:spacing w:after="160"/>
              <w:rPr>
                <w:lang w:val="en-GB"/>
              </w:rPr>
            </w:pPr>
            <w:r w:rsidRPr="006916A3">
              <w:rPr>
                <w:lang w:val="en-GB"/>
              </w:rPr>
              <w:t>Section 2</w:t>
            </w:r>
          </w:p>
        </w:tc>
        <w:tc>
          <w:tcPr>
            <w:tcW w:w="4467" w:type="dxa"/>
            <w:noWrap/>
          </w:tcPr>
          <w:p w14:paraId="50A91035" w14:textId="77777777" w:rsidR="00FE7256" w:rsidRPr="006916A3" w:rsidRDefault="00FE7256" w:rsidP="00FE7256">
            <w:pPr>
              <w:spacing w:after="160"/>
              <w:rPr>
                <w:lang w:val="en-GB"/>
              </w:rPr>
            </w:pPr>
            <w:r w:rsidRPr="006916A3">
              <w:rPr>
                <w:lang w:val="en-GB"/>
              </w:rPr>
              <w:t>Referral date</w:t>
            </w:r>
          </w:p>
        </w:tc>
        <w:tc>
          <w:tcPr>
            <w:tcW w:w="1023" w:type="dxa"/>
          </w:tcPr>
          <w:p w14:paraId="00DFA61D" w14:textId="64FD1C4C" w:rsidR="00FE7256" w:rsidRPr="006916A3" w:rsidRDefault="00FE7256" w:rsidP="00FE7256">
            <w:pPr>
              <w:rPr>
                <w:lang w:val="en-GB"/>
              </w:rPr>
            </w:pPr>
            <w:r>
              <w:rPr>
                <w:lang w:val="en-GB"/>
              </w:rPr>
              <w:t>N</w:t>
            </w:r>
          </w:p>
        </w:tc>
        <w:tc>
          <w:tcPr>
            <w:tcW w:w="909" w:type="dxa"/>
          </w:tcPr>
          <w:p w14:paraId="1EF44662" w14:textId="77777777" w:rsidR="00FE7256" w:rsidRPr="006916A3" w:rsidRDefault="00FE7256" w:rsidP="00FE7256">
            <w:pPr>
              <w:spacing w:after="160"/>
              <w:rPr>
                <w:lang w:val="en-GB"/>
              </w:rPr>
            </w:pPr>
            <w:r>
              <w:rPr>
                <w:lang w:val="en-GB"/>
              </w:rPr>
              <w:t>N</w:t>
            </w:r>
          </w:p>
        </w:tc>
      </w:tr>
      <w:tr w:rsidR="00FE7256" w:rsidRPr="006916A3" w14:paraId="1442854F" w14:textId="77777777" w:rsidTr="00FE7256">
        <w:trPr>
          <w:trHeight w:val="300"/>
          <w:jc w:val="center"/>
        </w:trPr>
        <w:tc>
          <w:tcPr>
            <w:tcW w:w="986" w:type="dxa"/>
            <w:vMerge/>
            <w:vAlign w:val="center"/>
          </w:tcPr>
          <w:p w14:paraId="4D5D7CAF" w14:textId="77777777" w:rsidR="00FE7256" w:rsidRPr="006916A3" w:rsidRDefault="00FE7256" w:rsidP="00FE7256">
            <w:pPr>
              <w:spacing w:after="160"/>
              <w:rPr>
                <w:lang w:val="en-GB"/>
              </w:rPr>
            </w:pPr>
          </w:p>
        </w:tc>
        <w:tc>
          <w:tcPr>
            <w:tcW w:w="4467" w:type="dxa"/>
            <w:noWrap/>
          </w:tcPr>
          <w:p w14:paraId="168513A7" w14:textId="77777777" w:rsidR="00FE7256" w:rsidRPr="006916A3" w:rsidRDefault="00FE7256" w:rsidP="00FE7256">
            <w:pPr>
              <w:spacing w:after="160"/>
              <w:rPr>
                <w:lang w:val="en-GB"/>
              </w:rPr>
            </w:pPr>
            <w:r w:rsidRPr="006916A3">
              <w:rPr>
                <w:lang w:val="en-GB"/>
              </w:rPr>
              <w:t>Reablement start date</w:t>
            </w:r>
          </w:p>
        </w:tc>
        <w:tc>
          <w:tcPr>
            <w:tcW w:w="1023" w:type="dxa"/>
          </w:tcPr>
          <w:p w14:paraId="0A4FAB7D" w14:textId="5D338B17" w:rsidR="00FE7256" w:rsidRPr="006916A3" w:rsidRDefault="00FE7256" w:rsidP="00FE7256">
            <w:pPr>
              <w:rPr>
                <w:lang w:val="en-GB"/>
              </w:rPr>
            </w:pPr>
            <w:r>
              <w:rPr>
                <w:lang w:val="en-GB"/>
              </w:rPr>
              <w:t>Y</w:t>
            </w:r>
          </w:p>
        </w:tc>
        <w:tc>
          <w:tcPr>
            <w:tcW w:w="909" w:type="dxa"/>
          </w:tcPr>
          <w:p w14:paraId="2D728845" w14:textId="77777777" w:rsidR="00FE7256" w:rsidRPr="006916A3" w:rsidRDefault="00FE7256" w:rsidP="00FE7256">
            <w:pPr>
              <w:spacing w:after="160"/>
              <w:rPr>
                <w:lang w:val="en-GB"/>
              </w:rPr>
            </w:pPr>
            <w:r w:rsidRPr="006916A3">
              <w:rPr>
                <w:lang w:val="en-GB"/>
              </w:rPr>
              <w:t>Y</w:t>
            </w:r>
          </w:p>
        </w:tc>
      </w:tr>
      <w:tr w:rsidR="00FE7256" w:rsidRPr="006916A3" w14:paraId="5886F517" w14:textId="77777777" w:rsidTr="00FE7256">
        <w:trPr>
          <w:trHeight w:val="300"/>
          <w:jc w:val="center"/>
        </w:trPr>
        <w:tc>
          <w:tcPr>
            <w:tcW w:w="986" w:type="dxa"/>
            <w:vMerge/>
            <w:vAlign w:val="center"/>
          </w:tcPr>
          <w:p w14:paraId="5700D9D3" w14:textId="77777777" w:rsidR="00FE7256" w:rsidRPr="006916A3" w:rsidRDefault="00FE7256" w:rsidP="00FE7256">
            <w:pPr>
              <w:spacing w:after="160"/>
              <w:rPr>
                <w:lang w:val="en-GB"/>
              </w:rPr>
            </w:pPr>
          </w:p>
        </w:tc>
        <w:tc>
          <w:tcPr>
            <w:tcW w:w="4467" w:type="dxa"/>
            <w:noWrap/>
          </w:tcPr>
          <w:p w14:paraId="56B16159" w14:textId="77777777" w:rsidR="00FE7256" w:rsidRPr="006916A3" w:rsidRDefault="00FE7256" w:rsidP="00FE7256">
            <w:pPr>
              <w:spacing w:after="160"/>
              <w:rPr>
                <w:lang w:val="en-GB"/>
              </w:rPr>
            </w:pPr>
            <w:r w:rsidRPr="006916A3">
              <w:rPr>
                <w:lang w:val="en-GB"/>
              </w:rPr>
              <w:t>Reablement end date</w:t>
            </w:r>
          </w:p>
        </w:tc>
        <w:tc>
          <w:tcPr>
            <w:tcW w:w="1023" w:type="dxa"/>
          </w:tcPr>
          <w:p w14:paraId="6DF06A2C" w14:textId="1D6BD862" w:rsidR="00FE7256" w:rsidRPr="006916A3" w:rsidRDefault="00FE7256" w:rsidP="00FE7256">
            <w:pPr>
              <w:rPr>
                <w:lang w:val="en-GB"/>
              </w:rPr>
            </w:pPr>
            <w:r>
              <w:rPr>
                <w:lang w:val="en-GB"/>
              </w:rPr>
              <w:t>Y</w:t>
            </w:r>
          </w:p>
        </w:tc>
        <w:tc>
          <w:tcPr>
            <w:tcW w:w="909" w:type="dxa"/>
          </w:tcPr>
          <w:p w14:paraId="3B2607D4" w14:textId="77777777" w:rsidR="00FE7256" w:rsidRPr="006916A3" w:rsidRDefault="00FE7256" w:rsidP="00FE7256">
            <w:pPr>
              <w:spacing w:after="160"/>
              <w:rPr>
                <w:lang w:val="en-GB"/>
              </w:rPr>
            </w:pPr>
            <w:r w:rsidRPr="006916A3">
              <w:rPr>
                <w:lang w:val="en-GB"/>
              </w:rPr>
              <w:t>Y</w:t>
            </w:r>
          </w:p>
        </w:tc>
      </w:tr>
      <w:tr w:rsidR="00FE7256" w:rsidRPr="006916A3" w14:paraId="770129FD" w14:textId="77777777" w:rsidTr="00FE7256">
        <w:trPr>
          <w:trHeight w:val="300"/>
          <w:jc w:val="center"/>
        </w:trPr>
        <w:tc>
          <w:tcPr>
            <w:tcW w:w="986" w:type="dxa"/>
            <w:vMerge/>
            <w:vAlign w:val="center"/>
          </w:tcPr>
          <w:p w14:paraId="4C7550A4" w14:textId="77777777" w:rsidR="00FE7256" w:rsidRPr="006916A3" w:rsidRDefault="00FE7256" w:rsidP="00FE7256">
            <w:pPr>
              <w:spacing w:after="160"/>
              <w:rPr>
                <w:lang w:val="en-GB"/>
              </w:rPr>
            </w:pPr>
          </w:p>
        </w:tc>
        <w:tc>
          <w:tcPr>
            <w:tcW w:w="4467" w:type="dxa"/>
            <w:noWrap/>
          </w:tcPr>
          <w:p w14:paraId="4BA382E3" w14:textId="77777777" w:rsidR="00FE7256" w:rsidRPr="006916A3" w:rsidRDefault="00FE7256" w:rsidP="00FE7256">
            <w:pPr>
              <w:spacing w:after="160"/>
              <w:rPr>
                <w:lang w:val="en-GB"/>
              </w:rPr>
            </w:pPr>
            <w:r w:rsidRPr="006916A3">
              <w:rPr>
                <w:lang w:val="en-GB"/>
              </w:rPr>
              <w:t>Type(s) of service delivered</w:t>
            </w:r>
          </w:p>
        </w:tc>
        <w:tc>
          <w:tcPr>
            <w:tcW w:w="1023" w:type="dxa"/>
          </w:tcPr>
          <w:p w14:paraId="5AE11A1A" w14:textId="4D58F813" w:rsidR="00FE7256" w:rsidRPr="006916A3" w:rsidRDefault="00FE7256" w:rsidP="00FE7256">
            <w:pPr>
              <w:rPr>
                <w:lang w:val="en-GB"/>
              </w:rPr>
            </w:pPr>
            <w:r>
              <w:rPr>
                <w:lang w:val="en-GB"/>
              </w:rPr>
              <w:t>Y</w:t>
            </w:r>
          </w:p>
        </w:tc>
        <w:tc>
          <w:tcPr>
            <w:tcW w:w="909" w:type="dxa"/>
          </w:tcPr>
          <w:p w14:paraId="08B336E8" w14:textId="77777777" w:rsidR="00FE7256" w:rsidRPr="006916A3" w:rsidRDefault="00FE7256" w:rsidP="00FE7256">
            <w:pPr>
              <w:spacing w:after="160"/>
              <w:rPr>
                <w:lang w:val="en-GB"/>
              </w:rPr>
            </w:pPr>
            <w:r w:rsidRPr="006916A3">
              <w:rPr>
                <w:lang w:val="en-GB"/>
              </w:rPr>
              <w:t>Y</w:t>
            </w:r>
          </w:p>
        </w:tc>
      </w:tr>
      <w:tr w:rsidR="00FE7256" w:rsidRPr="006916A3" w14:paraId="79FC81F9" w14:textId="77777777" w:rsidTr="00FE7256">
        <w:trPr>
          <w:trHeight w:val="300"/>
          <w:jc w:val="center"/>
        </w:trPr>
        <w:tc>
          <w:tcPr>
            <w:tcW w:w="986" w:type="dxa"/>
            <w:vMerge/>
            <w:vAlign w:val="center"/>
          </w:tcPr>
          <w:p w14:paraId="02B4B93D" w14:textId="77777777" w:rsidR="00FE7256" w:rsidRPr="006916A3" w:rsidRDefault="00FE7256" w:rsidP="00FE7256">
            <w:pPr>
              <w:spacing w:after="160"/>
              <w:rPr>
                <w:lang w:val="en-GB"/>
              </w:rPr>
            </w:pPr>
          </w:p>
        </w:tc>
        <w:tc>
          <w:tcPr>
            <w:tcW w:w="4467" w:type="dxa"/>
            <w:noWrap/>
          </w:tcPr>
          <w:p w14:paraId="6A33030B" w14:textId="77777777" w:rsidR="00FE7256" w:rsidRPr="006916A3" w:rsidRDefault="00FE7256" w:rsidP="00FE7256">
            <w:pPr>
              <w:spacing w:after="160"/>
              <w:rPr>
                <w:lang w:val="en-GB"/>
              </w:rPr>
            </w:pPr>
            <w:r w:rsidRPr="006916A3">
              <w:rPr>
                <w:lang w:val="en-GB"/>
              </w:rPr>
              <w:t>Service provider(s)</w:t>
            </w:r>
          </w:p>
        </w:tc>
        <w:tc>
          <w:tcPr>
            <w:tcW w:w="1023" w:type="dxa"/>
          </w:tcPr>
          <w:p w14:paraId="4208AB71" w14:textId="5487BB49" w:rsidR="00FE7256" w:rsidRPr="006916A3" w:rsidRDefault="00FE7256" w:rsidP="00FE7256">
            <w:pPr>
              <w:rPr>
                <w:lang w:val="en-GB"/>
              </w:rPr>
            </w:pPr>
            <w:r>
              <w:rPr>
                <w:lang w:val="en-GB"/>
              </w:rPr>
              <w:t>Y</w:t>
            </w:r>
          </w:p>
        </w:tc>
        <w:tc>
          <w:tcPr>
            <w:tcW w:w="909" w:type="dxa"/>
          </w:tcPr>
          <w:p w14:paraId="61A5F4DA" w14:textId="77777777" w:rsidR="00FE7256" w:rsidRPr="006916A3" w:rsidRDefault="00FE7256" w:rsidP="00FE7256">
            <w:pPr>
              <w:spacing w:after="160"/>
              <w:rPr>
                <w:lang w:val="en-GB"/>
              </w:rPr>
            </w:pPr>
            <w:r w:rsidRPr="006916A3">
              <w:rPr>
                <w:lang w:val="en-GB"/>
              </w:rPr>
              <w:t>Y</w:t>
            </w:r>
          </w:p>
        </w:tc>
      </w:tr>
      <w:tr w:rsidR="00FE7256" w:rsidRPr="006916A3" w14:paraId="0AB61D36" w14:textId="77777777" w:rsidTr="00FE7256">
        <w:trPr>
          <w:trHeight w:val="300"/>
          <w:jc w:val="center"/>
        </w:trPr>
        <w:tc>
          <w:tcPr>
            <w:tcW w:w="986" w:type="dxa"/>
            <w:vMerge/>
            <w:vAlign w:val="center"/>
          </w:tcPr>
          <w:p w14:paraId="67131621" w14:textId="77777777" w:rsidR="00FE7256" w:rsidRPr="006916A3" w:rsidRDefault="00FE7256" w:rsidP="00FE7256">
            <w:pPr>
              <w:spacing w:after="160"/>
              <w:rPr>
                <w:lang w:val="en-GB"/>
              </w:rPr>
            </w:pPr>
          </w:p>
        </w:tc>
        <w:tc>
          <w:tcPr>
            <w:tcW w:w="4467" w:type="dxa"/>
            <w:noWrap/>
          </w:tcPr>
          <w:p w14:paraId="6244E6BF" w14:textId="77777777" w:rsidR="00FE7256" w:rsidRPr="006916A3" w:rsidRDefault="00FE7256" w:rsidP="00FE7256">
            <w:pPr>
              <w:spacing w:after="160"/>
              <w:rPr>
                <w:lang w:val="en-GB"/>
              </w:rPr>
            </w:pPr>
            <w:r w:rsidRPr="006916A3">
              <w:rPr>
                <w:lang w:val="en-GB"/>
              </w:rPr>
              <w:t>Reason for referral</w:t>
            </w:r>
          </w:p>
        </w:tc>
        <w:tc>
          <w:tcPr>
            <w:tcW w:w="1023" w:type="dxa"/>
          </w:tcPr>
          <w:p w14:paraId="085529C5" w14:textId="1088AF7F" w:rsidR="00FE7256" w:rsidRPr="006916A3" w:rsidRDefault="00FE7256" w:rsidP="00FE7256">
            <w:pPr>
              <w:rPr>
                <w:lang w:val="en-GB"/>
              </w:rPr>
            </w:pPr>
            <w:r>
              <w:rPr>
                <w:lang w:val="en-GB"/>
              </w:rPr>
              <w:t>N</w:t>
            </w:r>
          </w:p>
        </w:tc>
        <w:tc>
          <w:tcPr>
            <w:tcW w:w="909" w:type="dxa"/>
          </w:tcPr>
          <w:p w14:paraId="4630321F" w14:textId="77777777" w:rsidR="00FE7256" w:rsidRPr="006916A3" w:rsidRDefault="00FE7256" w:rsidP="00FE7256">
            <w:pPr>
              <w:spacing w:after="160"/>
              <w:rPr>
                <w:lang w:val="en-GB"/>
              </w:rPr>
            </w:pPr>
            <w:r>
              <w:rPr>
                <w:lang w:val="en-GB"/>
              </w:rPr>
              <w:t>N</w:t>
            </w:r>
          </w:p>
        </w:tc>
      </w:tr>
      <w:tr w:rsidR="00FE7256" w:rsidRPr="006916A3" w14:paraId="73BA8328" w14:textId="77777777" w:rsidTr="00FE7256">
        <w:trPr>
          <w:trHeight w:val="300"/>
          <w:jc w:val="center"/>
        </w:trPr>
        <w:tc>
          <w:tcPr>
            <w:tcW w:w="986" w:type="dxa"/>
            <w:vMerge/>
            <w:vAlign w:val="center"/>
          </w:tcPr>
          <w:p w14:paraId="078B6029" w14:textId="77777777" w:rsidR="00FE7256" w:rsidRPr="006916A3" w:rsidRDefault="00FE7256" w:rsidP="00FE7256">
            <w:pPr>
              <w:spacing w:after="160"/>
              <w:rPr>
                <w:lang w:val="en-GB"/>
              </w:rPr>
            </w:pPr>
          </w:p>
        </w:tc>
        <w:tc>
          <w:tcPr>
            <w:tcW w:w="4467" w:type="dxa"/>
            <w:noWrap/>
          </w:tcPr>
          <w:p w14:paraId="08F4B993" w14:textId="77777777" w:rsidR="00FE7256" w:rsidRPr="006916A3" w:rsidRDefault="00FE7256" w:rsidP="00FE7256">
            <w:pPr>
              <w:spacing w:after="160"/>
              <w:rPr>
                <w:lang w:val="en-GB"/>
              </w:rPr>
            </w:pPr>
            <w:r w:rsidRPr="006916A3">
              <w:rPr>
                <w:lang w:val="en-GB"/>
              </w:rPr>
              <w:t>Referral source</w:t>
            </w:r>
          </w:p>
        </w:tc>
        <w:tc>
          <w:tcPr>
            <w:tcW w:w="1023" w:type="dxa"/>
          </w:tcPr>
          <w:p w14:paraId="2F7FE41E" w14:textId="66C146E5" w:rsidR="00FE7256" w:rsidRPr="006916A3" w:rsidRDefault="00FE7256" w:rsidP="00FE7256">
            <w:pPr>
              <w:rPr>
                <w:lang w:val="en-GB"/>
              </w:rPr>
            </w:pPr>
            <w:r>
              <w:rPr>
                <w:lang w:val="en-GB"/>
              </w:rPr>
              <w:t>N</w:t>
            </w:r>
          </w:p>
        </w:tc>
        <w:tc>
          <w:tcPr>
            <w:tcW w:w="909" w:type="dxa"/>
          </w:tcPr>
          <w:p w14:paraId="585F10B7" w14:textId="77777777" w:rsidR="00FE7256" w:rsidRPr="006916A3" w:rsidRDefault="00FE7256" w:rsidP="00FE7256">
            <w:pPr>
              <w:spacing w:after="160"/>
              <w:rPr>
                <w:lang w:val="en-GB"/>
              </w:rPr>
            </w:pPr>
            <w:r>
              <w:rPr>
                <w:lang w:val="en-GB"/>
              </w:rPr>
              <w:t>N</w:t>
            </w:r>
          </w:p>
        </w:tc>
      </w:tr>
      <w:tr w:rsidR="00FE7256" w:rsidRPr="006916A3" w14:paraId="35E455A3" w14:textId="77777777" w:rsidTr="00FE7256">
        <w:trPr>
          <w:trHeight w:val="300"/>
          <w:jc w:val="center"/>
        </w:trPr>
        <w:tc>
          <w:tcPr>
            <w:tcW w:w="986" w:type="dxa"/>
            <w:vMerge/>
            <w:vAlign w:val="center"/>
          </w:tcPr>
          <w:p w14:paraId="55469775" w14:textId="77777777" w:rsidR="00FE7256" w:rsidRPr="006916A3" w:rsidRDefault="00FE7256" w:rsidP="00FE7256">
            <w:pPr>
              <w:spacing w:after="160"/>
              <w:rPr>
                <w:lang w:val="en-GB"/>
              </w:rPr>
            </w:pPr>
          </w:p>
        </w:tc>
        <w:tc>
          <w:tcPr>
            <w:tcW w:w="4467" w:type="dxa"/>
            <w:noWrap/>
          </w:tcPr>
          <w:p w14:paraId="102D3C26" w14:textId="77777777" w:rsidR="00FE7256" w:rsidRPr="006916A3" w:rsidRDefault="00FE7256" w:rsidP="00FE7256">
            <w:pPr>
              <w:spacing w:after="160"/>
              <w:rPr>
                <w:b/>
                <w:bCs/>
                <w:lang w:val="en-GB"/>
              </w:rPr>
            </w:pPr>
            <w:r w:rsidRPr="006916A3">
              <w:rPr>
                <w:lang w:val="en-GB"/>
              </w:rPr>
              <w:t>Location of patient at time of referral (e.g. home, hospital)</w:t>
            </w:r>
          </w:p>
        </w:tc>
        <w:tc>
          <w:tcPr>
            <w:tcW w:w="1023" w:type="dxa"/>
          </w:tcPr>
          <w:p w14:paraId="32692CB6" w14:textId="1FC99C08" w:rsidR="00FE7256" w:rsidRPr="006916A3" w:rsidRDefault="00FE7256" w:rsidP="00FE7256">
            <w:pPr>
              <w:rPr>
                <w:lang w:val="en-GB"/>
              </w:rPr>
            </w:pPr>
            <w:r>
              <w:rPr>
                <w:lang w:val="en-GB"/>
              </w:rPr>
              <w:t>Y</w:t>
            </w:r>
          </w:p>
        </w:tc>
        <w:tc>
          <w:tcPr>
            <w:tcW w:w="909" w:type="dxa"/>
          </w:tcPr>
          <w:p w14:paraId="07E510B9" w14:textId="77777777" w:rsidR="00FE7256" w:rsidRPr="006916A3" w:rsidRDefault="00FE7256" w:rsidP="00FE7256">
            <w:pPr>
              <w:spacing w:after="160"/>
              <w:rPr>
                <w:lang w:val="en-GB"/>
              </w:rPr>
            </w:pPr>
            <w:r w:rsidRPr="006916A3">
              <w:rPr>
                <w:lang w:val="en-GB"/>
              </w:rPr>
              <w:t>Y</w:t>
            </w:r>
          </w:p>
        </w:tc>
      </w:tr>
      <w:tr w:rsidR="00FE7256" w:rsidRPr="006916A3" w14:paraId="19DCAEBE" w14:textId="77777777" w:rsidTr="00FE7256">
        <w:trPr>
          <w:trHeight w:val="300"/>
          <w:jc w:val="center"/>
        </w:trPr>
        <w:tc>
          <w:tcPr>
            <w:tcW w:w="986" w:type="dxa"/>
            <w:vMerge/>
            <w:vAlign w:val="center"/>
          </w:tcPr>
          <w:p w14:paraId="13B6310C" w14:textId="77777777" w:rsidR="00FE7256" w:rsidRPr="006916A3" w:rsidRDefault="00FE7256" w:rsidP="00FE7256">
            <w:pPr>
              <w:spacing w:after="160"/>
              <w:rPr>
                <w:lang w:val="en-GB"/>
              </w:rPr>
            </w:pPr>
          </w:p>
        </w:tc>
        <w:tc>
          <w:tcPr>
            <w:tcW w:w="4467" w:type="dxa"/>
            <w:noWrap/>
          </w:tcPr>
          <w:p w14:paraId="4F84633D" w14:textId="77777777" w:rsidR="00FE7256" w:rsidRPr="006916A3" w:rsidRDefault="00FE7256" w:rsidP="00FE7256">
            <w:pPr>
              <w:spacing w:after="160"/>
              <w:rPr>
                <w:lang w:val="en-GB"/>
              </w:rPr>
            </w:pPr>
            <w:r w:rsidRPr="006916A3">
              <w:rPr>
                <w:lang w:val="en-GB"/>
              </w:rPr>
              <w:t>Reason for case closure if not progressed to reablement</w:t>
            </w:r>
          </w:p>
        </w:tc>
        <w:tc>
          <w:tcPr>
            <w:tcW w:w="1023" w:type="dxa"/>
          </w:tcPr>
          <w:p w14:paraId="24DFF8BF" w14:textId="14739468" w:rsidR="00FE7256" w:rsidRPr="006916A3" w:rsidRDefault="00FE7256" w:rsidP="00FE7256">
            <w:pPr>
              <w:rPr>
                <w:lang w:val="en-GB"/>
              </w:rPr>
            </w:pPr>
            <w:r>
              <w:rPr>
                <w:lang w:val="en-GB"/>
              </w:rPr>
              <w:t>N</w:t>
            </w:r>
          </w:p>
        </w:tc>
        <w:tc>
          <w:tcPr>
            <w:tcW w:w="909" w:type="dxa"/>
          </w:tcPr>
          <w:p w14:paraId="3F568C35" w14:textId="77777777" w:rsidR="00FE7256" w:rsidRPr="006916A3" w:rsidRDefault="00FE7256" w:rsidP="00FE7256">
            <w:pPr>
              <w:spacing w:after="160"/>
              <w:rPr>
                <w:lang w:val="en-GB"/>
              </w:rPr>
            </w:pPr>
            <w:r>
              <w:rPr>
                <w:lang w:val="en-GB"/>
              </w:rPr>
              <w:t>N</w:t>
            </w:r>
          </w:p>
        </w:tc>
      </w:tr>
      <w:tr w:rsidR="00FE7256" w:rsidRPr="006916A3" w14:paraId="01AB6B43" w14:textId="77777777" w:rsidTr="00FE7256">
        <w:trPr>
          <w:trHeight w:val="300"/>
          <w:jc w:val="center"/>
        </w:trPr>
        <w:tc>
          <w:tcPr>
            <w:tcW w:w="986" w:type="dxa"/>
            <w:vMerge/>
            <w:vAlign w:val="center"/>
          </w:tcPr>
          <w:p w14:paraId="4228644C" w14:textId="77777777" w:rsidR="00FE7256" w:rsidRPr="006916A3" w:rsidRDefault="00FE7256" w:rsidP="00FE7256">
            <w:pPr>
              <w:spacing w:after="160"/>
              <w:rPr>
                <w:lang w:val="en-GB"/>
              </w:rPr>
            </w:pPr>
          </w:p>
        </w:tc>
        <w:tc>
          <w:tcPr>
            <w:tcW w:w="4467" w:type="dxa"/>
            <w:noWrap/>
          </w:tcPr>
          <w:p w14:paraId="229C9712" w14:textId="77777777" w:rsidR="00FE7256" w:rsidRPr="006916A3" w:rsidRDefault="00FE7256" w:rsidP="00FE7256">
            <w:pPr>
              <w:spacing w:after="160"/>
              <w:rPr>
                <w:lang w:val="en-GB"/>
              </w:rPr>
            </w:pPr>
            <w:r w:rsidRPr="006916A3">
              <w:rPr>
                <w:lang w:val="en-GB"/>
              </w:rPr>
              <w:t>Reason for non-completion of reablement package</w:t>
            </w:r>
          </w:p>
        </w:tc>
        <w:tc>
          <w:tcPr>
            <w:tcW w:w="1023" w:type="dxa"/>
          </w:tcPr>
          <w:p w14:paraId="6C5C50BF" w14:textId="311127C8" w:rsidR="00FE7256" w:rsidRPr="006916A3" w:rsidRDefault="00FE7256" w:rsidP="00FE7256">
            <w:pPr>
              <w:rPr>
                <w:lang w:val="en-GB"/>
              </w:rPr>
            </w:pPr>
            <w:r>
              <w:rPr>
                <w:lang w:val="en-GB"/>
              </w:rPr>
              <w:t>Y</w:t>
            </w:r>
          </w:p>
        </w:tc>
        <w:tc>
          <w:tcPr>
            <w:tcW w:w="909" w:type="dxa"/>
          </w:tcPr>
          <w:p w14:paraId="2C92ACF8" w14:textId="77777777" w:rsidR="00FE7256" w:rsidRPr="006916A3" w:rsidRDefault="00FE7256" w:rsidP="00FE7256">
            <w:pPr>
              <w:spacing w:after="160"/>
              <w:rPr>
                <w:lang w:val="en-GB"/>
              </w:rPr>
            </w:pPr>
            <w:r>
              <w:rPr>
                <w:lang w:val="en-GB"/>
              </w:rPr>
              <w:t>Y</w:t>
            </w:r>
          </w:p>
        </w:tc>
      </w:tr>
      <w:tr w:rsidR="00FE7256" w:rsidRPr="006916A3" w14:paraId="2EC25DB7" w14:textId="77777777" w:rsidTr="00FE7256">
        <w:trPr>
          <w:trHeight w:val="300"/>
          <w:jc w:val="center"/>
        </w:trPr>
        <w:tc>
          <w:tcPr>
            <w:tcW w:w="986" w:type="dxa"/>
            <w:vMerge/>
            <w:vAlign w:val="center"/>
          </w:tcPr>
          <w:p w14:paraId="283EAA74" w14:textId="77777777" w:rsidR="00FE7256" w:rsidRPr="006916A3" w:rsidRDefault="00FE7256" w:rsidP="00FE7256">
            <w:pPr>
              <w:spacing w:after="160"/>
              <w:rPr>
                <w:lang w:val="en-GB"/>
              </w:rPr>
            </w:pPr>
          </w:p>
        </w:tc>
        <w:tc>
          <w:tcPr>
            <w:tcW w:w="4467" w:type="dxa"/>
            <w:noWrap/>
          </w:tcPr>
          <w:p w14:paraId="071DF811" w14:textId="77777777" w:rsidR="00FE7256" w:rsidRPr="006916A3" w:rsidRDefault="00FE7256" w:rsidP="00FE7256">
            <w:pPr>
              <w:spacing w:after="160"/>
              <w:rPr>
                <w:lang w:val="en-GB"/>
              </w:rPr>
            </w:pPr>
            <w:r w:rsidRPr="006916A3">
              <w:rPr>
                <w:lang w:val="en-GB"/>
              </w:rPr>
              <w:t>Relative level of support needs post-reablement (Welsh Gov reporting requirement)</w:t>
            </w:r>
          </w:p>
        </w:tc>
        <w:tc>
          <w:tcPr>
            <w:tcW w:w="1023" w:type="dxa"/>
          </w:tcPr>
          <w:p w14:paraId="23C25914" w14:textId="7A3000DD" w:rsidR="00FE7256" w:rsidRPr="006916A3" w:rsidRDefault="00FE7256" w:rsidP="00FE7256">
            <w:pPr>
              <w:rPr>
                <w:lang w:val="en-GB"/>
              </w:rPr>
            </w:pPr>
            <w:r>
              <w:rPr>
                <w:lang w:val="en-GB"/>
              </w:rPr>
              <w:t>Y</w:t>
            </w:r>
          </w:p>
        </w:tc>
        <w:tc>
          <w:tcPr>
            <w:tcW w:w="909" w:type="dxa"/>
          </w:tcPr>
          <w:p w14:paraId="71E010E1" w14:textId="77777777" w:rsidR="00FE7256" w:rsidRPr="006916A3" w:rsidRDefault="00FE7256" w:rsidP="00FE7256">
            <w:pPr>
              <w:spacing w:after="160"/>
              <w:rPr>
                <w:lang w:val="en-GB"/>
              </w:rPr>
            </w:pPr>
            <w:r w:rsidRPr="006916A3">
              <w:rPr>
                <w:lang w:val="en-GB"/>
              </w:rPr>
              <w:t>Y</w:t>
            </w:r>
          </w:p>
        </w:tc>
      </w:tr>
      <w:tr w:rsidR="00FE7256" w:rsidRPr="006916A3" w14:paraId="6517C674" w14:textId="77777777" w:rsidTr="00FE7256">
        <w:trPr>
          <w:trHeight w:val="300"/>
          <w:jc w:val="center"/>
        </w:trPr>
        <w:tc>
          <w:tcPr>
            <w:tcW w:w="986" w:type="dxa"/>
            <w:vMerge/>
            <w:vAlign w:val="center"/>
          </w:tcPr>
          <w:p w14:paraId="71920B0C" w14:textId="77777777" w:rsidR="00FE7256" w:rsidRPr="006916A3" w:rsidRDefault="00FE7256" w:rsidP="00FE7256">
            <w:pPr>
              <w:spacing w:after="160"/>
              <w:rPr>
                <w:lang w:val="en-GB"/>
              </w:rPr>
            </w:pPr>
          </w:p>
        </w:tc>
        <w:tc>
          <w:tcPr>
            <w:tcW w:w="4467" w:type="dxa"/>
            <w:noWrap/>
          </w:tcPr>
          <w:p w14:paraId="0ABEB5D6" w14:textId="77777777" w:rsidR="00FE7256" w:rsidRPr="006916A3" w:rsidRDefault="00FE7256" w:rsidP="00FE7256">
            <w:pPr>
              <w:spacing w:after="160"/>
              <w:rPr>
                <w:lang w:val="en-GB"/>
              </w:rPr>
            </w:pPr>
            <w:r w:rsidRPr="006916A3">
              <w:rPr>
                <w:lang w:val="en-GB"/>
              </w:rPr>
              <w:t>Hours or visits per week for reablement care</w:t>
            </w:r>
          </w:p>
        </w:tc>
        <w:tc>
          <w:tcPr>
            <w:tcW w:w="1023" w:type="dxa"/>
          </w:tcPr>
          <w:p w14:paraId="51528A90" w14:textId="1E9E1CFE" w:rsidR="00FE7256" w:rsidRPr="006916A3" w:rsidRDefault="00FE7256" w:rsidP="00FE7256">
            <w:pPr>
              <w:rPr>
                <w:lang w:val="en-GB"/>
              </w:rPr>
            </w:pPr>
            <w:r>
              <w:rPr>
                <w:lang w:val="en-GB"/>
              </w:rPr>
              <w:t>Y</w:t>
            </w:r>
          </w:p>
        </w:tc>
        <w:tc>
          <w:tcPr>
            <w:tcW w:w="909" w:type="dxa"/>
          </w:tcPr>
          <w:p w14:paraId="669A9C83" w14:textId="77777777" w:rsidR="00FE7256" w:rsidRPr="006916A3" w:rsidRDefault="00FE7256" w:rsidP="00FE7256">
            <w:pPr>
              <w:spacing w:after="160"/>
              <w:rPr>
                <w:lang w:val="en-GB"/>
              </w:rPr>
            </w:pPr>
            <w:r>
              <w:rPr>
                <w:lang w:val="en-GB"/>
              </w:rPr>
              <w:t>N</w:t>
            </w:r>
          </w:p>
        </w:tc>
      </w:tr>
      <w:tr w:rsidR="00FE7256" w:rsidRPr="006916A3" w14:paraId="694F7197" w14:textId="77777777" w:rsidTr="00FE7256">
        <w:trPr>
          <w:trHeight w:val="300"/>
          <w:jc w:val="center"/>
        </w:trPr>
        <w:tc>
          <w:tcPr>
            <w:tcW w:w="986" w:type="dxa"/>
            <w:vMerge/>
            <w:vAlign w:val="center"/>
          </w:tcPr>
          <w:p w14:paraId="5C2535D1" w14:textId="77777777" w:rsidR="00FE7256" w:rsidRPr="006916A3" w:rsidRDefault="00FE7256" w:rsidP="00FE7256">
            <w:pPr>
              <w:spacing w:after="160"/>
              <w:rPr>
                <w:lang w:val="en-GB"/>
              </w:rPr>
            </w:pPr>
          </w:p>
        </w:tc>
        <w:tc>
          <w:tcPr>
            <w:tcW w:w="4467" w:type="dxa"/>
            <w:noWrap/>
          </w:tcPr>
          <w:p w14:paraId="1A8E7F6D" w14:textId="77777777" w:rsidR="00FE7256" w:rsidRPr="006916A3" w:rsidRDefault="00FE7256" w:rsidP="00FE7256">
            <w:pPr>
              <w:spacing w:after="160"/>
              <w:rPr>
                <w:lang w:val="en-GB"/>
              </w:rPr>
            </w:pPr>
            <w:r w:rsidRPr="006916A3">
              <w:rPr>
                <w:lang w:val="en-GB"/>
              </w:rPr>
              <w:t>Referred to falls prevention service*</w:t>
            </w:r>
          </w:p>
        </w:tc>
        <w:tc>
          <w:tcPr>
            <w:tcW w:w="1023" w:type="dxa"/>
          </w:tcPr>
          <w:p w14:paraId="67BB2CAC" w14:textId="206CA1E1" w:rsidR="00FE7256" w:rsidRPr="006916A3" w:rsidRDefault="00FE7256" w:rsidP="00FE7256">
            <w:pPr>
              <w:rPr>
                <w:lang w:val="en-GB"/>
              </w:rPr>
            </w:pPr>
            <w:r>
              <w:rPr>
                <w:lang w:val="en-GB"/>
              </w:rPr>
              <w:t>N</w:t>
            </w:r>
          </w:p>
        </w:tc>
        <w:tc>
          <w:tcPr>
            <w:tcW w:w="909" w:type="dxa"/>
          </w:tcPr>
          <w:p w14:paraId="12ADA58B" w14:textId="77777777" w:rsidR="00FE7256" w:rsidRPr="006916A3" w:rsidRDefault="00FE7256" w:rsidP="00FE7256">
            <w:pPr>
              <w:spacing w:after="160"/>
              <w:rPr>
                <w:lang w:val="en-GB"/>
              </w:rPr>
            </w:pPr>
            <w:r w:rsidRPr="006916A3">
              <w:rPr>
                <w:lang w:val="en-GB"/>
              </w:rPr>
              <w:t>N</w:t>
            </w:r>
          </w:p>
        </w:tc>
      </w:tr>
    </w:tbl>
    <w:p w14:paraId="27C5AA2A" w14:textId="77777777" w:rsidR="00326682" w:rsidRPr="006916A3" w:rsidRDefault="00326682" w:rsidP="00326682">
      <w:pPr>
        <w:rPr>
          <w:lang w:val="en-GB"/>
        </w:rPr>
      </w:pPr>
    </w:p>
    <w:p w14:paraId="651DCDD8" w14:textId="77777777" w:rsidR="00326682" w:rsidRDefault="00326682" w:rsidP="00326682">
      <w:pPr>
        <w:pStyle w:val="Heading2"/>
        <w:rPr>
          <w:lang w:val="en-GB"/>
        </w:rPr>
      </w:pPr>
      <w:r>
        <w:rPr>
          <w:lang w:val="en-GB"/>
        </w:rPr>
        <w:lastRenderedPageBreak/>
        <w:t>Appendix B: SAIL data sources</w:t>
      </w:r>
    </w:p>
    <w:tbl>
      <w:tblPr>
        <w:tblStyle w:val="TableGrid"/>
        <w:tblW w:w="9465" w:type="dxa"/>
        <w:tblLook w:val="04A0" w:firstRow="1" w:lastRow="0" w:firstColumn="1" w:lastColumn="0" w:noHBand="0" w:noVBand="1"/>
      </w:tblPr>
      <w:tblGrid>
        <w:gridCol w:w="2971"/>
        <w:gridCol w:w="4911"/>
        <w:gridCol w:w="1583"/>
      </w:tblGrid>
      <w:tr w:rsidR="00326682" w:rsidRPr="00750BD1" w14:paraId="439D85C2" w14:textId="77777777" w:rsidTr="00051FCE">
        <w:trPr>
          <w:trHeight w:val="538"/>
        </w:trPr>
        <w:tc>
          <w:tcPr>
            <w:tcW w:w="2971" w:type="dxa"/>
          </w:tcPr>
          <w:p w14:paraId="436EC756" w14:textId="77777777" w:rsidR="00326682" w:rsidRPr="00750BD1" w:rsidRDefault="00326682" w:rsidP="00051FCE">
            <w:pPr>
              <w:rPr>
                <w:rStyle w:val="Strong"/>
              </w:rPr>
            </w:pPr>
            <w:r w:rsidRPr="00750BD1">
              <w:rPr>
                <w:rStyle w:val="Strong"/>
              </w:rPr>
              <w:t>Dataset</w:t>
            </w:r>
          </w:p>
        </w:tc>
        <w:tc>
          <w:tcPr>
            <w:tcW w:w="4911" w:type="dxa"/>
          </w:tcPr>
          <w:p w14:paraId="0BE20F5A" w14:textId="77777777" w:rsidR="00326682" w:rsidRPr="00750BD1" w:rsidRDefault="00326682" w:rsidP="00051FCE">
            <w:pPr>
              <w:rPr>
                <w:rStyle w:val="Strong"/>
              </w:rPr>
            </w:pPr>
            <w:r w:rsidRPr="00750BD1">
              <w:rPr>
                <w:rStyle w:val="Strong"/>
              </w:rPr>
              <w:t>Description</w:t>
            </w:r>
          </w:p>
        </w:tc>
        <w:tc>
          <w:tcPr>
            <w:tcW w:w="1583" w:type="dxa"/>
          </w:tcPr>
          <w:p w14:paraId="7A73B2C1" w14:textId="77777777" w:rsidR="00326682" w:rsidRPr="00750BD1" w:rsidRDefault="00326682" w:rsidP="00051FCE">
            <w:pPr>
              <w:rPr>
                <w:rStyle w:val="Strong"/>
              </w:rPr>
            </w:pPr>
            <w:r w:rsidRPr="00750BD1">
              <w:rPr>
                <w:rStyle w:val="Strong"/>
              </w:rPr>
              <w:t>Dated version</w:t>
            </w:r>
          </w:p>
        </w:tc>
      </w:tr>
      <w:tr w:rsidR="00326682" w:rsidRPr="008B0C99" w14:paraId="13D551B0" w14:textId="77777777" w:rsidTr="00051FCE">
        <w:trPr>
          <w:trHeight w:val="830"/>
        </w:trPr>
        <w:tc>
          <w:tcPr>
            <w:tcW w:w="2971" w:type="dxa"/>
          </w:tcPr>
          <w:p w14:paraId="0D212FD5" w14:textId="77777777" w:rsidR="00326682" w:rsidRPr="008B0C99" w:rsidRDefault="00326682" w:rsidP="00051FCE">
            <w:pPr>
              <w:rPr>
                <w:lang w:val="en-GB"/>
              </w:rPr>
            </w:pPr>
            <w:r w:rsidRPr="008B0C99">
              <w:rPr>
                <w:lang w:val="en-GB"/>
              </w:rPr>
              <w:t>Annual District Death Extract (ADDE)</w:t>
            </w:r>
          </w:p>
        </w:tc>
        <w:tc>
          <w:tcPr>
            <w:tcW w:w="4911" w:type="dxa"/>
          </w:tcPr>
          <w:p w14:paraId="4D34B560" w14:textId="77777777" w:rsidR="00326682" w:rsidRPr="008B0C99" w:rsidRDefault="00326682" w:rsidP="00051FCE">
            <w:pPr>
              <w:rPr>
                <w:lang w:val="en-GB"/>
              </w:rPr>
            </w:pPr>
            <w:r w:rsidRPr="008B0C99">
              <w:rPr>
                <w:lang w:val="en-GB"/>
              </w:rPr>
              <w:t>From Office for National Statistics (ONS) mortality register, containing data on all deaths in Wales within the study period</w:t>
            </w:r>
          </w:p>
        </w:tc>
        <w:tc>
          <w:tcPr>
            <w:tcW w:w="1583" w:type="dxa"/>
          </w:tcPr>
          <w:p w14:paraId="7A1F0A26" w14:textId="2FA84B87" w:rsidR="00326682" w:rsidRPr="008B0C99" w:rsidRDefault="00FE7256" w:rsidP="00051FCE">
            <w:pPr>
              <w:rPr>
                <w:lang w:val="en-GB"/>
              </w:rPr>
            </w:pPr>
            <w:r>
              <w:rPr>
                <w:lang w:val="en-GB"/>
              </w:rPr>
              <w:t>01/04/2024</w:t>
            </w:r>
          </w:p>
        </w:tc>
      </w:tr>
      <w:tr w:rsidR="00326682" w:rsidRPr="008B0C99" w14:paraId="0A165DA3" w14:textId="77777777" w:rsidTr="00051FCE">
        <w:trPr>
          <w:trHeight w:val="538"/>
        </w:trPr>
        <w:tc>
          <w:tcPr>
            <w:tcW w:w="2971" w:type="dxa"/>
          </w:tcPr>
          <w:p w14:paraId="79AB8668" w14:textId="77777777" w:rsidR="00326682" w:rsidRPr="008B0C99" w:rsidRDefault="00326682" w:rsidP="00051FCE">
            <w:pPr>
              <w:rPr>
                <w:lang w:val="en-GB"/>
              </w:rPr>
            </w:pPr>
            <w:r w:rsidRPr="008B0C99">
              <w:rPr>
                <w:lang w:val="en-GB"/>
              </w:rPr>
              <w:t>Welsh Demographic Service Dataset (WDSD)</w:t>
            </w:r>
          </w:p>
        </w:tc>
        <w:tc>
          <w:tcPr>
            <w:tcW w:w="4911" w:type="dxa"/>
          </w:tcPr>
          <w:p w14:paraId="445029D5" w14:textId="77777777" w:rsidR="00326682" w:rsidRPr="008B0C99" w:rsidRDefault="00326682" w:rsidP="00051FCE">
            <w:pPr>
              <w:rPr>
                <w:lang w:val="en-GB"/>
              </w:rPr>
            </w:pPr>
            <w:r w:rsidRPr="008B0C99">
              <w:rPr>
                <w:color w:val="000000"/>
                <w:shd w:val="clear" w:color="auto" w:fill="FFFFFF"/>
                <w:lang w:val="en-GB"/>
              </w:rPr>
              <w:t>Contains linkable data on demographics of the Welsh population from the Census</w:t>
            </w:r>
          </w:p>
        </w:tc>
        <w:tc>
          <w:tcPr>
            <w:tcW w:w="1583" w:type="dxa"/>
          </w:tcPr>
          <w:p w14:paraId="5261B981" w14:textId="37B076EC" w:rsidR="00326682" w:rsidRPr="008B0C99" w:rsidRDefault="00FE7256" w:rsidP="00051FCE">
            <w:pPr>
              <w:rPr>
                <w:lang w:val="en-GB"/>
              </w:rPr>
            </w:pPr>
            <w:r>
              <w:rPr>
                <w:lang w:val="en-GB"/>
              </w:rPr>
              <w:t>08/04/2024</w:t>
            </w:r>
          </w:p>
        </w:tc>
      </w:tr>
      <w:tr w:rsidR="00326682" w:rsidRPr="008B0C99" w14:paraId="7654FBC2" w14:textId="77777777" w:rsidTr="00051FCE">
        <w:trPr>
          <w:trHeight w:val="553"/>
        </w:trPr>
        <w:tc>
          <w:tcPr>
            <w:tcW w:w="2971" w:type="dxa"/>
          </w:tcPr>
          <w:p w14:paraId="1712EC8A" w14:textId="77777777" w:rsidR="00326682" w:rsidRPr="008B0C99" w:rsidRDefault="00326682" w:rsidP="00051FCE">
            <w:pPr>
              <w:rPr>
                <w:lang w:val="en-GB"/>
              </w:rPr>
            </w:pPr>
            <w:r w:rsidRPr="008B0C99">
              <w:rPr>
                <w:lang w:val="en-GB"/>
              </w:rPr>
              <w:t>Wales Longitudinal General Practice (WLGP)</w:t>
            </w:r>
          </w:p>
        </w:tc>
        <w:tc>
          <w:tcPr>
            <w:tcW w:w="4911" w:type="dxa"/>
          </w:tcPr>
          <w:p w14:paraId="4C09380F" w14:textId="77777777" w:rsidR="00326682" w:rsidRPr="008B0C99" w:rsidRDefault="00326682" w:rsidP="00051FCE">
            <w:pPr>
              <w:rPr>
                <w:lang w:val="en-GB"/>
              </w:rPr>
            </w:pPr>
            <w:r w:rsidRPr="008B0C99">
              <w:rPr>
                <w:lang w:val="en-GB"/>
              </w:rPr>
              <w:t>Patients’ GP events in Wales</w:t>
            </w:r>
          </w:p>
        </w:tc>
        <w:tc>
          <w:tcPr>
            <w:tcW w:w="1583" w:type="dxa"/>
          </w:tcPr>
          <w:p w14:paraId="18B86DB2" w14:textId="6D5B93BB" w:rsidR="00326682" w:rsidRPr="008B0C99" w:rsidRDefault="00FE7256" w:rsidP="00051FCE">
            <w:pPr>
              <w:rPr>
                <w:lang w:val="en-GB"/>
              </w:rPr>
            </w:pPr>
            <w:r>
              <w:rPr>
                <w:lang w:val="en-GB"/>
              </w:rPr>
              <w:t>01/01/2024</w:t>
            </w:r>
          </w:p>
        </w:tc>
      </w:tr>
      <w:tr w:rsidR="00326682" w:rsidRPr="008B0C99" w14:paraId="58B50CE5" w14:textId="77777777" w:rsidTr="00051FCE">
        <w:trPr>
          <w:trHeight w:val="538"/>
        </w:trPr>
        <w:tc>
          <w:tcPr>
            <w:tcW w:w="2971" w:type="dxa"/>
          </w:tcPr>
          <w:p w14:paraId="354B4739" w14:textId="77777777" w:rsidR="00326682" w:rsidRPr="008B0C99" w:rsidRDefault="00326682" w:rsidP="00051FCE">
            <w:pPr>
              <w:rPr>
                <w:lang w:val="en-GB"/>
              </w:rPr>
            </w:pPr>
            <w:r w:rsidRPr="008B0C99">
              <w:rPr>
                <w:lang w:val="en-GB"/>
              </w:rPr>
              <w:t>Emergency Department Data Set (EDDS)</w:t>
            </w:r>
          </w:p>
        </w:tc>
        <w:tc>
          <w:tcPr>
            <w:tcW w:w="4911" w:type="dxa"/>
          </w:tcPr>
          <w:p w14:paraId="23F83864" w14:textId="77777777" w:rsidR="00326682" w:rsidRPr="008B0C99" w:rsidRDefault="00326682" w:rsidP="00051FCE">
            <w:pPr>
              <w:rPr>
                <w:lang w:val="en-GB"/>
              </w:rPr>
            </w:pPr>
            <w:r w:rsidRPr="008B0C99">
              <w:rPr>
                <w:lang w:val="en-GB"/>
              </w:rPr>
              <w:t>All emergency department attendances in Wales</w:t>
            </w:r>
          </w:p>
        </w:tc>
        <w:tc>
          <w:tcPr>
            <w:tcW w:w="1583" w:type="dxa"/>
          </w:tcPr>
          <w:p w14:paraId="04981046" w14:textId="60C0B963" w:rsidR="00326682" w:rsidRPr="008B0C99" w:rsidRDefault="00FE7256" w:rsidP="00051FCE">
            <w:pPr>
              <w:rPr>
                <w:lang w:val="en-GB"/>
              </w:rPr>
            </w:pPr>
            <w:r>
              <w:rPr>
                <w:lang w:val="en-GB"/>
              </w:rPr>
              <w:t>01/04/2024</w:t>
            </w:r>
          </w:p>
        </w:tc>
      </w:tr>
      <w:tr w:rsidR="00326682" w:rsidRPr="008B0C99" w14:paraId="54FDFF24" w14:textId="77777777" w:rsidTr="00051FCE">
        <w:trPr>
          <w:trHeight w:val="553"/>
        </w:trPr>
        <w:tc>
          <w:tcPr>
            <w:tcW w:w="2971" w:type="dxa"/>
          </w:tcPr>
          <w:p w14:paraId="34BC8143" w14:textId="77777777" w:rsidR="00326682" w:rsidRPr="008B0C99" w:rsidRDefault="00326682" w:rsidP="00051FCE">
            <w:pPr>
              <w:rPr>
                <w:lang w:val="en-GB"/>
              </w:rPr>
            </w:pPr>
            <w:r w:rsidRPr="008B0C99">
              <w:rPr>
                <w:lang w:val="en-GB"/>
              </w:rPr>
              <w:t>Patient Episode Database Wales (PEDW)</w:t>
            </w:r>
          </w:p>
        </w:tc>
        <w:tc>
          <w:tcPr>
            <w:tcW w:w="4911" w:type="dxa"/>
          </w:tcPr>
          <w:p w14:paraId="3EB7B989" w14:textId="77777777" w:rsidR="00326682" w:rsidRPr="008B0C99" w:rsidRDefault="00326682" w:rsidP="00051FCE">
            <w:pPr>
              <w:rPr>
                <w:lang w:val="en-GB"/>
              </w:rPr>
            </w:pPr>
            <w:r w:rsidRPr="008B0C99">
              <w:rPr>
                <w:lang w:val="en-GB"/>
              </w:rPr>
              <w:t>All inpatient admissions in Wales</w:t>
            </w:r>
          </w:p>
        </w:tc>
        <w:tc>
          <w:tcPr>
            <w:tcW w:w="1583" w:type="dxa"/>
          </w:tcPr>
          <w:p w14:paraId="2955A093" w14:textId="43E5E423" w:rsidR="00326682" w:rsidRPr="008B0C99" w:rsidRDefault="00FE7256" w:rsidP="00051FCE">
            <w:pPr>
              <w:rPr>
                <w:lang w:val="en-GB"/>
              </w:rPr>
            </w:pPr>
            <w:r>
              <w:rPr>
                <w:lang w:val="en-GB"/>
              </w:rPr>
              <w:t>08/04/2024</w:t>
            </w:r>
          </w:p>
        </w:tc>
      </w:tr>
    </w:tbl>
    <w:p w14:paraId="40615206" w14:textId="77777777" w:rsidR="00326682" w:rsidRPr="00750BD1" w:rsidRDefault="00326682" w:rsidP="00326682">
      <w:pPr>
        <w:rPr>
          <w:lang w:val="en-GB"/>
        </w:rPr>
      </w:pPr>
    </w:p>
    <w:p w14:paraId="709499FA" w14:textId="77777777" w:rsidR="00326682" w:rsidRDefault="00326682" w:rsidP="00326682">
      <w:pPr>
        <w:pStyle w:val="Heading2"/>
        <w:rPr>
          <w:lang w:val="en-GB"/>
        </w:rPr>
      </w:pPr>
      <w:r>
        <w:rPr>
          <w:lang w:val="en-GB"/>
        </w:rPr>
        <w:t>Appendix C: Exclusion flowchart</w:t>
      </w:r>
    </w:p>
    <w:tbl>
      <w:tblPr>
        <w:tblStyle w:val="TableGrid"/>
        <w:tblW w:w="0" w:type="auto"/>
        <w:tblLook w:val="04A0" w:firstRow="1" w:lastRow="0" w:firstColumn="1" w:lastColumn="0" w:noHBand="0" w:noVBand="1"/>
      </w:tblPr>
      <w:tblGrid>
        <w:gridCol w:w="6941"/>
        <w:gridCol w:w="1135"/>
        <w:gridCol w:w="940"/>
      </w:tblGrid>
      <w:tr w:rsidR="00F672FA" w:rsidRPr="007E58D9" w14:paraId="4DE760B3" w14:textId="77777777" w:rsidTr="00C617A1">
        <w:trPr>
          <w:trHeight w:val="290"/>
        </w:trPr>
        <w:tc>
          <w:tcPr>
            <w:tcW w:w="6941" w:type="dxa"/>
            <w:noWrap/>
            <w:hideMark/>
          </w:tcPr>
          <w:p w14:paraId="0589DF32" w14:textId="77777777" w:rsidR="00F672FA" w:rsidRPr="007E58D9" w:rsidRDefault="00F672FA" w:rsidP="00C617A1">
            <w:pPr>
              <w:rPr>
                <w:b/>
                <w:bCs/>
                <w:lang w:val="en-GB"/>
              </w:rPr>
            </w:pPr>
            <w:r w:rsidRPr="007E58D9">
              <w:rPr>
                <w:b/>
                <w:bCs/>
              </w:rPr>
              <w:t>Data</w:t>
            </w:r>
          </w:p>
        </w:tc>
        <w:tc>
          <w:tcPr>
            <w:tcW w:w="1135" w:type="dxa"/>
            <w:noWrap/>
            <w:hideMark/>
          </w:tcPr>
          <w:p w14:paraId="1544328B" w14:textId="77777777" w:rsidR="00F672FA" w:rsidRPr="007E58D9" w:rsidRDefault="00F672FA" w:rsidP="00C617A1">
            <w:pPr>
              <w:rPr>
                <w:b/>
                <w:bCs/>
              </w:rPr>
            </w:pPr>
            <w:r w:rsidRPr="007E58D9">
              <w:rPr>
                <w:b/>
                <w:bCs/>
              </w:rPr>
              <w:t>Bridgend</w:t>
            </w:r>
          </w:p>
        </w:tc>
        <w:tc>
          <w:tcPr>
            <w:tcW w:w="940" w:type="dxa"/>
            <w:noWrap/>
            <w:hideMark/>
          </w:tcPr>
          <w:p w14:paraId="7453CCDE" w14:textId="77777777" w:rsidR="00F672FA" w:rsidRPr="007E58D9" w:rsidRDefault="00F672FA" w:rsidP="00C617A1">
            <w:pPr>
              <w:rPr>
                <w:b/>
                <w:bCs/>
              </w:rPr>
            </w:pPr>
            <w:r w:rsidRPr="007E58D9">
              <w:rPr>
                <w:b/>
                <w:bCs/>
              </w:rPr>
              <w:t>RCT</w:t>
            </w:r>
          </w:p>
        </w:tc>
      </w:tr>
      <w:tr w:rsidR="00F672FA" w:rsidRPr="007E58D9" w14:paraId="407CB837" w14:textId="77777777" w:rsidTr="00C617A1">
        <w:trPr>
          <w:trHeight w:val="290"/>
        </w:trPr>
        <w:tc>
          <w:tcPr>
            <w:tcW w:w="6941" w:type="dxa"/>
            <w:noWrap/>
            <w:hideMark/>
          </w:tcPr>
          <w:p w14:paraId="40759D33" w14:textId="77777777" w:rsidR="00F672FA" w:rsidRPr="007E58D9" w:rsidRDefault="00F672FA" w:rsidP="00C617A1">
            <w:r w:rsidRPr="007E58D9">
              <w:t>Raw data</w:t>
            </w:r>
          </w:p>
        </w:tc>
        <w:tc>
          <w:tcPr>
            <w:tcW w:w="1135" w:type="dxa"/>
            <w:noWrap/>
            <w:hideMark/>
          </w:tcPr>
          <w:p w14:paraId="7B1C9620" w14:textId="77777777" w:rsidR="00F672FA" w:rsidRPr="007E58D9" w:rsidRDefault="00F672FA" w:rsidP="00C617A1">
            <w:r w:rsidRPr="007E58D9">
              <w:t>1228</w:t>
            </w:r>
          </w:p>
        </w:tc>
        <w:tc>
          <w:tcPr>
            <w:tcW w:w="940" w:type="dxa"/>
            <w:noWrap/>
            <w:hideMark/>
          </w:tcPr>
          <w:p w14:paraId="12B83959" w14:textId="77777777" w:rsidR="00F672FA" w:rsidRPr="007E58D9" w:rsidRDefault="00F672FA" w:rsidP="00C617A1">
            <w:r w:rsidRPr="007E58D9">
              <w:t>1364</w:t>
            </w:r>
          </w:p>
        </w:tc>
      </w:tr>
      <w:tr w:rsidR="00F672FA" w:rsidRPr="007E58D9" w14:paraId="59075639" w14:textId="77777777" w:rsidTr="00C617A1">
        <w:trPr>
          <w:trHeight w:val="290"/>
        </w:trPr>
        <w:tc>
          <w:tcPr>
            <w:tcW w:w="6941" w:type="dxa"/>
            <w:noWrap/>
            <w:hideMark/>
          </w:tcPr>
          <w:p w14:paraId="0BB3E841" w14:textId="77777777" w:rsidR="00F672FA" w:rsidRPr="007E58D9" w:rsidRDefault="00F672FA" w:rsidP="00C617A1">
            <w:r w:rsidRPr="007E58D9">
              <w:t>Total excluded</w:t>
            </w:r>
          </w:p>
        </w:tc>
        <w:tc>
          <w:tcPr>
            <w:tcW w:w="1135" w:type="dxa"/>
            <w:noWrap/>
            <w:hideMark/>
          </w:tcPr>
          <w:p w14:paraId="0FE1CA07" w14:textId="77777777" w:rsidR="00F672FA" w:rsidRPr="007E58D9" w:rsidRDefault="00F672FA" w:rsidP="00C617A1">
            <w:r w:rsidRPr="007E58D9">
              <w:t>57</w:t>
            </w:r>
          </w:p>
        </w:tc>
        <w:tc>
          <w:tcPr>
            <w:tcW w:w="940" w:type="dxa"/>
            <w:noWrap/>
            <w:hideMark/>
          </w:tcPr>
          <w:p w14:paraId="64101BCC" w14:textId="77777777" w:rsidR="00F672FA" w:rsidRPr="007E58D9" w:rsidRDefault="00F672FA" w:rsidP="00C617A1">
            <w:r w:rsidRPr="007E58D9">
              <w:t>32</w:t>
            </w:r>
          </w:p>
        </w:tc>
      </w:tr>
      <w:tr w:rsidR="00F672FA" w:rsidRPr="007E58D9" w14:paraId="44856E66" w14:textId="77777777" w:rsidTr="00C617A1">
        <w:trPr>
          <w:trHeight w:val="290"/>
        </w:trPr>
        <w:tc>
          <w:tcPr>
            <w:tcW w:w="6941" w:type="dxa"/>
            <w:noWrap/>
            <w:hideMark/>
          </w:tcPr>
          <w:p w14:paraId="09839EE1" w14:textId="77777777" w:rsidR="00F672FA" w:rsidRPr="007E58D9" w:rsidRDefault="00F672FA" w:rsidP="00C617A1">
            <w:r w:rsidRPr="007E58D9">
              <w:t>Remaining records</w:t>
            </w:r>
          </w:p>
        </w:tc>
        <w:tc>
          <w:tcPr>
            <w:tcW w:w="1135" w:type="dxa"/>
            <w:noWrap/>
            <w:hideMark/>
          </w:tcPr>
          <w:p w14:paraId="1972CCDF" w14:textId="77777777" w:rsidR="00F672FA" w:rsidRPr="007E58D9" w:rsidRDefault="00F672FA" w:rsidP="00C617A1">
            <w:r w:rsidRPr="007E58D9">
              <w:t>1171</w:t>
            </w:r>
          </w:p>
        </w:tc>
        <w:tc>
          <w:tcPr>
            <w:tcW w:w="940" w:type="dxa"/>
            <w:noWrap/>
            <w:hideMark/>
          </w:tcPr>
          <w:p w14:paraId="642A4427" w14:textId="77777777" w:rsidR="00F672FA" w:rsidRPr="007E58D9" w:rsidRDefault="00F672FA" w:rsidP="00C617A1">
            <w:r w:rsidRPr="007E58D9">
              <w:t>1332</w:t>
            </w:r>
          </w:p>
        </w:tc>
      </w:tr>
    </w:tbl>
    <w:p w14:paraId="0FE3F7F2" w14:textId="59A40CBF" w:rsidR="00326682" w:rsidRDefault="00326682" w:rsidP="00326682">
      <w:pPr>
        <w:rPr>
          <w:lang w:val="en-GB"/>
        </w:rPr>
      </w:pPr>
    </w:p>
    <w:p w14:paraId="37ABB696" w14:textId="77777777" w:rsidR="00326682" w:rsidRDefault="00326682" w:rsidP="00326682">
      <w:pPr>
        <w:pStyle w:val="Heading2"/>
        <w:rPr>
          <w:lang w:val="en-GB"/>
        </w:rPr>
      </w:pPr>
      <w:r>
        <w:rPr>
          <w:lang w:val="en-GB"/>
        </w:rPr>
        <w:t>Appendix D: List of Long-Term Conditions</w:t>
      </w:r>
    </w:p>
    <w:p w14:paraId="518870C2" w14:textId="77777777" w:rsidR="00326682" w:rsidRPr="008B0C99" w:rsidRDefault="00326682" w:rsidP="00326682">
      <w:r w:rsidRPr="008B0C99">
        <w:t xml:space="preserve">Obtained from source: Table A3.2 in </w:t>
      </w:r>
      <w:hyperlink r:id="rId9" w:history="1">
        <w:r w:rsidRPr="008B0C99">
          <w:rPr>
            <w:rStyle w:val="Hyperlink"/>
          </w:rPr>
          <w:t>https://www.cmaj.ca/content/cmaj/suppl/2020/01/28/192.5.E107.DC1/190757-res-3-at.pdf</w:t>
        </w:r>
      </w:hyperlink>
      <w:r w:rsidRPr="008B0C99">
        <w:t>. Original study</w:t>
      </w:r>
      <w:sdt>
        <w:sdtPr>
          <w:rPr>
            <w:color w:val="000000"/>
          </w:rPr>
          <w:tag w:val="MENDELEY_CITATION_v3_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"/>
          <w:id w:val="1802268334"/>
          <w:placeholder>
            <w:docPart w:val="A858ED7E2ADE4AFF856961A1378EC579"/>
          </w:placeholder>
        </w:sdtPr>
        <w:sdtEndPr/>
        <w:sdtContent>
          <w:r w:rsidRPr="00CB2E46">
            <w:rPr>
              <w:color w:val="000000"/>
            </w:rPr>
            <w:t>(15)</w:t>
          </w:r>
        </w:sdtContent>
      </w:sdt>
      <w:r w:rsidRPr="008B0C99">
        <w:t>.</w:t>
      </w:r>
    </w:p>
    <w:tbl>
      <w:tblPr>
        <w:tblW w:w="9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8444"/>
      </w:tblGrid>
      <w:tr w:rsidR="00326682" w:rsidRPr="008B0C99" w14:paraId="79F64B00" w14:textId="77777777" w:rsidTr="00051FCE">
        <w:trPr>
          <w:trHeight w:val="300"/>
        </w:trPr>
        <w:tc>
          <w:tcPr>
            <w:tcW w:w="562" w:type="dxa"/>
            <w:shd w:val="clear" w:color="auto" w:fill="FFFFFF" w:themeFill="background1"/>
            <w:noWrap/>
            <w:vAlign w:val="center"/>
            <w:hideMark/>
          </w:tcPr>
          <w:p w14:paraId="7A5A9B43" w14:textId="77777777" w:rsidR="00326682" w:rsidRPr="008B0C99" w:rsidRDefault="00326682" w:rsidP="00051FCE">
            <w:pPr>
              <w:spacing w:line="240" w:lineRule="auto"/>
              <w:rPr>
                <w:rFonts w:eastAsia="Times New Roman" w:cstheme="minorHAnsi"/>
                <w:b/>
                <w:bCs/>
                <w:color w:val="000000"/>
                <w:lang w:eastAsia="en-GB"/>
              </w:rPr>
            </w:pPr>
            <w:r w:rsidRPr="008B0C99">
              <w:rPr>
                <w:rFonts w:eastAsia="Times New Roman" w:cstheme="minorHAnsi"/>
                <w:b/>
                <w:bCs/>
                <w:color w:val="000000"/>
                <w:lang w:eastAsia="en-GB"/>
              </w:rPr>
              <w:t>ID</w:t>
            </w:r>
          </w:p>
        </w:tc>
        <w:tc>
          <w:tcPr>
            <w:tcW w:w="8444" w:type="dxa"/>
            <w:shd w:val="clear" w:color="auto" w:fill="FFFFFF" w:themeFill="background1"/>
            <w:vAlign w:val="center"/>
            <w:hideMark/>
          </w:tcPr>
          <w:p w14:paraId="010362EA" w14:textId="77777777" w:rsidR="00326682" w:rsidRPr="008B0C99" w:rsidRDefault="00326682" w:rsidP="00051FCE">
            <w:pPr>
              <w:spacing w:line="240" w:lineRule="auto"/>
              <w:rPr>
                <w:rFonts w:eastAsia="Times New Roman" w:cstheme="minorHAnsi"/>
                <w:b/>
                <w:bCs/>
                <w:color w:val="000000"/>
                <w:lang w:eastAsia="en-GB"/>
              </w:rPr>
            </w:pPr>
            <w:r w:rsidRPr="008B0C99">
              <w:rPr>
                <w:rFonts w:eastAsia="Times New Roman" w:cstheme="minorHAnsi"/>
                <w:b/>
                <w:bCs/>
                <w:color w:val="000000"/>
                <w:lang w:eastAsia="en-GB"/>
              </w:rPr>
              <w:t>Morbidity</w:t>
            </w:r>
          </w:p>
        </w:tc>
      </w:tr>
      <w:tr w:rsidR="00326682" w:rsidRPr="008B0C99" w14:paraId="6706C833" w14:textId="77777777" w:rsidTr="00051FCE">
        <w:trPr>
          <w:trHeight w:val="300"/>
        </w:trPr>
        <w:tc>
          <w:tcPr>
            <w:tcW w:w="9006" w:type="dxa"/>
            <w:gridSpan w:val="2"/>
            <w:shd w:val="clear" w:color="auto" w:fill="FFFFFF" w:themeFill="background1"/>
            <w:noWrap/>
            <w:vAlign w:val="center"/>
            <w:hideMark/>
          </w:tcPr>
          <w:p w14:paraId="78A82E57" w14:textId="77777777" w:rsidR="00326682" w:rsidRPr="008B0C99" w:rsidRDefault="00326682" w:rsidP="00051FCE">
            <w:pPr>
              <w:spacing w:line="240" w:lineRule="auto"/>
              <w:jc w:val="center"/>
              <w:rPr>
                <w:rFonts w:eastAsia="Times New Roman" w:cstheme="minorHAnsi"/>
                <w:b/>
                <w:bCs/>
                <w:color w:val="000000"/>
                <w:lang w:eastAsia="en-GB"/>
              </w:rPr>
            </w:pPr>
            <w:r w:rsidRPr="008B0C99">
              <w:rPr>
                <w:rFonts w:eastAsia="Times New Roman" w:cstheme="minorHAnsi"/>
                <w:b/>
                <w:bCs/>
                <w:color w:val="000000"/>
                <w:lang w:eastAsia="en-GB"/>
              </w:rPr>
              <w:t>Morbidities based on Read code ever recorded</w:t>
            </w:r>
          </w:p>
        </w:tc>
      </w:tr>
      <w:tr w:rsidR="00326682" w:rsidRPr="008B0C99" w14:paraId="4A6F333E" w14:textId="77777777" w:rsidTr="00051FCE">
        <w:trPr>
          <w:trHeight w:val="300"/>
        </w:trPr>
        <w:tc>
          <w:tcPr>
            <w:tcW w:w="562" w:type="dxa"/>
            <w:shd w:val="clear" w:color="auto" w:fill="auto"/>
            <w:noWrap/>
            <w:vAlign w:val="center"/>
            <w:hideMark/>
          </w:tcPr>
          <w:p w14:paraId="0A3B2B77"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1</w:t>
            </w:r>
          </w:p>
        </w:tc>
        <w:tc>
          <w:tcPr>
            <w:tcW w:w="8444" w:type="dxa"/>
            <w:shd w:val="clear" w:color="auto" w:fill="auto"/>
            <w:vAlign w:val="center"/>
            <w:hideMark/>
          </w:tcPr>
          <w:p w14:paraId="1AFF2D07"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Alcohol Problems</w:t>
            </w:r>
          </w:p>
        </w:tc>
      </w:tr>
      <w:tr w:rsidR="00326682" w:rsidRPr="008B0C99" w14:paraId="735947AA" w14:textId="77777777" w:rsidTr="00051FCE">
        <w:trPr>
          <w:trHeight w:val="300"/>
        </w:trPr>
        <w:tc>
          <w:tcPr>
            <w:tcW w:w="562" w:type="dxa"/>
            <w:shd w:val="clear" w:color="auto" w:fill="auto"/>
            <w:noWrap/>
            <w:vAlign w:val="center"/>
            <w:hideMark/>
          </w:tcPr>
          <w:p w14:paraId="270DB93A"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2</w:t>
            </w:r>
          </w:p>
        </w:tc>
        <w:tc>
          <w:tcPr>
            <w:tcW w:w="8444" w:type="dxa"/>
            <w:shd w:val="clear" w:color="auto" w:fill="auto"/>
            <w:vAlign w:val="center"/>
            <w:hideMark/>
          </w:tcPr>
          <w:p w14:paraId="5487A888"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Anorexia or bulimia</w:t>
            </w:r>
          </w:p>
        </w:tc>
      </w:tr>
      <w:tr w:rsidR="00326682" w:rsidRPr="008B0C99" w14:paraId="76FB1FA9" w14:textId="77777777" w:rsidTr="00051FCE">
        <w:trPr>
          <w:trHeight w:val="300"/>
        </w:trPr>
        <w:tc>
          <w:tcPr>
            <w:tcW w:w="562" w:type="dxa"/>
            <w:shd w:val="clear" w:color="auto" w:fill="auto"/>
            <w:noWrap/>
            <w:vAlign w:val="center"/>
            <w:hideMark/>
          </w:tcPr>
          <w:p w14:paraId="431F31EE"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3</w:t>
            </w:r>
          </w:p>
        </w:tc>
        <w:tc>
          <w:tcPr>
            <w:tcW w:w="8444" w:type="dxa"/>
            <w:shd w:val="clear" w:color="auto" w:fill="auto"/>
            <w:vAlign w:val="center"/>
            <w:hideMark/>
          </w:tcPr>
          <w:p w14:paraId="1ECB43F7"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Atrial fibrillation</w:t>
            </w:r>
          </w:p>
        </w:tc>
      </w:tr>
      <w:tr w:rsidR="00326682" w:rsidRPr="008B0C99" w14:paraId="7E54C9BF" w14:textId="77777777" w:rsidTr="00051FCE">
        <w:trPr>
          <w:trHeight w:val="300"/>
        </w:trPr>
        <w:tc>
          <w:tcPr>
            <w:tcW w:w="562" w:type="dxa"/>
            <w:shd w:val="clear" w:color="auto" w:fill="auto"/>
            <w:noWrap/>
            <w:vAlign w:val="center"/>
            <w:hideMark/>
          </w:tcPr>
          <w:p w14:paraId="1AFA9ACC"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4</w:t>
            </w:r>
          </w:p>
        </w:tc>
        <w:tc>
          <w:tcPr>
            <w:tcW w:w="8444" w:type="dxa"/>
            <w:shd w:val="clear" w:color="auto" w:fill="auto"/>
            <w:vAlign w:val="center"/>
            <w:hideMark/>
          </w:tcPr>
          <w:p w14:paraId="1B113617"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Blindness and low vision</w:t>
            </w:r>
          </w:p>
        </w:tc>
      </w:tr>
      <w:tr w:rsidR="00326682" w:rsidRPr="008B0C99" w14:paraId="6FF216A6" w14:textId="77777777" w:rsidTr="00051FCE">
        <w:trPr>
          <w:trHeight w:val="300"/>
        </w:trPr>
        <w:tc>
          <w:tcPr>
            <w:tcW w:w="562" w:type="dxa"/>
            <w:shd w:val="clear" w:color="auto" w:fill="auto"/>
            <w:noWrap/>
            <w:vAlign w:val="center"/>
            <w:hideMark/>
          </w:tcPr>
          <w:p w14:paraId="15CCA9D6"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5</w:t>
            </w:r>
          </w:p>
        </w:tc>
        <w:tc>
          <w:tcPr>
            <w:tcW w:w="8444" w:type="dxa"/>
            <w:shd w:val="clear" w:color="auto" w:fill="auto"/>
            <w:vAlign w:val="center"/>
            <w:hideMark/>
          </w:tcPr>
          <w:p w14:paraId="679C3D8C"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Bronchiectasis</w:t>
            </w:r>
          </w:p>
        </w:tc>
      </w:tr>
      <w:tr w:rsidR="00326682" w:rsidRPr="008B0C99" w14:paraId="5CEB3B7D" w14:textId="77777777" w:rsidTr="00051FCE">
        <w:trPr>
          <w:trHeight w:val="300"/>
        </w:trPr>
        <w:tc>
          <w:tcPr>
            <w:tcW w:w="562" w:type="dxa"/>
            <w:shd w:val="clear" w:color="auto" w:fill="auto"/>
            <w:noWrap/>
            <w:vAlign w:val="center"/>
            <w:hideMark/>
          </w:tcPr>
          <w:p w14:paraId="355BC2A2"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6</w:t>
            </w:r>
          </w:p>
        </w:tc>
        <w:tc>
          <w:tcPr>
            <w:tcW w:w="8444" w:type="dxa"/>
            <w:shd w:val="clear" w:color="auto" w:fill="auto"/>
            <w:vAlign w:val="center"/>
            <w:hideMark/>
          </w:tcPr>
          <w:p w14:paraId="1C46A316"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Chronic liver disease and viral hepatitis</w:t>
            </w:r>
          </w:p>
        </w:tc>
      </w:tr>
      <w:tr w:rsidR="00326682" w:rsidRPr="008B0C99" w14:paraId="4B340987" w14:textId="77777777" w:rsidTr="00051FCE">
        <w:trPr>
          <w:trHeight w:val="300"/>
        </w:trPr>
        <w:tc>
          <w:tcPr>
            <w:tcW w:w="562" w:type="dxa"/>
            <w:shd w:val="clear" w:color="auto" w:fill="auto"/>
            <w:noWrap/>
            <w:vAlign w:val="center"/>
            <w:hideMark/>
          </w:tcPr>
          <w:p w14:paraId="4756029A"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7</w:t>
            </w:r>
          </w:p>
        </w:tc>
        <w:tc>
          <w:tcPr>
            <w:tcW w:w="8444" w:type="dxa"/>
            <w:shd w:val="clear" w:color="auto" w:fill="auto"/>
            <w:vAlign w:val="center"/>
            <w:hideMark/>
          </w:tcPr>
          <w:p w14:paraId="49AE9FC4"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Chronic sinusitis</w:t>
            </w:r>
          </w:p>
        </w:tc>
      </w:tr>
      <w:tr w:rsidR="00326682" w:rsidRPr="008B0C99" w14:paraId="7DD3244F" w14:textId="77777777" w:rsidTr="00051FCE">
        <w:trPr>
          <w:trHeight w:val="300"/>
        </w:trPr>
        <w:tc>
          <w:tcPr>
            <w:tcW w:w="562" w:type="dxa"/>
            <w:shd w:val="clear" w:color="auto" w:fill="auto"/>
            <w:noWrap/>
            <w:vAlign w:val="center"/>
            <w:hideMark/>
          </w:tcPr>
          <w:p w14:paraId="265E6C64"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8</w:t>
            </w:r>
          </w:p>
        </w:tc>
        <w:tc>
          <w:tcPr>
            <w:tcW w:w="8444" w:type="dxa"/>
            <w:shd w:val="clear" w:color="auto" w:fill="auto"/>
            <w:vAlign w:val="center"/>
            <w:hideMark/>
          </w:tcPr>
          <w:p w14:paraId="0F7104D5"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COPD</w:t>
            </w:r>
          </w:p>
        </w:tc>
      </w:tr>
      <w:tr w:rsidR="00326682" w:rsidRPr="008B0C99" w14:paraId="010090FF" w14:textId="77777777" w:rsidTr="00051FCE">
        <w:trPr>
          <w:trHeight w:val="300"/>
        </w:trPr>
        <w:tc>
          <w:tcPr>
            <w:tcW w:w="562" w:type="dxa"/>
            <w:shd w:val="clear" w:color="auto" w:fill="auto"/>
            <w:noWrap/>
            <w:vAlign w:val="center"/>
            <w:hideMark/>
          </w:tcPr>
          <w:p w14:paraId="2824EF19"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9</w:t>
            </w:r>
          </w:p>
        </w:tc>
        <w:tc>
          <w:tcPr>
            <w:tcW w:w="8444" w:type="dxa"/>
            <w:shd w:val="clear" w:color="auto" w:fill="auto"/>
            <w:vAlign w:val="center"/>
            <w:hideMark/>
          </w:tcPr>
          <w:p w14:paraId="2BF56A6D"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Coronary heart disease</w:t>
            </w:r>
          </w:p>
        </w:tc>
      </w:tr>
      <w:tr w:rsidR="00326682" w:rsidRPr="008B0C99" w14:paraId="510C967E" w14:textId="77777777" w:rsidTr="00051FCE">
        <w:trPr>
          <w:trHeight w:val="300"/>
        </w:trPr>
        <w:tc>
          <w:tcPr>
            <w:tcW w:w="562" w:type="dxa"/>
            <w:shd w:val="clear" w:color="auto" w:fill="auto"/>
            <w:noWrap/>
            <w:vAlign w:val="center"/>
            <w:hideMark/>
          </w:tcPr>
          <w:p w14:paraId="0DC73F5C"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10</w:t>
            </w:r>
          </w:p>
        </w:tc>
        <w:tc>
          <w:tcPr>
            <w:tcW w:w="8444" w:type="dxa"/>
            <w:shd w:val="clear" w:color="auto" w:fill="auto"/>
            <w:vAlign w:val="center"/>
            <w:hideMark/>
          </w:tcPr>
          <w:p w14:paraId="2FD67328"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Dementia</w:t>
            </w:r>
          </w:p>
        </w:tc>
      </w:tr>
      <w:tr w:rsidR="00326682" w:rsidRPr="008B0C99" w14:paraId="506700A4" w14:textId="77777777" w:rsidTr="00051FCE">
        <w:trPr>
          <w:trHeight w:val="300"/>
        </w:trPr>
        <w:tc>
          <w:tcPr>
            <w:tcW w:w="562" w:type="dxa"/>
            <w:shd w:val="clear" w:color="auto" w:fill="auto"/>
            <w:noWrap/>
            <w:vAlign w:val="center"/>
            <w:hideMark/>
          </w:tcPr>
          <w:p w14:paraId="6AF63082"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lastRenderedPageBreak/>
              <w:t>11</w:t>
            </w:r>
          </w:p>
        </w:tc>
        <w:tc>
          <w:tcPr>
            <w:tcW w:w="8444" w:type="dxa"/>
            <w:shd w:val="clear" w:color="auto" w:fill="auto"/>
            <w:vAlign w:val="center"/>
            <w:hideMark/>
          </w:tcPr>
          <w:p w14:paraId="01AFCD63"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Diabetes</w:t>
            </w:r>
          </w:p>
        </w:tc>
      </w:tr>
      <w:tr w:rsidR="00326682" w:rsidRPr="008B0C99" w14:paraId="6586833C" w14:textId="77777777" w:rsidTr="00051FCE">
        <w:trPr>
          <w:trHeight w:val="300"/>
        </w:trPr>
        <w:tc>
          <w:tcPr>
            <w:tcW w:w="562" w:type="dxa"/>
            <w:shd w:val="clear" w:color="auto" w:fill="auto"/>
            <w:noWrap/>
            <w:vAlign w:val="center"/>
            <w:hideMark/>
          </w:tcPr>
          <w:p w14:paraId="1A907DD5"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12</w:t>
            </w:r>
          </w:p>
        </w:tc>
        <w:tc>
          <w:tcPr>
            <w:tcW w:w="8444" w:type="dxa"/>
            <w:shd w:val="clear" w:color="auto" w:fill="auto"/>
            <w:vAlign w:val="center"/>
            <w:hideMark/>
          </w:tcPr>
          <w:p w14:paraId="34380E39"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Diverticular disease of intestine</w:t>
            </w:r>
          </w:p>
        </w:tc>
      </w:tr>
      <w:tr w:rsidR="00326682" w:rsidRPr="008B0C99" w14:paraId="718357ED" w14:textId="77777777" w:rsidTr="00051FCE">
        <w:trPr>
          <w:trHeight w:val="300"/>
        </w:trPr>
        <w:tc>
          <w:tcPr>
            <w:tcW w:w="562" w:type="dxa"/>
            <w:shd w:val="clear" w:color="auto" w:fill="auto"/>
            <w:noWrap/>
            <w:vAlign w:val="center"/>
            <w:hideMark/>
          </w:tcPr>
          <w:p w14:paraId="74658F87"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13</w:t>
            </w:r>
          </w:p>
        </w:tc>
        <w:tc>
          <w:tcPr>
            <w:tcW w:w="8444" w:type="dxa"/>
            <w:shd w:val="clear" w:color="auto" w:fill="auto"/>
            <w:vAlign w:val="center"/>
            <w:hideMark/>
          </w:tcPr>
          <w:p w14:paraId="77401C1C"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Hearing loss</w:t>
            </w:r>
          </w:p>
        </w:tc>
      </w:tr>
      <w:tr w:rsidR="00326682" w:rsidRPr="008B0C99" w14:paraId="4B3F6BCC" w14:textId="77777777" w:rsidTr="00051FCE">
        <w:trPr>
          <w:trHeight w:val="300"/>
        </w:trPr>
        <w:tc>
          <w:tcPr>
            <w:tcW w:w="562" w:type="dxa"/>
            <w:shd w:val="clear" w:color="auto" w:fill="auto"/>
            <w:noWrap/>
            <w:vAlign w:val="center"/>
            <w:hideMark/>
          </w:tcPr>
          <w:p w14:paraId="56D125BE"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14</w:t>
            </w:r>
          </w:p>
        </w:tc>
        <w:tc>
          <w:tcPr>
            <w:tcW w:w="8444" w:type="dxa"/>
            <w:shd w:val="clear" w:color="auto" w:fill="auto"/>
            <w:vAlign w:val="center"/>
            <w:hideMark/>
          </w:tcPr>
          <w:p w14:paraId="30A1D399"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Heart failure</w:t>
            </w:r>
          </w:p>
        </w:tc>
      </w:tr>
      <w:tr w:rsidR="00326682" w:rsidRPr="008B0C99" w14:paraId="7C43CC9C" w14:textId="77777777" w:rsidTr="00051FCE">
        <w:trPr>
          <w:trHeight w:val="300"/>
        </w:trPr>
        <w:tc>
          <w:tcPr>
            <w:tcW w:w="562" w:type="dxa"/>
            <w:shd w:val="clear" w:color="auto" w:fill="auto"/>
            <w:noWrap/>
            <w:vAlign w:val="center"/>
            <w:hideMark/>
          </w:tcPr>
          <w:p w14:paraId="5B175B6E"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15</w:t>
            </w:r>
          </w:p>
        </w:tc>
        <w:tc>
          <w:tcPr>
            <w:tcW w:w="8444" w:type="dxa"/>
            <w:shd w:val="clear" w:color="auto" w:fill="auto"/>
            <w:vAlign w:val="center"/>
            <w:hideMark/>
          </w:tcPr>
          <w:p w14:paraId="2A1B8180"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Hypertension</w:t>
            </w:r>
          </w:p>
        </w:tc>
      </w:tr>
      <w:tr w:rsidR="00326682" w:rsidRPr="008B0C99" w14:paraId="29024B63" w14:textId="77777777" w:rsidTr="00051FCE">
        <w:trPr>
          <w:trHeight w:val="300"/>
        </w:trPr>
        <w:tc>
          <w:tcPr>
            <w:tcW w:w="562" w:type="dxa"/>
            <w:shd w:val="clear" w:color="auto" w:fill="auto"/>
            <w:noWrap/>
            <w:vAlign w:val="center"/>
            <w:hideMark/>
          </w:tcPr>
          <w:p w14:paraId="500D76F4"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16</w:t>
            </w:r>
          </w:p>
        </w:tc>
        <w:tc>
          <w:tcPr>
            <w:tcW w:w="8444" w:type="dxa"/>
            <w:shd w:val="clear" w:color="auto" w:fill="auto"/>
            <w:vAlign w:val="center"/>
            <w:hideMark/>
          </w:tcPr>
          <w:p w14:paraId="2F995944"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Inflammatory bowel disease</w:t>
            </w:r>
          </w:p>
        </w:tc>
      </w:tr>
      <w:tr w:rsidR="00326682" w:rsidRPr="008B0C99" w14:paraId="4A3E6AC5" w14:textId="77777777" w:rsidTr="00051FCE">
        <w:trPr>
          <w:trHeight w:val="300"/>
        </w:trPr>
        <w:tc>
          <w:tcPr>
            <w:tcW w:w="562" w:type="dxa"/>
            <w:shd w:val="clear" w:color="auto" w:fill="auto"/>
            <w:noWrap/>
            <w:vAlign w:val="center"/>
            <w:hideMark/>
          </w:tcPr>
          <w:p w14:paraId="5812EBF5"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17</w:t>
            </w:r>
          </w:p>
        </w:tc>
        <w:tc>
          <w:tcPr>
            <w:tcW w:w="8444" w:type="dxa"/>
            <w:shd w:val="clear" w:color="auto" w:fill="auto"/>
            <w:vAlign w:val="center"/>
            <w:hideMark/>
          </w:tcPr>
          <w:p w14:paraId="68F2EB6C"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Learning disability</w:t>
            </w:r>
          </w:p>
        </w:tc>
      </w:tr>
      <w:tr w:rsidR="00326682" w:rsidRPr="008B0C99" w14:paraId="2D186346" w14:textId="77777777" w:rsidTr="00051FCE">
        <w:trPr>
          <w:trHeight w:val="300"/>
        </w:trPr>
        <w:tc>
          <w:tcPr>
            <w:tcW w:w="562" w:type="dxa"/>
            <w:shd w:val="clear" w:color="auto" w:fill="auto"/>
            <w:noWrap/>
            <w:vAlign w:val="center"/>
            <w:hideMark/>
          </w:tcPr>
          <w:p w14:paraId="5792EDEB"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18</w:t>
            </w:r>
          </w:p>
        </w:tc>
        <w:tc>
          <w:tcPr>
            <w:tcW w:w="8444" w:type="dxa"/>
            <w:shd w:val="clear" w:color="auto" w:fill="auto"/>
            <w:vAlign w:val="center"/>
            <w:hideMark/>
          </w:tcPr>
          <w:p w14:paraId="3ABE2EDB"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multiple sclerosis</w:t>
            </w:r>
          </w:p>
        </w:tc>
      </w:tr>
      <w:tr w:rsidR="00326682" w:rsidRPr="008B0C99" w14:paraId="2544A7AA" w14:textId="77777777" w:rsidTr="00051FCE">
        <w:trPr>
          <w:trHeight w:val="300"/>
        </w:trPr>
        <w:tc>
          <w:tcPr>
            <w:tcW w:w="562" w:type="dxa"/>
            <w:shd w:val="clear" w:color="auto" w:fill="auto"/>
            <w:noWrap/>
            <w:vAlign w:val="center"/>
            <w:hideMark/>
          </w:tcPr>
          <w:p w14:paraId="1BA5347F"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19</w:t>
            </w:r>
          </w:p>
        </w:tc>
        <w:tc>
          <w:tcPr>
            <w:tcW w:w="8444" w:type="dxa"/>
            <w:shd w:val="clear" w:color="auto" w:fill="auto"/>
            <w:vAlign w:val="center"/>
            <w:hideMark/>
          </w:tcPr>
          <w:p w14:paraId="2BDBAB3A"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Parkinson's disease</w:t>
            </w:r>
          </w:p>
        </w:tc>
      </w:tr>
      <w:tr w:rsidR="00326682" w:rsidRPr="008B0C99" w14:paraId="495C2F11" w14:textId="77777777" w:rsidTr="00051FCE">
        <w:trPr>
          <w:trHeight w:val="300"/>
        </w:trPr>
        <w:tc>
          <w:tcPr>
            <w:tcW w:w="562" w:type="dxa"/>
            <w:shd w:val="clear" w:color="auto" w:fill="auto"/>
            <w:noWrap/>
            <w:vAlign w:val="center"/>
            <w:hideMark/>
          </w:tcPr>
          <w:p w14:paraId="55E0E532"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20</w:t>
            </w:r>
          </w:p>
        </w:tc>
        <w:tc>
          <w:tcPr>
            <w:tcW w:w="8444" w:type="dxa"/>
            <w:shd w:val="clear" w:color="auto" w:fill="auto"/>
            <w:vAlign w:val="center"/>
            <w:hideMark/>
          </w:tcPr>
          <w:p w14:paraId="2FC59119"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Peptic ulcer disease</w:t>
            </w:r>
          </w:p>
        </w:tc>
      </w:tr>
      <w:tr w:rsidR="00326682" w:rsidRPr="008B0C99" w14:paraId="1F336B5E" w14:textId="77777777" w:rsidTr="00051FCE">
        <w:trPr>
          <w:trHeight w:val="300"/>
        </w:trPr>
        <w:tc>
          <w:tcPr>
            <w:tcW w:w="562" w:type="dxa"/>
            <w:shd w:val="clear" w:color="auto" w:fill="auto"/>
            <w:noWrap/>
            <w:vAlign w:val="center"/>
            <w:hideMark/>
          </w:tcPr>
          <w:p w14:paraId="708687D9"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21</w:t>
            </w:r>
          </w:p>
        </w:tc>
        <w:tc>
          <w:tcPr>
            <w:tcW w:w="8444" w:type="dxa"/>
            <w:shd w:val="clear" w:color="auto" w:fill="auto"/>
            <w:vAlign w:val="center"/>
            <w:hideMark/>
          </w:tcPr>
          <w:p w14:paraId="74168684"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Peripheral vascular disease</w:t>
            </w:r>
          </w:p>
        </w:tc>
      </w:tr>
      <w:tr w:rsidR="00326682" w:rsidRPr="008B0C99" w14:paraId="7CCF1712" w14:textId="77777777" w:rsidTr="00051FCE">
        <w:trPr>
          <w:trHeight w:val="300"/>
        </w:trPr>
        <w:tc>
          <w:tcPr>
            <w:tcW w:w="562" w:type="dxa"/>
            <w:shd w:val="clear" w:color="auto" w:fill="auto"/>
            <w:noWrap/>
            <w:vAlign w:val="center"/>
            <w:hideMark/>
          </w:tcPr>
          <w:p w14:paraId="12AAC0E7"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22</w:t>
            </w:r>
          </w:p>
        </w:tc>
        <w:tc>
          <w:tcPr>
            <w:tcW w:w="8444" w:type="dxa"/>
            <w:shd w:val="clear" w:color="auto" w:fill="auto"/>
            <w:vAlign w:val="center"/>
            <w:hideMark/>
          </w:tcPr>
          <w:p w14:paraId="3BB729E5"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Prostate disorders</w:t>
            </w:r>
          </w:p>
        </w:tc>
      </w:tr>
      <w:tr w:rsidR="00326682" w:rsidRPr="008B0C99" w14:paraId="575C3ED1" w14:textId="77777777" w:rsidTr="00051FCE">
        <w:trPr>
          <w:trHeight w:val="300"/>
        </w:trPr>
        <w:tc>
          <w:tcPr>
            <w:tcW w:w="562" w:type="dxa"/>
            <w:shd w:val="clear" w:color="auto" w:fill="auto"/>
            <w:noWrap/>
            <w:vAlign w:val="center"/>
            <w:hideMark/>
          </w:tcPr>
          <w:p w14:paraId="2FB5086C"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23</w:t>
            </w:r>
          </w:p>
        </w:tc>
        <w:tc>
          <w:tcPr>
            <w:tcW w:w="8444" w:type="dxa"/>
            <w:shd w:val="clear" w:color="auto" w:fill="auto"/>
            <w:vAlign w:val="center"/>
            <w:hideMark/>
          </w:tcPr>
          <w:p w14:paraId="4F10ECE0"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Psychoactive substance misuse (not alcohol)</w:t>
            </w:r>
          </w:p>
        </w:tc>
      </w:tr>
      <w:tr w:rsidR="00326682" w:rsidRPr="008B0C99" w14:paraId="7ED8A78B" w14:textId="77777777" w:rsidTr="00051FCE">
        <w:trPr>
          <w:trHeight w:val="900"/>
        </w:trPr>
        <w:tc>
          <w:tcPr>
            <w:tcW w:w="562" w:type="dxa"/>
            <w:shd w:val="clear" w:color="auto" w:fill="auto"/>
            <w:noWrap/>
            <w:vAlign w:val="center"/>
            <w:hideMark/>
          </w:tcPr>
          <w:p w14:paraId="08E2B1EB"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24</w:t>
            </w:r>
          </w:p>
        </w:tc>
        <w:tc>
          <w:tcPr>
            <w:tcW w:w="8444" w:type="dxa"/>
            <w:shd w:val="clear" w:color="auto" w:fill="auto"/>
            <w:vAlign w:val="center"/>
            <w:hideMark/>
          </w:tcPr>
          <w:p w14:paraId="7BD03D9D"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Rheumatoid arthritis, other inflammatory polyarthropathies &amp; systematic connective tissue disorders</w:t>
            </w:r>
          </w:p>
        </w:tc>
      </w:tr>
      <w:tr w:rsidR="00326682" w:rsidRPr="008B0C99" w14:paraId="28144709" w14:textId="77777777" w:rsidTr="00051FCE">
        <w:trPr>
          <w:trHeight w:val="300"/>
        </w:trPr>
        <w:tc>
          <w:tcPr>
            <w:tcW w:w="562" w:type="dxa"/>
            <w:shd w:val="clear" w:color="auto" w:fill="auto"/>
            <w:noWrap/>
            <w:vAlign w:val="center"/>
            <w:hideMark/>
          </w:tcPr>
          <w:p w14:paraId="58A074E8"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25</w:t>
            </w:r>
          </w:p>
        </w:tc>
        <w:tc>
          <w:tcPr>
            <w:tcW w:w="8444" w:type="dxa"/>
            <w:shd w:val="clear" w:color="auto" w:fill="auto"/>
            <w:vAlign w:val="center"/>
            <w:hideMark/>
          </w:tcPr>
          <w:p w14:paraId="1EB1DA66"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Stroke &amp; transient ischaemic attack</w:t>
            </w:r>
          </w:p>
        </w:tc>
      </w:tr>
      <w:tr w:rsidR="00326682" w:rsidRPr="008B0C99" w14:paraId="537ED68F" w14:textId="77777777" w:rsidTr="00051FCE">
        <w:trPr>
          <w:trHeight w:val="300"/>
        </w:trPr>
        <w:tc>
          <w:tcPr>
            <w:tcW w:w="562" w:type="dxa"/>
            <w:shd w:val="clear" w:color="auto" w:fill="auto"/>
            <w:noWrap/>
            <w:vAlign w:val="center"/>
            <w:hideMark/>
          </w:tcPr>
          <w:p w14:paraId="2CF5DECA"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26</w:t>
            </w:r>
          </w:p>
        </w:tc>
        <w:tc>
          <w:tcPr>
            <w:tcW w:w="8444" w:type="dxa"/>
            <w:shd w:val="clear" w:color="auto" w:fill="auto"/>
            <w:vAlign w:val="center"/>
            <w:hideMark/>
          </w:tcPr>
          <w:p w14:paraId="6F70BFE6"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Thyroid disorders</w:t>
            </w:r>
          </w:p>
        </w:tc>
      </w:tr>
      <w:tr w:rsidR="00326682" w:rsidRPr="008B0C99" w14:paraId="6D493F2F" w14:textId="77777777" w:rsidTr="00051FCE">
        <w:trPr>
          <w:trHeight w:val="300"/>
        </w:trPr>
        <w:tc>
          <w:tcPr>
            <w:tcW w:w="9006" w:type="dxa"/>
            <w:gridSpan w:val="2"/>
            <w:shd w:val="clear" w:color="auto" w:fill="FFFFFF" w:themeFill="background1"/>
            <w:noWrap/>
            <w:vAlign w:val="center"/>
            <w:hideMark/>
          </w:tcPr>
          <w:p w14:paraId="43FA1D77" w14:textId="77777777" w:rsidR="00326682" w:rsidRPr="008B0C99" w:rsidRDefault="00326682" w:rsidP="00051FCE">
            <w:pPr>
              <w:spacing w:line="240" w:lineRule="auto"/>
              <w:jc w:val="center"/>
              <w:rPr>
                <w:rFonts w:eastAsia="Times New Roman" w:cstheme="minorHAnsi"/>
                <w:b/>
                <w:bCs/>
                <w:color w:val="000000"/>
                <w:lang w:eastAsia="en-GB"/>
              </w:rPr>
            </w:pPr>
            <w:r w:rsidRPr="008B0C99">
              <w:rPr>
                <w:rFonts w:eastAsia="Times New Roman" w:cstheme="minorHAnsi"/>
                <w:b/>
                <w:bCs/>
                <w:color w:val="000000"/>
                <w:lang w:eastAsia="en-GB"/>
              </w:rPr>
              <w:t>Morbidities based on prescription in last 12 months</w:t>
            </w:r>
          </w:p>
        </w:tc>
      </w:tr>
      <w:tr w:rsidR="00326682" w:rsidRPr="008B0C99" w14:paraId="74940715" w14:textId="77777777" w:rsidTr="00051FCE">
        <w:trPr>
          <w:trHeight w:val="300"/>
        </w:trPr>
        <w:tc>
          <w:tcPr>
            <w:tcW w:w="562" w:type="dxa"/>
            <w:shd w:val="clear" w:color="auto" w:fill="auto"/>
            <w:noWrap/>
            <w:vAlign w:val="center"/>
            <w:hideMark/>
          </w:tcPr>
          <w:p w14:paraId="2E09EFED"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27</w:t>
            </w:r>
          </w:p>
        </w:tc>
        <w:tc>
          <w:tcPr>
            <w:tcW w:w="8444" w:type="dxa"/>
            <w:shd w:val="clear" w:color="auto" w:fill="auto"/>
            <w:vAlign w:val="center"/>
            <w:hideMark/>
          </w:tcPr>
          <w:p w14:paraId="4E4628B2"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Constipation (treated)</w:t>
            </w:r>
          </w:p>
        </w:tc>
      </w:tr>
      <w:tr w:rsidR="00326682" w:rsidRPr="008B0C99" w14:paraId="023927FF" w14:textId="77777777" w:rsidTr="00051FCE">
        <w:trPr>
          <w:trHeight w:val="300"/>
        </w:trPr>
        <w:tc>
          <w:tcPr>
            <w:tcW w:w="562" w:type="dxa"/>
            <w:shd w:val="clear" w:color="auto" w:fill="auto"/>
            <w:noWrap/>
            <w:vAlign w:val="center"/>
            <w:hideMark/>
          </w:tcPr>
          <w:p w14:paraId="6DE0A956"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28</w:t>
            </w:r>
          </w:p>
        </w:tc>
        <w:tc>
          <w:tcPr>
            <w:tcW w:w="8444" w:type="dxa"/>
            <w:shd w:val="clear" w:color="auto" w:fill="auto"/>
            <w:vAlign w:val="center"/>
            <w:hideMark/>
          </w:tcPr>
          <w:p w14:paraId="5ECD3A0F"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Migraine</w:t>
            </w:r>
          </w:p>
        </w:tc>
      </w:tr>
      <w:tr w:rsidR="00326682" w:rsidRPr="008B0C99" w14:paraId="1FFD3221" w14:textId="77777777" w:rsidTr="00051FCE">
        <w:trPr>
          <w:trHeight w:val="300"/>
        </w:trPr>
        <w:tc>
          <w:tcPr>
            <w:tcW w:w="9006" w:type="dxa"/>
            <w:gridSpan w:val="2"/>
            <w:shd w:val="clear" w:color="auto" w:fill="FFFFFF" w:themeFill="background1"/>
            <w:noWrap/>
            <w:vAlign w:val="center"/>
            <w:hideMark/>
          </w:tcPr>
          <w:p w14:paraId="65C00D3E" w14:textId="77777777" w:rsidR="00326682" w:rsidRPr="008B0C99" w:rsidRDefault="00326682" w:rsidP="00051FCE">
            <w:pPr>
              <w:spacing w:line="240" w:lineRule="auto"/>
              <w:jc w:val="center"/>
              <w:rPr>
                <w:rFonts w:eastAsia="Times New Roman" w:cstheme="minorHAnsi"/>
                <w:b/>
                <w:bCs/>
                <w:color w:val="000000"/>
                <w:lang w:eastAsia="en-GB"/>
              </w:rPr>
            </w:pPr>
            <w:r w:rsidRPr="008B0C99">
              <w:rPr>
                <w:rFonts w:eastAsia="Times New Roman" w:cstheme="minorHAnsi"/>
                <w:b/>
                <w:bCs/>
                <w:color w:val="000000"/>
                <w:lang w:eastAsia="en-GB"/>
              </w:rPr>
              <w:t xml:space="preserve">Morbidities based on combination of Read code ever recorded </w:t>
            </w:r>
          </w:p>
          <w:p w14:paraId="13C8F8CB" w14:textId="77777777" w:rsidR="00326682" w:rsidRPr="008B0C99" w:rsidRDefault="00326682" w:rsidP="00051FCE">
            <w:pPr>
              <w:spacing w:line="240" w:lineRule="auto"/>
              <w:jc w:val="center"/>
              <w:rPr>
                <w:rFonts w:eastAsia="Times New Roman" w:cstheme="minorHAnsi"/>
                <w:b/>
                <w:bCs/>
                <w:color w:val="000000"/>
                <w:lang w:eastAsia="en-GB"/>
              </w:rPr>
            </w:pPr>
            <w:r w:rsidRPr="008B0C99">
              <w:rPr>
                <w:rFonts w:eastAsia="Times New Roman" w:cstheme="minorHAnsi"/>
                <w:b/>
                <w:bCs/>
                <w:color w:val="000000"/>
                <w:lang w:eastAsia="en-GB"/>
              </w:rPr>
              <w:t>and/or prescription in last 12 months</w:t>
            </w:r>
          </w:p>
        </w:tc>
      </w:tr>
      <w:tr w:rsidR="00326682" w:rsidRPr="008B0C99" w14:paraId="18F989EE" w14:textId="77777777" w:rsidTr="00051FCE">
        <w:trPr>
          <w:trHeight w:val="300"/>
        </w:trPr>
        <w:tc>
          <w:tcPr>
            <w:tcW w:w="562" w:type="dxa"/>
            <w:shd w:val="clear" w:color="auto" w:fill="auto"/>
            <w:noWrap/>
            <w:vAlign w:val="center"/>
            <w:hideMark/>
          </w:tcPr>
          <w:p w14:paraId="4F78E02C"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29</w:t>
            </w:r>
          </w:p>
        </w:tc>
        <w:tc>
          <w:tcPr>
            <w:tcW w:w="8444" w:type="dxa"/>
            <w:shd w:val="clear" w:color="auto" w:fill="auto"/>
            <w:vAlign w:val="center"/>
            <w:hideMark/>
          </w:tcPr>
          <w:p w14:paraId="6B3CDD0F"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Epilepsy (currently treated)</w:t>
            </w:r>
          </w:p>
        </w:tc>
      </w:tr>
      <w:tr w:rsidR="00326682" w:rsidRPr="008B0C99" w14:paraId="7385B24E" w14:textId="77777777" w:rsidTr="00051FCE">
        <w:trPr>
          <w:trHeight w:val="300"/>
        </w:trPr>
        <w:tc>
          <w:tcPr>
            <w:tcW w:w="562" w:type="dxa"/>
            <w:shd w:val="clear" w:color="auto" w:fill="auto"/>
            <w:noWrap/>
            <w:vAlign w:val="center"/>
            <w:hideMark/>
          </w:tcPr>
          <w:p w14:paraId="382D1E24"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30</w:t>
            </w:r>
          </w:p>
        </w:tc>
        <w:tc>
          <w:tcPr>
            <w:tcW w:w="8444" w:type="dxa"/>
            <w:shd w:val="clear" w:color="auto" w:fill="auto"/>
            <w:vAlign w:val="center"/>
            <w:hideMark/>
          </w:tcPr>
          <w:p w14:paraId="35EA2B23"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Asthma (currently treated)</w:t>
            </w:r>
          </w:p>
        </w:tc>
      </w:tr>
      <w:tr w:rsidR="00326682" w:rsidRPr="008B0C99" w14:paraId="1A5CD342" w14:textId="77777777" w:rsidTr="00051FCE">
        <w:trPr>
          <w:trHeight w:val="300"/>
        </w:trPr>
        <w:tc>
          <w:tcPr>
            <w:tcW w:w="562" w:type="dxa"/>
            <w:shd w:val="clear" w:color="auto" w:fill="auto"/>
            <w:noWrap/>
            <w:vAlign w:val="center"/>
            <w:hideMark/>
          </w:tcPr>
          <w:p w14:paraId="6B165D4F"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31</w:t>
            </w:r>
          </w:p>
        </w:tc>
        <w:tc>
          <w:tcPr>
            <w:tcW w:w="8444" w:type="dxa"/>
            <w:shd w:val="clear" w:color="auto" w:fill="auto"/>
            <w:vAlign w:val="center"/>
            <w:hideMark/>
          </w:tcPr>
          <w:p w14:paraId="54068D05"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Irritable bowel syndrome</w:t>
            </w:r>
          </w:p>
        </w:tc>
      </w:tr>
      <w:tr w:rsidR="00326682" w:rsidRPr="008B0C99" w14:paraId="796B1A93" w14:textId="77777777" w:rsidTr="00051FCE">
        <w:trPr>
          <w:trHeight w:val="300"/>
        </w:trPr>
        <w:tc>
          <w:tcPr>
            <w:tcW w:w="562" w:type="dxa"/>
            <w:shd w:val="clear" w:color="auto" w:fill="auto"/>
            <w:noWrap/>
            <w:vAlign w:val="center"/>
            <w:hideMark/>
          </w:tcPr>
          <w:p w14:paraId="762147AA"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32</w:t>
            </w:r>
          </w:p>
        </w:tc>
        <w:tc>
          <w:tcPr>
            <w:tcW w:w="8444" w:type="dxa"/>
            <w:shd w:val="clear" w:color="auto" w:fill="auto"/>
            <w:vAlign w:val="center"/>
            <w:hideMark/>
          </w:tcPr>
          <w:p w14:paraId="75C749E7"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Psoriasis or eczema</w:t>
            </w:r>
          </w:p>
        </w:tc>
      </w:tr>
      <w:tr w:rsidR="00326682" w:rsidRPr="008B0C99" w14:paraId="77A9BB9F" w14:textId="77777777" w:rsidTr="00051FCE">
        <w:trPr>
          <w:trHeight w:val="300"/>
        </w:trPr>
        <w:tc>
          <w:tcPr>
            <w:tcW w:w="9006" w:type="dxa"/>
            <w:gridSpan w:val="2"/>
            <w:shd w:val="clear" w:color="auto" w:fill="FFFFFF" w:themeFill="background1"/>
            <w:noWrap/>
            <w:vAlign w:val="center"/>
            <w:hideMark/>
          </w:tcPr>
          <w:p w14:paraId="1CE77CC1" w14:textId="77777777" w:rsidR="00326682" w:rsidRPr="008B0C99" w:rsidRDefault="00326682" w:rsidP="00051FCE">
            <w:pPr>
              <w:spacing w:line="240" w:lineRule="auto"/>
              <w:jc w:val="center"/>
              <w:rPr>
                <w:rFonts w:eastAsia="Times New Roman" w:cstheme="minorHAnsi"/>
                <w:b/>
                <w:bCs/>
                <w:color w:val="000000"/>
                <w:lang w:eastAsia="en-GB"/>
              </w:rPr>
            </w:pPr>
            <w:r w:rsidRPr="008B0C99">
              <w:rPr>
                <w:rFonts w:eastAsia="Times New Roman" w:cstheme="minorHAnsi"/>
                <w:b/>
                <w:bCs/>
                <w:color w:val="000000"/>
                <w:lang w:eastAsia="en-GB"/>
              </w:rPr>
              <w:t>Morbidities otherwise defined</w:t>
            </w:r>
          </w:p>
        </w:tc>
      </w:tr>
      <w:tr w:rsidR="00326682" w:rsidRPr="008B0C99" w14:paraId="7DCB98F0" w14:textId="77777777" w:rsidTr="00051FCE">
        <w:trPr>
          <w:trHeight w:val="600"/>
        </w:trPr>
        <w:tc>
          <w:tcPr>
            <w:tcW w:w="562" w:type="dxa"/>
            <w:shd w:val="clear" w:color="auto" w:fill="auto"/>
            <w:noWrap/>
            <w:vAlign w:val="center"/>
            <w:hideMark/>
          </w:tcPr>
          <w:p w14:paraId="458FB5DA"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33</w:t>
            </w:r>
          </w:p>
        </w:tc>
        <w:tc>
          <w:tcPr>
            <w:tcW w:w="8444" w:type="dxa"/>
            <w:shd w:val="clear" w:color="auto" w:fill="auto"/>
            <w:vAlign w:val="center"/>
            <w:hideMark/>
          </w:tcPr>
          <w:p w14:paraId="35404609"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Anxiety &amp; other neurotic, stress related &amp; somatoform disorders OR depression</w:t>
            </w:r>
          </w:p>
        </w:tc>
      </w:tr>
      <w:tr w:rsidR="00326682" w:rsidRPr="008B0C99" w14:paraId="139DFAEB" w14:textId="77777777" w:rsidTr="00051FCE">
        <w:trPr>
          <w:trHeight w:val="600"/>
        </w:trPr>
        <w:tc>
          <w:tcPr>
            <w:tcW w:w="562" w:type="dxa"/>
            <w:shd w:val="clear" w:color="auto" w:fill="auto"/>
            <w:noWrap/>
            <w:vAlign w:val="center"/>
            <w:hideMark/>
          </w:tcPr>
          <w:p w14:paraId="06B72EF2"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34</w:t>
            </w:r>
          </w:p>
        </w:tc>
        <w:tc>
          <w:tcPr>
            <w:tcW w:w="8444" w:type="dxa"/>
            <w:shd w:val="clear" w:color="auto" w:fill="auto"/>
            <w:vAlign w:val="center"/>
            <w:hideMark/>
          </w:tcPr>
          <w:p w14:paraId="3C90A1DA"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Cancer - [New] Diagnosis in last 5 years (excluding non-melanoma skin cancer)</w:t>
            </w:r>
          </w:p>
        </w:tc>
      </w:tr>
      <w:tr w:rsidR="00326682" w:rsidRPr="008B0C99" w14:paraId="09F38A84" w14:textId="77777777" w:rsidTr="00051FCE">
        <w:trPr>
          <w:trHeight w:val="300"/>
        </w:trPr>
        <w:tc>
          <w:tcPr>
            <w:tcW w:w="562" w:type="dxa"/>
            <w:shd w:val="clear" w:color="auto" w:fill="auto"/>
            <w:noWrap/>
            <w:vAlign w:val="center"/>
            <w:hideMark/>
          </w:tcPr>
          <w:p w14:paraId="2EAFD13B"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35</w:t>
            </w:r>
          </w:p>
        </w:tc>
        <w:tc>
          <w:tcPr>
            <w:tcW w:w="8444" w:type="dxa"/>
            <w:shd w:val="clear" w:color="auto" w:fill="auto"/>
            <w:vAlign w:val="center"/>
            <w:hideMark/>
          </w:tcPr>
          <w:p w14:paraId="29FA7F54"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Chronic kidney disease</w:t>
            </w:r>
          </w:p>
        </w:tc>
      </w:tr>
      <w:tr w:rsidR="00326682" w:rsidRPr="008B0C99" w14:paraId="05E23C74" w14:textId="77777777" w:rsidTr="00051FCE">
        <w:trPr>
          <w:trHeight w:val="300"/>
        </w:trPr>
        <w:tc>
          <w:tcPr>
            <w:tcW w:w="562" w:type="dxa"/>
            <w:shd w:val="clear" w:color="auto" w:fill="auto"/>
            <w:noWrap/>
            <w:vAlign w:val="center"/>
            <w:hideMark/>
          </w:tcPr>
          <w:p w14:paraId="5F15AAFD"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lastRenderedPageBreak/>
              <w:t>36</w:t>
            </w:r>
          </w:p>
        </w:tc>
        <w:tc>
          <w:tcPr>
            <w:tcW w:w="8444" w:type="dxa"/>
            <w:shd w:val="clear" w:color="auto" w:fill="auto"/>
            <w:vAlign w:val="center"/>
            <w:hideMark/>
          </w:tcPr>
          <w:p w14:paraId="5D4D9F39"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Painful condition</w:t>
            </w:r>
          </w:p>
        </w:tc>
      </w:tr>
      <w:tr w:rsidR="00326682" w:rsidRPr="008B0C99" w14:paraId="630CC9E8" w14:textId="77777777" w:rsidTr="00051FCE">
        <w:trPr>
          <w:trHeight w:val="600"/>
        </w:trPr>
        <w:tc>
          <w:tcPr>
            <w:tcW w:w="562" w:type="dxa"/>
            <w:shd w:val="clear" w:color="auto" w:fill="auto"/>
            <w:noWrap/>
            <w:vAlign w:val="center"/>
            <w:hideMark/>
          </w:tcPr>
          <w:p w14:paraId="5335F373" w14:textId="77777777" w:rsidR="00326682" w:rsidRPr="008B0C99" w:rsidRDefault="00326682" w:rsidP="00051FCE">
            <w:pPr>
              <w:spacing w:line="240" w:lineRule="auto"/>
              <w:jc w:val="right"/>
              <w:rPr>
                <w:rFonts w:eastAsia="Times New Roman" w:cstheme="minorHAnsi"/>
                <w:color w:val="000000"/>
                <w:lang w:eastAsia="en-GB"/>
              </w:rPr>
            </w:pPr>
            <w:r w:rsidRPr="008B0C99">
              <w:rPr>
                <w:rFonts w:eastAsia="Times New Roman" w:cstheme="minorHAnsi"/>
                <w:color w:val="000000"/>
                <w:lang w:eastAsia="en-GB"/>
              </w:rPr>
              <w:t>37</w:t>
            </w:r>
          </w:p>
        </w:tc>
        <w:tc>
          <w:tcPr>
            <w:tcW w:w="8444" w:type="dxa"/>
            <w:shd w:val="clear" w:color="auto" w:fill="auto"/>
            <w:vAlign w:val="center"/>
            <w:hideMark/>
          </w:tcPr>
          <w:p w14:paraId="57C95D4A" w14:textId="77777777" w:rsidR="00326682" w:rsidRPr="008B0C99" w:rsidRDefault="00326682" w:rsidP="00051FCE">
            <w:pPr>
              <w:spacing w:line="240" w:lineRule="auto"/>
              <w:rPr>
                <w:rFonts w:eastAsia="Times New Roman" w:cstheme="minorHAnsi"/>
                <w:color w:val="000000"/>
                <w:lang w:eastAsia="en-GB"/>
              </w:rPr>
            </w:pPr>
            <w:r w:rsidRPr="008B0C99">
              <w:rPr>
                <w:rFonts w:eastAsia="Times New Roman" w:cstheme="minorHAnsi"/>
                <w:color w:val="000000"/>
                <w:lang w:eastAsia="en-GB"/>
              </w:rPr>
              <w:t>Schizophrenia (and other non-organic psychosis) or bipolar disorder</w:t>
            </w:r>
          </w:p>
        </w:tc>
      </w:tr>
    </w:tbl>
    <w:p w14:paraId="556AABB5" w14:textId="77777777" w:rsidR="00575AF8" w:rsidRDefault="00575AF8" w:rsidP="00E9563D">
      <w:pPr>
        <w:pStyle w:val="BulletList"/>
        <w:numPr>
          <w:ilvl w:val="0"/>
          <w:numId w:val="0"/>
        </w:numPr>
      </w:pPr>
    </w:p>
    <w:sectPr w:rsidR="00575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A5793"/>
    <w:multiLevelType w:val="hybridMultilevel"/>
    <w:tmpl w:val="D0B4237A"/>
    <w:lvl w:ilvl="0" w:tplc="B686A656">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C57FA1"/>
    <w:multiLevelType w:val="hybridMultilevel"/>
    <w:tmpl w:val="49C80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2F60F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97250501">
    <w:abstractNumId w:val="2"/>
  </w:num>
  <w:num w:numId="2" w16cid:durableId="799495592">
    <w:abstractNumId w:val="1"/>
  </w:num>
  <w:num w:numId="3" w16cid:durableId="1505168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63D"/>
    <w:rsid w:val="000238BC"/>
    <w:rsid w:val="00023E27"/>
    <w:rsid w:val="000309AC"/>
    <w:rsid w:val="00051FCE"/>
    <w:rsid w:val="000543FC"/>
    <w:rsid w:val="000678B9"/>
    <w:rsid w:val="0007140A"/>
    <w:rsid w:val="00097ACC"/>
    <w:rsid w:val="00100A33"/>
    <w:rsid w:val="00105D7F"/>
    <w:rsid w:val="0013523C"/>
    <w:rsid w:val="00147F85"/>
    <w:rsid w:val="0015413A"/>
    <w:rsid w:val="001601FE"/>
    <w:rsid w:val="0017242B"/>
    <w:rsid w:val="001905A8"/>
    <w:rsid w:val="001A25C8"/>
    <w:rsid w:val="001B410E"/>
    <w:rsid w:val="001B4895"/>
    <w:rsid w:val="001E0593"/>
    <w:rsid w:val="001E4F14"/>
    <w:rsid w:val="001F06B6"/>
    <w:rsid w:val="001F0D48"/>
    <w:rsid w:val="001F506D"/>
    <w:rsid w:val="00212335"/>
    <w:rsid w:val="00234414"/>
    <w:rsid w:val="00234619"/>
    <w:rsid w:val="002A329C"/>
    <w:rsid w:val="002B4FB1"/>
    <w:rsid w:val="002C5DEE"/>
    <w:rsid w:val="00302ECC"/>
    <w:rsid w:val="00324C4B"/>
    <w:rsid w:val="00326682"/>
    <w:rsid w:val="00353E2C"/>
    <w:rsid w:val="003647DE"/>
    <w:rsid w:val="00366829"/>
    <w:rsid w:val="00375519"/>
    <w:rsid w:val="003A689D"/>
    <w:rsid w:val="003E01B1"/>
    <w:rsid w:val="003E5812"/>
    <w:rsid w:val="003E6B9A"/>
    <w:rsid w:val="00411496"/>
    <w:rsid w:val="004159E6"/>
    <w:rsid w:val="0041690E"/>
    <w:rsid w:val="00441E71"/>
    <w:rsid w:val="00461C1A"/>
    <w:rsid w:val="0047347B"/>
    <w:rsid w:val="00475572"/>
    <w:rsid w:val="00487ABB"/>
    <w:rsid w:val="004A7FD3"/>
    <w:rsid w:val="00514BDA"/>
    <w:rsid w:val="005164FF"/>
    <w:rsid w:val="005216C0"/>
    <w:rsid w:val="00530E6B"/>
    <w:rsid w:val="005424EA"/>
    <w:rsid w:val="005503F2"/>
    <w:rsid w:val="00567974"/>
    <w:rsid w:val="00575AF8"/>
    <w:rsid w:val="005826A9"/>
    <w:rsid w:val="005B0C27"/>
    <w:rsid w:val="005C4A9E"/>
    <w:rsid w:val="005E3211"/>
    <w:rsid w:val="005E5D43"/>
    <w:rsid w:val="00614ECC"/>
    <w:rsid w:val="0065259B"/>
    <w:rsid w:val="006566B2"/>
    <w:rsid w:val="0065694D"/>
    <w:rsid w:val="00663BED"/>
    <w:rsid w:val="00667CF5"/>
    <w:rsid w:val="006763CC"/>
    <w:rsid w:val="00677CCF"/>
    <w:rsid w:val="00699601"/>
    <w:rsid w:val="006A448E"/>
    <w:rsid w:val="006C0937"/>
    <w:rsid w:val="006C6124"/>
    <w:rsid w:val="006D0050"/>
    <w:rsid w:val="006D719C"/>
    <w:rsid w:val="00703A4B"/>
    <w:rsid w:val="0071621D"/>
    <w:rsid w:val="007164D1"/>
    <w:rsid w:val="00761E5D"/>
    <w:rsid w:val="007631C0"/>
    <w:rsid w:val="007802BC"/>
    <w:rsid w:val="007B2557"/>
    <w:rsid w:val="007E1DF2"/>
    <w:rsid w:val="00806371"/>
    <w:rsid w:val="00817804"/>
    <w:rsid w:val="008316A5"/>
    <w:rsid w:val="00877B64"/>
    <w:rsid w:val="00890472"/>
    <w:rsid w:val="008B3033"/>
    <w:rsid w:val="008B3093"/>
    <w:rsid w:val="008E33F4"/>
    <w:rsid w:val="008F4A9F"/>
    <w:rsid w:val="008F5233"/>
    <w:rsid w:val="00910044"/>
    <w:rsid w:val="00920776"/>
    <w:rsid w:val="009300F5"/>
    <w:rsid w:val="00933772"/>
    <w:rsid w:val="00967C8A"/>
    <w:rsid w:val="00990717"/>
    <w:rsid w:val="009A5BF9"/>
    <w:rsid w:val="009A6098"/>
    <w:rsid w:val="009B1D02"/>
    <w:rsid w:val="009E3B10"/>
    <w:rsid w:val="009F6D5F"/>
    <w:rsid w:val="00A06B8E"/>
    <w:rsid w:val="00A070A4"/>
    <w:rsid w:val="00A16C0D"/>
    <w:rsid w:val="00A251E7"/>
    <w:rsid w:val="00A402AD"/>
    <w:rsid w:val="00A44744"/>
    <w:rsid w:val="00A544D8"/>
    <w:rsid w:val="00A84C98"/>
    <w:rsid w:val="00AA36DC"/>
    <w:rsid w:val="00B076C1"/>
    <w:rsid w:val="00B64EEA"/>
    <w:rsid w:val="00B91F67"/>
    <w:rsid w:val="00B9318B"/>
    <w:rsid w:val="00BA2B6B"/>
    <w:rsid w:val="00BA5A26"/>
    <w:rsid w:val="00BD09BB"/>
    <w:rsid w:val="00C0154A"/>
    <w:rsid w:val="00C174D5"/>
    <w:rsid w:val="00C34008"/>
    <w:rsid w:val="00C36E38"/>
    <w:rsid w:val="00C40886"/>
    <w:rsid w:val="00C46E36"/>
    <w:rsid w:val="00C50420"/>
    <w:rsid w:val="00C71A4E"/>
    <w:rsid w:val="00C73967"/>
    <w:rsid w:val="00C83498"/>
    <w:rsid w:val="00C86E9C"/>
    <w:rsid w:val="00C91D9B"/>
    <w:rsid w:val="00C979D9"/>
    <w:rsid w:val="00CB62BD"/>
    <w:rsid w:val="00CF5858"/>
    <w:rsid w:val="00D15DCE"/>
    <w:rsid w:val="00D2001D"/>
    <w:rsid w:val="00D31608"/>
    <w:rsid w:val="00D31AB7"/>
    <w:rsid w:val="00D337D9"/>
    <w:rsid w:val="00D43B59"/>
    <w:rsid w:val="00D63266"/>
    <w:rsid w:val="00D76B0B"/>
    <w:rsid w:val="00D813EE"/>
    <w:rsid w:val="00D903BA"/>
    <w:rsid w:val="00D93C16"/>
    <w:rsid w:val="00DA32F9"/>
    <w:rsid w:val="00DB7AB3"/>
    <w:rsid w:val="00DC3397"/>
    <w:rsid w:val="00E22BEC"/>
    <w:rsid w:val="00E274A4"/>
    <w:rsid w:val="00E577E8"/>
    <w:rsid w:val="00E70ACB"/>
    <w:rsid w:val="00E746A7"/>
    <w:rsid w:val="00E80CC7"/>
    <w:rsid w:val="00E91640"/>
    <w:rsid w:val="00E9563D"/>
    <w:rsid w:val="00E96380"/>
    <w:rsid w:val="00E97A19"/>
    <w:rsid w:val="00EA31E5"/>
    <w:rsid w:val="00EA39C0"/>
    <w:rsid w:val="00EB0E8E"/>
    <w:rsid w:val="00ED48A7"/>
    <w:rsid w:val="00F137F8"/>
    <w:rsid w:val="00F42EC1"/>
    <w:rsid w:val="00F46F50"/>
    <w:rsid w:val="00F672FA"/>
    <w:rsid w:val="00F72779"/>
    <w:rsid w:val="00F97B96"/>
    <w:rsid w:val="00FC6DE3"/>
    <w:rsid w:val="00FD5CBB"/>
    <w:rsid w:val="00FE7256"/>
    <w:rsid w:val="00FF1D42"/>
    <w:rsid w:val="023DA5D0"/>
    <w:rsid w:val="02D0363D"/>
    <w:rsid w:val="0748F5BC"/>
    <w:rsid w:val="09681A2B"/>
    <w:rsid w:val="0A894184"/>
    <w:rsid w:val="0B4B949B"/>
    <w:rsid w:val="0DA9970D"/>
    <w:rsid w:val="0DF697B1"/>
    <w:rsid w:val="0FA9C902"/>
    <w:rsid w:val="0FC12FF0"/>
    <w:rsid w:val="11B34B93"/>
    <w:rsid w:val="143A0688"/>
    <w:rsid w:val="15022091"/>
    <w:rsid w:val="15264275"/>
    <w:rsid w:val="16BA4988"/>
    <w:rsid w:val="17DF2F66"/>
    <w:rsid w:val="18C96A7E"/>
    <w:rsid w:val="1DD5B5D3"/>
    <w:rsid w:val="1EC3A3A9"/>
    <w:rsid w:val="231AFCC1"/>
    <w:rsid w:val="25678258"/>
    <w:rsid w:val="2627A841"/>
    <w:rsid w:val="26E46C32"/>
    <w:rsid w:val="27480468"/>
    <w:rsid w:val="287F9282"/>
    <w:rsid w:val="2B6004CA"/>
    <w:rsid w:val="2B97D93D"/>
    <w:rsid w:val="2DC30316"/>
    <w:rsid w:val="2E205DEE"/>
    <w:rsid w:val="2E2D1391"/>
    <w:rsid w:val="2EE9B906"/>
    <w:rsid w:val="34D77E4D"/>
    <w:rsid w:val="37E510DA"/>
    <w:rsid w:val="385D0073"/>
    <w:rsid w:val="390810C8"/>
    <w:rsid w:val="3A8BB802"/>
    <w:rsid w:val="3BC2F837"/>
    <w:rsid w:val="3F312331"/>
    <w:rsid w:val="4010BBAB"/>
    <w:rsid w:val="423FBF70"/>
    <w:rsid w:val="43C27428"/>
    <w:rsid w:val="45B858B3"/>
    <w:rsid w:val="46C2ABC8"/>
    <w:rsid w:val="471BC8BF"/>
    <w:rsid w:val="49F87477"/>
    <w:rsid w:val="4BBC02A9"/>
    <w:rsid w:val="4C78C1CB"/>
    <w:rsid w:val="4C9F3490"/>
    <w:rsid w:val="4CCFC793"/>
    <w:rsid w:val="4D1B7600"/>
    <w:rsid w:val="4EA51C6F"/>
    <w:rsid w:val="4ED79EB7"/>
    <w:rsid w:val="5643BCA0"/>
    <w:rsid w:val="58F2E40C"/>
    <w:rsid w:val="59AE5E67"/>
    <w:rsid w:val="5A8BDBEB"/>
    <w:rsid w:val="5CA2BA9C"/>
    <w:rsid w:val="5DDA1036"/>
    <w:rsid w:val="5FAD69AF"/>
    <w:rsid w:val="6105BEF5"/>
    <w:rsid w:val="6454690F"/>
    <w:rsid w:val="649F0F1A"/>
    <w:rsid w:val="65725E54"/>
    <w:rsid w:val="65C302DB"/>
    <w:rsid w:val="6DF15030"/>
    <w:rsid w:val="6E23BF8C"/>
    <w:rsid w:val="6E70C620"/>
    <w:rsid w:val="734BBB5E"/>
    <w:rsid w:val="73DD2628"/>
    <w:rsid w:val="74AB6082"/>
    <w:rsid w:val="76AC8117"/>
    <w:rsid w:val="770DB887"/>
    <w:rsid w:val="7E8ECFB6"/>
    <w:rsid w:val="7F7D142A"/>
    <w:rsid w:val="7FEA433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A0022"/>
  <w15:chartTrackingRefBased/>
  <w15:docId w15:val="{B673EF48-BD1E-43C7-BF63-58238427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9D9"/>
    <w:pPr>
      <w:spacing w:line="279" w:lineRule="auto"/>
    </w:pPr>
    <w:rPr>
      <w:rFonts w:ascii="Calibri" w:eastAsiaTheme="minorEastAsia" w:hAnsi="Calibri"/>
      <w:kern w:val="0"/>
      <w:szCs w:val="24"/>
      <w:lang w:val="en-US" w:eastAsia="ja-JP"/>
      <w14:ligatures w14:val="none"/>
    </w:rPr>
  </w:style>
  <w:style w:type="paragraph" w:styleId="Heading1">
    <w:name w:val="heading 1"/>
    <w:basedOn w:val="Normal"/>
    <w:next w:val="Normal"/>
    <w:link w:val="Heading1Char"/>
    <w:uiPriority w:val="9"/>
    <w:qFormat/>
    <w:rsid w:val="00E9563D"/>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563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563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E9563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9563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9563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9563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E9563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9563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63D"/>
    <w:rPr>
      <w:rFonts w:ascii="Calibri" w:eastAsiaTheme="majorEastAsia" w:hAnsi="Calibri" w:cstheme="majorBidi"/>
      <w:color w:val="2F5496" w:themeColor="accent1" w:themeShade="BF"/>
      <w:kern w:val="0"/>
      <w:sz w:val="32"/>
      <w:szCs w:val="32"/>
      <w:lang w:val="en-US" w:eastAsia="ja-JP"/>
      <w14:ligatures w14:val="none"/>
    </w:rPr>
  </w:style>
  <w:style w:type="character" w:customStyle="1" w:styleId="Heading2Char">
    <w:name w:val="Heading 2 Char"/>
    <w:basedOn w:val="DefaultParagraphFont"/>
    <w:link w:val="Heading2"/>
    <w:uiPriority w:val="9"/>
    <w:rsid w:val="00E9563D"/>
    <w:rPr>
      <w:rFonts w:asciiTheme="majorHAnsi" w:eastAsiaTheme="majorEastAsia" w:hAnsiTheme="majorHAnsi" w:cstheme="majorBidi"/>
      <w:color w:val="2F5496" w:themeColor="accent1" w:themeShade="BF"/>
      <w:kern w:val="0"/>
      <w:sz w:val="26"/>
      <w:szCs w:val="26"/>
      <w:lang w:val="en-US" w:eastAsia="ja-JP"/>
      <w14:ligatures w14:val="none"/>
    </w:rPr>
  </w:style>
  <w:style w:type="character" w:customStyle="1" w:styleId="Heading3Char">
    <w:name w:val="Heading 3 Char"/>
    <w:basedOn w:val="DefaultParagraphFont"/>
    <w:link w:val="Heading3"/>
    <w:uiPriority w:val="9"/>
    <w:semiHidden/>
    <w:rsid w:val="00E9563D"/>
    <w:rPr>
      <w:rFonts w:asciiTheme="majorHAnsi" w:eastAsiaTheme="majorEastAsia" w:hAnsiTheme="majorHAnsi" w:cstheme="majorBidi"/>
      <w:color w:val="1F3763" w:themeColor="accent1" w:themeShade="7F"/>
      <w:kern w:val="0"/>
      <w:sz w:val="24"/>
      <w:szCs w:val="24"/>
      <w:lang w:val="en-US" w:eastAsia="ja-JP"/>
      <w14:ligatures w14:val="none"/>
    </w:rPr>
  </w:style>
  <w:style w:type="character" w:customStyle="1" w:styleId="Heading4Char">
    <w:name w:val="Heading 4 Char"/>
    <w:basedOn w:val="DefaultParagraphFont"/>
    <w:link w:val="Heading4"/>
    <w:uiPriority w:val="9"/>
    <w:semiHidden/>
    <w:rsid w:val="00E9563D"/>
    <w:rPr>
      <w:rFonts w:asciiTheme="majorHAnsi" w:eastAsiaTheme="majorEastAsia" w:hAnsiTheme="majorHAnsi" w:cstheme="majorBidi"/>
      <w:i/>
      <w:iCs/>
      <w:color w:val="2F5496" w:themeColor="accent1" w:themeShade="BF"/>
      <w:kern w:val="0"/>
      <w:szCs w:val="24"/>
      <w:lang w:val="en-US" w:eastAsia="ja-JP"/>
      <w14:ligatures w14:val="none"/>
    </w:rPr>
  </w:style>
  <w:style w:type="character" w:customStyle="1" w:styleId="Heading5Char">
    <w:name w:val="Heading 5 Char"/>
    <w:basedOn w:val="DefaultParagraphFont"/>
    <w:link w:val="Heading5"/>
    <w:uiPriority w:val="9"/>
    <w:semiHidden/>
    <w:rsid w:val="00E9563D"/>
    <w:rPr>
      <w:rFonts w:asciiTheme="majorHAnsi" w:eastAsiaTheme="majorEastAsia" w:hAnsiTheme="majorHAnsi" w:cstheme="majorBidi"/>
      <w:color w:val="2F5496" w:themeColor="accent1" w:themeShade="BF"/>
      <w:kern w:val="0"/>
      <w:szCs w:val="24"/>
      <w:lang w:val="en-US" w:eastAsia="ja-JP"/>
      <w14:ligatures w14:val="none"/>
    </w:rPr>
  </w:style>
  <w:style w:type="character" w:customStyle="1" w:styleId="Heading6Char">
    <w:name w:val="Heading 6 Char"/>
    <w:basedOn w:val="DefaultParagraphFont"/>
    <w:link w:val="Heading6"/>
    <w:uiPriority w:val="9"/>
    <w:semiHidden/>
    <w:rsid w:val="00E9563D"/>
    <w:rPr>
      <w:rFonts w:asciiTheme="majorHAnsi" w:eastAsiaTheme="majorEastAsia" w:hAnsiTheme="majorHAnsi" w:cstheme="majorBidi"/>
      <w:color w:val="1F3763" w:themeColor="accent1" w:themeShade="7F"/>
      <w:kern w:val="0"/>
      <w:szCs w:val="24"/>
      <w:lang w:val="en-US" w:eastAsia="ja-JP"/>
      <w14:ligatures w14:val="none"/>
    </w:rPr>
  </w:style>
  <w:style w:type="character" w:customStyle="1" w:styleId="Heading7Char">
    <w:name w:val="Heading 7 Char"/>
    <w:basedOn w:val="DefaultParagraphFont"/>
    <w:link w:val="Heading7"/>
    <w:uiPriority w:val="9"/>
    <w:semiHidden/>
    <w:rsid w:val="00E9563D"/>
    <w:rPr>
      <w:rFonts w:asciiTheme="majorHAnsi" w:eastAsiaTheme="majorEastAsia" w:hAnsiTheme="majorHAnsi" w:cstheme="majorBidi"/>
      <w:i/>
      <w:iCs/>
      <w:color w:val="1F3763" w:themeColor="accent1" w:themeShade="7F"/>
      <w:kern w:val="0"/>
      <w:szCs w:val="24"/>
      <w:lang w:val="en-US" w:eastAsia="ja-JP"/>
      <w14:ligatures w14:val="none"/>
    </w:rPr>
  </w:style>
  <w:style w:type="character" w:customStyle="1" w:styleId="Heading8Char">
    <w:name w:val="Heading 8 Char"/>
    <w:basedOn w:val="DefaultParagraphFont"/>
    <w:link w:val="Heading8"/>
    <w:uiPriority w:val="9"/>
    <w:semiHidden/>
    <w:rsid w:val="00E9563D"/>
    <w:rPr>
      <w:rFonts w:asciiTheme="majorHAnsi" w:eastAsiaTheme="majorEastAsia" w:hAnsiTheme="majorHAnsi" w:cstheme="majorBidi"/>
      <w:color w:val="272727" w:themeColor="text1" w:themeTint="D8"/>
      <w:kern w:val="0"/>
      <w:sz w:val="21"/>
      <w:szCs w:val="21"/>
      <w:lang w:val="en-US" w:eastAsia="ja-JP"/>
      <w14:ligatures w14:val="none"/>
    </w:rPr>
  </w:style>
  <w:style w:type="character" w:customStyle="1" w:styleId="Heading9Char">
    <w:name w:val="Heading 9 Char"/>
    <w:basedOn w:val="DefaultParagraphFont"/>
    <w:link w:val="Heading9"/>
    <w:uiPriority w:val="9"/>
    <w:semiHidden/>
    <w:rsid w:val="00E9563D"/>
    <w:rPr>
      <w:rFonts w:asciiTheme="majorHAnsi" w:eastAsiaTheme="majorEastAsia" w:hAnsiTheme="majorHAnsi" w:cstheme="majorBidi"/>
      <w:i/>
      <w:iCs/>
      <w:color w:val="272727" w:themeColor="text1" w:themeTint="D8"/>
      <w:kern w:val="0"/>
      <w:sz w:val="21"/>
      <w:szCs w:val="21"/>
      <w:lang w:val="en-US" w:eastAsia="ja-JP"/>
      <w14:ligatures w14:val="none"/>
    </w:rPr>
  </w:style>
  <w:style w:type="character" w:styleId="CommentReference">
    <w:name w:val="annotation reference"/>
    <w:basedOn w:val="DefaultParagraphFont"/>
    <w:uiPriority w:val="99"/>
    <w:semiHidden/>
    <w:unhideWhenUsed/>
    <w:rsid w:val="00E9563D"/>
    <w:rPr>
      <w:sz w:val="16"/>
      <w:szCs w:val="16"/>
    </w:rPr>
  </w:style>
  <w:style w:type="paragraph" w:customStyle="1" w:styleId="CommentText1">
    <w:name w:val="Comment Text1"/>
    <w:basedOn w:val="Normal"/>
    <w:next w:val="CommentText"/>
    <w:link w:val="CommentTextChar"/>
    <w:uiPriority w:val="99"/>
    <w:unhideWhenUsed/>
    <w:rsid w:val="00E9563D"/>
    <w:pPr>
      <w:spacing w:line="240" w:lineRule="auto"/>
    </w:pPr>
    <w:rPr>
      <w:rFonts w:eastAsiaTheme="minorHAnsi"/>
      <w:kern w:val="2"/>
      <w:sz w:val="20"/>
      <w:szCs w:val="20"/>
      <w:lang w:val="en-GB" w:eastAsia="en-US"/>
      <w14:ligatures w14:val="standardContextual"/>
    </w:rPr>
  </w:style>
  <w:style w:type="character" w:customStyle="1" w:styleId="CommentTextChar">
    <w:name w:val="Comment Text Char"/>
    <w:basedOn w:val="DefaultParagraphFont"/>
    <w:link w:val="CommentText1"/>
    <w:uiPriority w:val="99"/>
    <w:rsid w:val="00E9563D"/>
    <w:rPr>
      <w:rFonts w:ascii="Calibri" w:hAnsi="Calibri"/>
      <w:sz w:val="20"/>
      <w:szCs w:val="20"/>
    </w:rPr>
  </w:style>
  <w:style w:type="table" w:customStyle="1" w:styleId="TableGrid1">
    <w:name w:val="Table Grid1"/>
    <w:basedOn w:val="TableNormal"/>
    <w:next w:val="TableGrid"/>
    <w:uiPriority w:val="59"/>
    <w:rsid w:val="00E9563D"/>
    <w:pPr>
      <w:spacing w:after="0" w:line="240" w:lineRule="auto"/>
    </w:pPr>
    <w:rPr>
      <w:rFonts w:eastAsia="MS Mincho"/>
      <w:kern w:val="0"/>
      <w:sz w:val="24"/>
      <w:szCs w:val="24"/>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E9563D"/>
    <w:rPr>
      <w:color w:val="2B579A"/>
      <w:shd w:val="clear" w:color="auto" w:fill="E1DFDD"/>
    </w:rPr>
  </w:style>
  <w:style w:type="paragraph" w:styleId="CommentText">
    <w:name w:val="annotation text"/>
    <w:basedOn w:val="Normal"/>
    <w:link w:val="CommentTextChar1"/>
    <w:uiPriority w:val="99"/>
    <w:unhideWhenUsed/>
    <w:rsid w:val="00E9563D"/>
    <w:pPr>
      <w:spacing w:line="240" w:lineRule="auto"/>
    </w:pPr>
    <w:rPr>
      <w:sz w:val="20"/>
      <w:szCs w:val="20"/>
    </w:rPr>
  </w:style>
  <w:style w:type="character" w:customStyle="1" w:styleId="CommentTextChar1">
    <w:name w:val="Comment Text Char1"/>
    <w:basedOn w:val="DefaultParagraphFont"/>
    <w:link w:val="CommentText"/>
    <w:uiPriority w:val="99"/>
    <w:rsid w:val="00E9563D"/>
    <w:rPr>
      <w:rFonts w:ascii="Calibri" w:eastAsiaTheme="minorEastAsia" w:hAnsi="Calibri"/>
      <w:kern w:val="0"/>
      <w:sz w:val="20"/>
      <w:szCs w:val="20"/>
      <w:lang w:val="en-US" w:eastAsia="ja-JP"/>
      <w14:ligatures w14:val="none"/>
    </w:rPr>
  </w:style>
  <w:style w:type="table" w:styleId="TableGrid">
    <w:name w:val="Table Grid"/>
    <w:basedOn w:val="TableNormal"/>
    <w:uiPriority w:val="59"/>
    <w:rsid w:val="00E95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link w:val="BulletListChar"/>
    <w:qFormat/>
    <w:rsid w:val="00E9563D"/>
    <w:pPr>
      <w:numPr>
        <w:numId w:val="3"/>
      </w:numPr>
    </w:pPr>
  </w:style>
  <w:style w:type="character" w:customStyle="1" w:styleId="BulletListChar">
    <w:name w:val="Bullet List Char"/>
    <w:basedOn w:val="Heading1Char"/>
    <w:link w:val="BulletList"/>
    <w:rsid w:val="00E9563D"/>
    <w:rPr>
      <w:rFonts w:ascii="Calibri" w:eastAsiaTheme="minorEastAsia" w:hAnsi="Calibri" w:cstheme="majorBidi"/>
      <w:color w:val="2F5496" w:themeColor="accent1" w:themeShade="BF"/>
      <w:kern w:val="0"/>
      <w:sz w:val="32"/>
      <w:szCs w:val="24"/>
      <w:lang w:val="en-US" w:eastAsia="ja-JP"/>
      <w14:ligatures w14:val="none"/>
    </w:rPr>
  </w:style>
  <w:style w:type="paragraph" w:styleId="ListParagraph">
    <w:name w:val="List Paragraph"/>
    <w:basedOn w:val="Normal"/>
    <w:uiPriority w:val="34"/>
    <w:qFormat/>
    <w:rsid w:val="00E9563D"/>
    <w:pPr>
      <w:ind w:left="720"/>
      <w:contextualSpacing/>
    </w:pPr>
  </w:style>
  <w:style w:type="paragraph" w:styleId="CommentSubject">
    <w:name w:val="annotation subject"/>
    <w:basedOn w:val="CommentText"/>
    <w:next w:val="CommentText"/>
    <w:link w:val="CommentSubjectChar"/>
    <w:uiPriority w:val="99"/>
    <w:semiHidden/>
    <w:unhideWhenUsed/>
    <w:rsid w:val="00326682"/>
    <w:rPr>
      <w:b/>
      <w:bCs/>
    </w:rPr>
  </w:style>
  <w:style w:type="character" w:customStyle="1" w:styleId="CommentSubjectChar">
    <w:name w:val="Comment Subject Char"/>
    <w:basedOn w:val="CommentTextChar1"/>
    <w:link w:val="CommentSubject"/>
    <w:uiPriority w:val="99"/>
    <w:semiHidden/>
    <w:rsid w:val="00326682"/>
    <w:rPr>
      <w:rFonts w:ascii="Calibri" w:eastAsiaTheme="minorEastAsia" w:hAnsi="Calibri"/>
      <w:b/>
      <w:bCs/>
      <w:kern w:val="0"/>
      <w:sz w:val="20"/>
      <w:szCs w:val="20"/>
      <w:lang w:val="en-US" w:eastAsia="ja-JP"/>
      <w14:ligatures w14:val="none"/>
    </w:rPr>
  </w:style>
  <w:style w:type="character" w:styleId="Strong">
    <w:name w:val="Strong"/>
    <w:basedOn w:val="DefaultParagraphFont"/>
    <w:uiPriority w:val="22"/>
    <w:qFormat/>
    <w:rsid w:val="00326682"/>
    <w:rPr>
      <w:b/>
      <w:bCs/>
    </w:rPr>
  </w:style>
  <w:style w:type="character" w:styleId="Hyperlink">
    <w:name w:val="Hyperlink"/>
    <w:basedOn w:val="DefaultParagraphFont"/>
    <w:uiPriority w:val="99"/>
    <w:unhideWhenUsed/>
    <w:rsid w:val="00326682"/>
    <w:rPr>
      <w:color w:val="0000FF"/>
      <w:u w:val="single"/>
    </w:rPr>
  </w:style>
  <w:style w:type="character" w:styleId="FootnoteReference">
    <w:name w:val="footnote reference"/>
    <w:basedOn w:val="DefaultParagraphFont"/>
    <w:uiPriority w:val="99"/>
    <w:semiHidden/>
    <w:unhideWhenUsed/>
    <w:rsid w:val="00326682"/>
    <w:rPr>
      <w:vertAlign w:val="superscript"/>
    </w:rPr>
  </w:style>
  <w:style w:type="paragraph" w:styleId="Caption">
    <w:name w:val="caption"/>
    <w:basedOn w:val="Normal"/>
    <w:next w:val="Normal"/>
    <w:uiPriority w:val="35"/>
    <w:unhideWhenUsed/>
    <w:qFormat/>
    <w:rsid w:val="005E3211"/>
    <w:pPr>
      <w:spacing w:after="200" w:line="240" w:lineRule="auto"/>
    </w:pPr>
    <w:rPr>
      <w:i/>
      <w:iCs/>
      <w:color w:val="44546A" w:themeColor="text2"/>
      <w:sz w:val="18"/>
      <w:szCs w:val="18"/>
    </w:rPr>
  </w:style>
  <w:style w:type="paragraph" w:styleId="Revision">
    <w:name w:val="Revision"/>
    <w:hidden/>
    <w:uiPriority w:val="99"/>
    <w:semiHidden/>
    <w:rsid w:val="00D93C16"/>
    <w:pPr>
      <w:spacing w:after="0" w:line="240" w:lineRule="auto"/>
    </w:pPr>
    <w:rPr>
      <w:rFonts w:ascii="Calibri" w:eastAsiaTheme="minorEastAsia" w:hAnsi="Calibri"/>
      <w:kern w:val="0"/>
      <w:szCs w:val="24"/>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cmaj.ca/content/cmaj/suppl/2020/01/28/192.5.E107.DC1/190757-res-3-at.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58ED7E2ADE4AFF856961A1378EC579"/>
        <w:category>
          <w:name w:val="General"/>
          <w:gallery w:val="placeholder"/>
        </w:category>
        <w:types>
          <w:type w:val="bbPlcHdr"/>
        </w:types>
        <w:behaviors>
          <w:behavior w:val="content"/>
        </w:behaviors>
        <w:guid w:val="{5CFBFD5C-DEB0-458D-8D68-B1E0C1463D8D}"/>
      </w:docPartPr>
      <w:docPartBody>
        <w:p w:rsidR="00A544D8" w:rsidRDefault="00A544D8" w:rsidP="00A544D8">
          <w:pPr>
            <w:pStyle w:val="A858ED7E2ADE4AFF856961A1378EC579"/>
          </w:pPr>
          <w:r w:rsidRPr="0024325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D8"/>
    <w:rsid w:val="00184B84"/>
    <w:rsid w:val="001E413C"/>
    <w:rsid w:val="00237284"/>
    <w:rsid w:val="002C1066"/>
    <w:rsid w:val="004E7163"/>
    <w:rsid w:val="0065259B"/>
    <w:rsid w:val="0090515A"/>
    <w:rsid w:val="00905774"/>
    <w:rsid w:val="009924E7"/>
    <w:rsid w:val="00A544D8"/>
    <w:rsid w:val="00CD27AC"/>
    <w:rsid w:val="00F302CA"/>
    <w:rsid w:val="00F40A89"/>
    <w:rsid w:val="00F45E8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44D8"/>
    <w:rPr>
      <w:color w:val="808080"/>
    </w:rPr>
  </w:style>
  <w:style w:type="paragraph" w:customStyle="1" w:styleId="A858ED7E2ADE4AFF856961A1378EC579">
    <w:name w:val="A858ED7E2ADE4AFF856961A1378EC579"/>
    <w:rsid w:val="00A544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51351E4289604A90A20B55754D6725" ma:contentTypeVersion="29" ma:contentTypeDescription="Create a new document." ma:contentTypeScope="" ma:versionID="b5b5e26758a3cc471308012f58f769be">
  <xsd:schema xmlns:xsd="http://www.w3.org/2001/XMLSchema" xmlns:xs="http://www.w3.org/2001/XMLSchema" xmlns:p="http://schemas.microsoft.com/office/2006/metadata/properties" xmlns:ns2="b74f4d22-5719-4cc8-b868-eb10613834e4" xmlns:ns3="de9fab15-d7be-40d8-a32c-0dcc66cf05b5" targetNamespace="http://schemas.microsoft.com/office/2006/metadata/properties" ma:root="true" ma:fieldsID="1f04358dac5b7319e0cbfb7b48355631" ns2:_="" ns3:_="">
    <xsd:import namespace="b74f4d22-5719-4cc8-b868-eb10613834e4"/>
    <xsd:import namespace="de9fab15-d7be-40d8-a32c-0dcc66cf05b5"/>
    <xsd:element name="properties">
      <xsd:complexType>
        <xsd:sequence>
          <xsd:element name="documentManagement">
            <xsd:complexType>
              <xsd:all>
                <xsd:element ref="ns2:DocumentType"/>
                <xsd:element ref="ns2:Project" minOccurs="0"/>
                <xsd:element ref="ns2:Topic2" minOccurs="0"/>
                <xsd:element ref="ns2:Team" minOccurs="0"/>
                <xsd:element ref="ns2:DocumentStatus" minOccurs="0"/>
                <xsd:element ref="ns2:DocumentOwner" minOccurs="0"/>
                <xsd:element ref="ns2:RetainUntil" minOccurs="0"/>
                <xsd:element ref="ns2:Archive_x002f_Delete" minOccurs="0"/>
                <xsd:element ref="ns2:Not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element ref="ns2:Year" minOccurs="0"/>
                <xsd:element ref="ns2:Month" minOccurs="0"/>
                <xsd:element ref="ns2:DateofMeet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4f4d22-5719-4cc8-b868-eb10613834e4" elementFormDefault="qualified">
    <xsd:import namespace="http://schemas.microsoft.com/office/2006/documentManagement/types"/>
    <xsd:import namespace="http://schemas.microsoft.com/office/infopath/2007/PartnerControls"/>
    <xsd:element name="DocumentType" ma:index="2" ma:displayName="Document Type" ma:format="Dropdown" ma:internalName="DocumentType">
      <xsd:simpleType>
        <xsd:restriction base="dms:Choice">
          <xsd:enumeration value="Abstract"/>
          <xsd:enumeration value="Accessibility"/>
          <xsd:enumeration value="Action Log"/>
          <xsd:enumeration value="Agenda"/>
          <xsd:enumeration value="Analysis"/>
          <xsd:enumeration value="Analytics"/>
          <xsd:enumeration value="Assessment"/>
          <xsd:enumeration value="Background/Scoping"/>
          <xsd:enumeration value="BET - Business Executive Team - General"/>
          <xsd:enumeration value="BST General Sensitive"/>
          <xsd:enumeration value="Brainstorming"/>
          <xsd:enumeration value="Breakout"/>
          <xsd:enumeration value="Business Case"/>
          <xsd:enumeration value="Capacity Log"/>
          <xsd:enumeration value="CLA"/>
          <xsd:enumeration value="Conference Presentation"/>
          <xsd:enumeration value="Conference Presentations and Pc"/>
          <xsd:enumeration value="Contract and Agreements"/>
          <xsd:enumeration value="Copyright"/>
          <xsd:enumeration value="Correspondence"/>
          <xsd:enumeration value="Critical Appraisal"/>
          <xsd:enumeration value="Critical Appraisal Checklists"/>
          <xsd:enumeration value="Current Awareness"/>
          <xsd:enumeration value="Current Awareness Bulletin"/>
          <xsd:enumeration value="Data"/>
          <xsd:enumeration value="Data Extraction"/>
          <xsd:enumeration value="Data Protection Impact Assessment"/>
          <xsd:enumeration value="Data Sharing Agreement"/>
          <xsd:enumeration value="Database Guide"/>
          <xsd:enumeration value="Databases"/>
          <xsd:enumeration value="Distribution Contact List"/>
          <xsd:enumeration value="Document Supply"/>
          <xsd:enumeration value="E-Books"/>
          <xsd:enumeration value="Evidence Grading Schemes"/>
          <xsd:enumeration value="External Training"/>
          <xsd:enumeration value="Factsheet"/>
          <xsd:enumeration value="Feasibility Assessment"/>
          <xsd:enumeration value="Finance"/>
          <xsd:enumeration value="Finance - Bank Statements Sensitive"/>
          <xsd:enumeration value="Finance - General Sensitive"/>
          <xsd:enumeration value="Finance - Report Sensitive"/>
          <xsd:enumeration value="Finance - Sensitive - Agreement"/>
          <xsd:enumeration value="Full Text PDFs"/>
          <xsd:enumeration value="Full Text Word.Doc."/>
          <xsd:enumeration value="General"/>
          <xsd:enumeration value="General Enquiries"/>
          <xsd:enumeration value="GRADE"/>
          <xsd:enumeration value="Guidance"/>
          <xsd:enumeration value="Horizon Scanning"/>
          <xsd:enumeration value="HR - General Sensitive"/>
          <xsd:enumeration value="Iain Bell - General Sensitive"/>
          <xsd:enumeration value="Induction Page"/>
          <xsd:enumeration value="Internal Training"/>
          <xsd:enumeration value="Impact Assessment"/>
          <xsd:enumeration value="Infographic"/>
          <xsd:enumeration value="Job Description - Sensitive"/>
          <xsd:enumeration value="Job Descriptions"/>
          <xsd:enumeration value="Journal Subscriptions"/>
          <xsd:enumeration value="Journals"/>
          <xsd:enumeration value="Library Collections"/>
          <xsd:enumeration value="Library Page"/>
          <xsd:enumeration value="Library Searches"/>
          <xsd:enumeration value="Licenses"/>
          <xsd:enumeration value="Marketing"/>
          <xsd:enumeration value="Methodology"/>
          <xsd:enumeration value="Minutes"/>
          <xsd:enumeration value="Minutes - AGM"/>
          <xsd:enumeration value="Minutes - Executive Board"/>
          <xsd:enumeration value="New Starter"/>
          <xsd:enumeration value="Newsletter"/>
          <xsd:enumeration value="Occupational Health Form Template"/>
          <xsd:enumeration value="Peer Review"/>
          <xsd:enumeration value="PHW ISBN"/>
          <xsd:enumeration value="Poll"/>
          <xsd:enumeration value="Pre - Meeting"/>
          <xsd:enumeration value="Presentation"/>
          <xsd:enumeration value="Procedure"/>
          <xsd:enumeration value="Process"/>
          <xsd:enumeration value="Project Plans"/>
          <xsd:enumeration value="Protocol"/>
          <xsd:enumeration value="Recording - mp3"/>
          <xsd:enumeration value="Reading Lists"/>
          <xsd:enumeration value="Reference Guides"/>
          <xsd:enumeration value="Reference Management"/>
          <xsd:enumeration value="Reflections"/>
          <xsd:enumeration value="Report"/>
          <xsd:enumeration value="Request"/>
          <xsd:enumeration value="Review"/>
          <xsd:enumeration value="Review Support Guide"/>
          <xsd:enumeration value="Risk Assessment"/>
          <xsd:enumeration value="Risk Review"/>
          <xsd:enumeration value="RSS Feeds"/>
          <xsd:enumeration value="Scoping/Background"/>
          <xsd:enumeration value="Screening"/>
          <xsd:enumeration value="Searching"/>
          <xsd:enumeration value="SOP"/>
          <xsd:enumeration value="Staff Publications"/>
          <xsd:enumeration value="Strategy / Vision document"/>
          <xsd:enumeration value="Study"/>
          <xsd:enumeration value="Survey"/>
          <xsd:enumeration value="T&amp;T Page"/>
          <xsd:enumeration value="Team Information"/>
          <xsd:enumeration value="Template"/>
          <xsd:enumeration value="Timetable"/>
          <xsd:enumeration value="TOC"/>
          <xsd:enumeration value="ToR"/>
          <xsd:enumeration value="Training"/>
          <xsd:enumeration value="Tweets"/>
          <xsd:enumeration value="Update"/>
          <xsd:enumeration value="Work Stream"/>
          <xsd:enumeration value="PHDKR DLT Agenda"/>
          <xsd:enumeration value="eXcel"/>
        </xsd:restriction>
      </xsd:simpleType>
    </xsd:element>
    <xsd:element name="Project" ma:index="3" nillable="true" ma:displayName="Project" ma:format="Dropdown" ma:internalName="Project">
      <xsd:complexType>
        <xsd:complexContent>
          <xsd:extension base="dms:MultiChoice">
            <xsd:sequence>
              <xsd:element name="Value" maxOccurs="unbounded" minOccurs="0" nillable="true">
                <xsd:simpleType>
                  <xsd:restriction base="dms:Choice">
                    <xsd:enumeration value="Accessibility"/>
                    <xsd:enumeration value="Active"/>
                    <xsd:enumeration value="Active Travel"/>
                    <xsd:enumeration value="Active Travel: Topic Evidence Summary"/>
                    <xsd:enumeration value="Ad-hoc Requests"/>
                    <xsd:enumeration value="Adult Immunisation: Evidence Map"/>
                    <xsd:enumeration value="AI in Diagnostics: Rapid Review"/>
                    <xsd:enumeration value="Alcohol: Evidence Map"/>
                    <xsd:enumeration value="Artificial Intelligence: Agile Scope"/>
                    <xsd:enumeration value="Azure"/>
                    <xsd:enumeration value="Cancer Incidence"/>
                    <xsd:enumeration value="Cancer Mortality"/>
                    <xsd:enumeration value="Cancer Screening Uptake: Rapid Review"/>
                    <xsd:enumeration value="Cancer Survival"/>
                    <xsd:enumeration value="CARIS"/>
                    <xsd:enumeration value="CDoH Evidence Review"/>
                    <xsd:enumeration value="CDR"/>
                    <xsd:enumeration value="CDR / RTSSS"/>
                    <xsd:enumeration value="Child Measurement and Austerity: Scoping Search"/>
                    <xsd:enumeration value="Childhood Vaccination: Evidence Map"/>
                    <xsd:enumeration value="Climate change &amp; flooding: agile scope"/>
                    <xsd:enumeration value="Colospect"/>
                    <xsd:enumeration value="Cost of Living Crisis"/>
                    <xsd:enumeration value="COVID 19 Risk Factors: Rapid Summary"/>
                    <xsd:enumeration value="COVID 19 Staff Mental Health: Rapid Review"/>
                    <xsd:enumeration value="COVID 19 Wait Times Before Driving After Vaccine: Rapid Summary"/>
                    <xsd:enumeration value="Current Awareness"/>
                    <xsd:enumeration value="CTR"/>
                    <xsd:enumeration value="Decaffeinated drinks evidence work"/>
                    <xsd:enumeration value="Digital diabetes prevention brief scope"/>
                    <xsd:enumeration value="Digital Health Inequalities: Scoping Review"/>
                    <xsd:enumeration value="Digital map development"/>
                    <xsd:enumeration value="Diabetes Health Beliefs"/>
                    <xsd:enumeration value="Dissemination"/>
                    <xsd:enumeration value="End of Life Care: Agile Scope"/>
                    <xsd:enumeration value="Evidence Review Community of Practice"/>
                    <xsd:enumeration value="Forward Look"/>
                    <xsd:enumeration value="Generic Inbox"/>
                    <xsd:enumeration value="Guidance"/>
                    <xsd:enumeration value="Health Visitors: Agile Scope"/>
                    <xsd:enumeration value="HIV testing agile scope"/>
                    <xsd:enumeration value="Hypertension: Evidence Map"/>
                    <xsd:enumeration value="Impact Framework"/>
                    <xsd:enumeration value="Implementation Challenges in Public Health"/>
                    <xsd:enumeration value="Inequalities in Access to Healthcare: Agile Scope"/>
                    <xsd:enumeration value="Infection Control in Schools: Rapid Review"/>
                    <xsd:enumeration value="Induction"/>
                    <xsd:enumeration value="Innovations to Support Patients on Waiting Lists: Rapid Review"/>
                    <xsd:enumeration value="Internet"/>
                    <xsd:enumeration value="Intranet"/>
                    <xsd:enumeration value="Knowledge Mobilisation Strategy"/>
                    <xsd:enumeration value="Library"/>
                    <xsd:enumeration value="Library Management"/>
                    <xsd:enumeration value="Library Products"/>
                    <xsd:enumeration value="Library Support"/>
                    <xsd:enumeration value="Local and National Planning: Scoping Review"/>
                    <xsd:enumeration value="Loneliness: Evidence Map"/>
                    <xsd:enumeration value="Mass Unemployment Events: Rapid Review"/>
                    <xsd:enumeration value="Mass Vaccination: Rapid Summary"/>
                    <xsd:enumeration value="Mental Health Inequalities: Agile Scope"/>
                    <xsd:enumeration value="Mental Wellbeing Adults: Evidence Map"/>
                    <xsd:enumeration value="Mental Wellbeing CYP: Evidence Map"/>
                    <xsd:enumeration value="Mental Wellbeing: Umbrella Review"/>
                    <xsd:enumeration value="Monkeypox Transmission: Agile Scope"/>
                    <xsd:enumeration value="Moondance"/>
                    <xsd:enumeration value="NDL"/>
                    <xsd:enumeration value="Neural Tube Defects: Agile Scope"/>
                    <xsd:enumeration value="NMSC Agile Scope"/>
                    <xsd:enumeration value="Obesity Update"/>
                    <xsd:enumeration value="Obesity Update: Agile Scope"/>
                    <xsd:enumeration value="Obesity in Wales - 2018"/>
                    <xsd:enumeration value="Obesity Update: Review of Reviews"/>
                    <xsd:enumeration value="People &amp; Organisational Development"/>
                    <xsd:enumeration value="Personal Protective Behaviours: Rapid Review"/>
                    <xsd:enumeration value="Physical Activity: Evidence Map"/>
                    <xsd:enumeration value="PHOF"/>
                    <xsd:enumeration value="PHW LTS Organisational Culture"/>
                    <xsd:enumeration value="Prehab TES"/>
                    <xsd:enumeration value="Prehabilitation: Agile Scope"/>
                    <xsd:enumeration value="Prehabilitation: Smoking and BMI agile scope"/>
                    <xsd:enumeration value="Primary and community care"/>
                    <xsd:enumeration value="Primary care health inequalities"/>
                    <xsd:enumeration value="Private Water Supplies: Agile Scope"/>
                    <xsd:enumeration value="Proportionate Universalism: Agile Scope"/>
                    <xsd:enumeration value="Publication Standards"/>
                    <xsd:enumeration value="Quality management: Update search 2022"/>
                    <xsd:enumeration value="Rapid Overview Dashboard"/>
                    <xsd:enumeration value="Recruitment"/>
                    <xsd:enumeration value="Resource Library"/>
                    <xsd:enumeration value="Risk And Protective Factors For Smoking: Agile Scope"/>
                    <xsd:enumeration value="RTSSS"/>
                    <xsd:enumeration value="RTSSS Alpha"/>
                    <xsd:enumeration value="RTSSS Annual Report"/>
                    <xsd:enumeration value="Self-Isolation: Rapid Summary"/>
                    <xsd:enumeration value="SharePoint Transition"/>
                    <xsd:enumeration value="Smoking Cessation: Evidence Map"/>
                    <xsd:enumeration value="Smoking in Wales - 2019"/>
                    <xsd:enumeration value="Smoking Prevention: Evidence Map"/>
                    <xsd:enumeration value="Choice Smoking Prevention: Evidence Map84"/>
                    <xsd:enumeration value="(SO) - BST Operational"/>
                    <xsd:enumeration value="(SOP) -BST Operational"/>
                    <xsd:enumeration value="Speed Limit"/>
                    <xsd:enumeration value="State Of The Nation"/>
                    <xsd:enumeration value="Substance Misuse: Evidence Map"/>
                    <xsd:enumeration value="Successful Weight Loss: Scoping Search Report"/>
                    <xsd:enumeration value="Suicide: Evidence Map"/>
                    <xsd:enumeration value="Surgical Backlog: Rapid Review"/>
                    <xsd:enumeration value="Surgical hubs: Rapid Review"/>
                    <xsd:enumeration value="TB economic analysis"/>
                    <xsd:enumeration value="Training"/>
                    <xsd:enumeration value="Twitter"/>
                    <xsd:enumeration value="UKIACR"/>
                    <xsd:enumeration value="Universal Access To Assessment Of Need: Agile Scope"/>
                    <xsd:enumeration value="Universal Basic Income: Mapping Report"/>
                    <xsd:enumeration value="Universal Free School Meals: Agile Scope"/>
                    <xsd:enumeration value="User Personas"/>
                    <xsd:enumeration value="Vaccination Uptake Equity: Rapid Review"/>
                    <xsd:enumeration value="WCISU"/>
                    <xsd:enumeration value="WDoH prioritisation work"/>
                    <xsd:enumeration value="Weight loss drugs agile scope"/>
                    <xsd:enumeration value="Welsh Language"/>
                    <xsd:enumeration value="Substance misuse prisons review"/>
                  </xsd:restriction>
                </xsd:simpleType>
              </xsd:element>
            </xsd:sequence>
          </xsd:extension>
        </xsd:complexContent>
      </xsd:complexType>
    </xsd:element>
    <xsd:element name="Topic2" ma:index="4" nillable="true" ma:displayName="Topic" ma:format="Dropdown" ma:internalName="Topic2">
      <xsd:simpleType>
        <xsd:restriction base="dms:Choice">
          <xsd:enumeration value="Accessibility"/>
          <xsd:enumeration value="Annual Survey"/>
          <xsd:enumeration value="Azure Services"/>
          <xsd:enumeration value="Bids and Collaboration"/>
          <xsd:enumeration value="Bowel Screening Wales"/>
          <xsd:enumeration value="Burden of Disease"/>
          <xsd:enumeration value="Business Continuity Services"/>
          <xsd:enumeration value="Business Papers"/>
          <xsd:enumeration value="Cancer Services"/>
          <xsd:enumeration value="CARIS"/>
          <xsd:enumeration value="CARIS Child Measurement Programme Children and Younger People"/>
          <xsd:enumeration value="CEV"/>
          <xsd:enumeration value="Child Death"/>
          <xsd:enumeration value="Children and Younger People Data Dissemination"/>
          <xsd:enumeration value="Circulatory Diseases"/>
          <xsd:enumeration value="Comms"/>
          <xsd:enumeration value="Community &amp; Practice"/>
          <xsd:enumeration value="Contact List"/>
          <xsd:enumeration value="CYPMH"/>
          <xsd:enumeration value="Data Dissemination"/>
          <xsd:enumeration value="Data Science"/>
          <xsd:enumeration value="De Monthly Update"/>
          <xsd:enumeration value="Deprivation, Equality, Diversity, Inclusive"/>
          <xsd:enumeration value="DESW Demand and Capacity Modelling"/>
          <xsd:enumeration value="Diabetes"/>
          <xsd:enumeration value="Digital Platform Services"/>
          <xsd:enumeration value="Directorate Huddle"/>
          <xsd:enumeration value="DLT"/>
          <xsd:enumeration value="Drowning"/>
          <xsd:enumeration value="EOYR"/>
          <xsd:enumeration value="Evidence Review Support"/>
          <xsd:enumeration value="Governance"/>
          <xsd:enumeration value="HCRW Faculty Awards"/>
          <xsd:enumeration value="Harmful Health Behaviours"/>
          <xsd:enumeration value="Healthy Behaviours"/>
          <xsd:enumeration value="Housing and Health"/>
          <xsd:enumeration value="Impact Framework"/>
          <xsd:enumeration value="Impact Monitoring"/>
          <xsd:enumeration value="Inequalities"/>
          <xsd:enumeration value="Information Services"/>
          <xsd:enumeration value="Intermediate Care"/>
          <xsd:enumeration value="Journal Club"/>
          <xsd:enumeration value="Mental Health Services"/>
          <xsd:enumeration value="Methods Note"/>
          <xsd:enumeration value="Mortality"/>
          <xsd:enumeration value="Musculoskeletal"/>
          <xsd:enumeration value="NMSC Agile Scope"/>
          <xsd:enumeration value="Obesity"/>
          <xsd:enumeration value="PHW Microbiology Support Services"/>
          <xsd:enumeration value="Primary Care Cluster Profile"/>
          <xsd:enumeration value="R&amp;E Conference"/>
          <xsd:enumeration value="R&amp;D Guidance"/>
          <xsd:enumeration value="R&amp;E Forum"/>
          <xsd:enumeration value="R&amp;D Office"/>
          <xsd:enumeration value="R&amp;E Strategic Oversight Leadership Group"/>
          <xsd:enumeration value="Recruitment"/>
          <xsd:enumeration value="Respiratory Diseases"/>
          <xsd:enumeration value="SharePoint Transition"/>
          <xsd:enumeration value="Show and Tells"/>
          <xsd:enumeration value="Smoking"/>
          <xsd:enumeration value="Suicide"/>
          <xsd:enumeration value="Tuberculosis"/>
          <xsd:enumeration value="Unpaid Carers"/>
          <xsd:enumeration value="Welsh Language"/>
          <xsd:enumeration value="R&amp;D Governance"/>
        </xsd:restriction>
      </xsd:simpleType>
    </xsd:element>
    <xsd:element name="Team" ma:index="5" nillable="true" ma:displayName="Team" ma:format="Dropdown" ma:internalName="Team" ma:requiredMultiChoice="true">
      <xsd:complexType>
        <xsd:complexContent>
          <xsd:extension base="dms:MultiChoice">
            <xsd:sequence>
              <xsd:element name="Value" maxOccurs="unbounded" minOccurs="0" nillable="true">
                <xsd:simpleType>
                  <xsd:restriction base="dms:Choice">
                    <xsd:enumeration value="Business Support"/>
                    <xsd:enumeration value="Business Operational Team"/>
                    <xsd:enumeration value="CARIS"/>
                    <xsd:enumeration value="CDR"/>
                    <xsd:enumeration value="CMP"/>
                    <xsd:enumeration value="CST"/>
                    <xsd:enumeration value="Cymraeg / Welsh"/>
                    <xsd:enumeration value="Data Digital Experience and Services Informatics"/>
                    <xsd:enumeration value="Data Engineering"/>
                    <xsd:enumeration value="Data Science"/>
                    <xsd:enumeration value="Evaluation"/>
                    <xsd:enumeration value="Evidence Service"/>
                    <xsd:enumeration value="Knowledge Mobilistation"/>
                    <xsd:enumeration value="OCAT"/>
                    <xsd:enumeration value="Product"/>
                    <xsd:enumeration value="Research"/>
                    <xsd:enumeration value="RTSSS"/>
                    <xsd:enumeration value="WCISU"/>
                    <xsd:enumeration value="Welsh Paediatric Surveillance Unit"/>
                    <xsd:enumeration value="People &amp; OD"/>
                    <xsd:enumeration value="Finance"/>
                    <xsd:enumeration value="Communications"/>
                    <xsd:enumeration value="DLT"/>
                  </xsd:restriction>
                </xsd:simpleType>
              </xsd:element>
            </xsd:sequence>
          </xsd:extension>
        </xsd:complexContent>
      </xsd:complexType>
    </xsd:element>
    <xsd:element name="DocumentStatus" ma:index="6" nillable="true" ma:displayName="Document Status" ma:format="Dropdown" ma:internalName="DocumentStatus">
      <xsd:complexType>
        <xsd:complexContent>
          <xsd:extension base="dms:MultiChoice">
            <xsd:sequence>
              <xsd:element name="Value" maxOccurs="unbounded" minOccurs="0" nillable="true">
                <xsd:simpleType>
                  <xsd:restriction base="dms:Choice">
                    <xsd:enumeration value="Quality Controlled"/>
                    <xsd:enumeration value="In Progress"/>
                    <xsd:enumeration value="Approved"/>
                    <xsd:enumeration value="Archive"/>
                    <xsd:enumeration value="Std.Draft"/>
                    <xsd:enumeration value="Mtg. Cancelled"/>
                  </xsd:restriction>
                </xsd:simpleType>
              </xsd:element>
            </xsd:sequence>
          </xsd:extension>
        </xsd:complexContent>
      </xsd:complexType>
    </xsd:element>
    <xsd:element name="DocumentOwner" ma:index="7" nillable="true" ma:displayName="Document Owner" ma:format="Dropdown" ma:list="UserInfo" ma:SharePointGroup="0" ma:internalName="DocumentOwner"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tainUntil" ma:index="8" nillable="true" ma:displayName="Retain Until" ma:description="The date until when the document must be retained " ma:format="DateOnly" ma:internalName="RetainUntil" ma:readOnly="false">
      <xsd:simpleType>
        <xsd:restriction base="dms:DateTime"/>
      </xsd:simpleType>
    </xsd:element>
    <xsd:element name="Archive_x002f_Delete" ma:index="9" nillable="true" ma:displayName="Archive/Delete" ma:description="Final cycle record movement" ma:format="Dropdown" ma:internalName="Archive_x002f_Delete">
      <xsd:simpleType>
        <xsd:restriction base="dms:Choice">
          <xsd:enumeration value="Preserve - to EDRMS SharePoint"/>
          <xsd:enumeration value="TBC - to be confirmed"/>
          <xsd:enumeration value="Archive - yes"/>
          <xsd:enumeration value="Archive - no"/>
          <xsd:enumeration value="Delete - yes"/>
          <xsd:enumeration value="Delete - no"/>
        </xsd:restriction>
      </xsd:simpleType>
    </xsd:element>
    <xsd:element name="Notes" ma:index="10" nillable="true" ma:displayName="Notes" ma:format="Dropdown" ma:internalName="Notes" ma:readOnly="false">
      <xsd:simpleType>
        <xsd:restriction base="dms:Text">
          <xsd:maxLength value="255"/>
        </xsd:restrictio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efaef41-70dc-4075-804e-d4e4dbdaeee0" ma:termSetId="09814cd3-568e-fe90-9814-8d621ff8fb84" ma:anchorId="fba54fb3-c3e1-fe81-a776-ca4b69148c4d" ma:open="true" ma:isKeyword="false">
      <xsd:complexType>
        <xsd:sequence>
          <xsd:element ref="pc:Terms" minOccurs="0" maxOccurs="1"/>
        </xsd:sequence>
      </xsd:complexType>
    </xsd:element>
    <xsd:element name="MediaServiceOCR" ma:index="25" nillable="true" ma:displayName="Extracted Text" ma:hidden="true" ma:internalName="MediaServiceOCR" ma:readOnly="true">
      <xsd:simpleType>
        <xsd:restriction base="dms:Note"/>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Year" ma:index="31" nillable="true" ma:displayName="Financial Year" ma:format="Dropdown" ma:internalName="Year">
      <xsd:simpleType>
        <xsd:restriction base="dms:Choice">
          <xsd:enumeration value="2023/24"/>
          <xsd:enumeration value="2024/25"/>
          <xsd:enumeration value="2025/26"/>
          <xsd:enumeration value="2026/27"/>
          <xsd:enumeration value="2027/28"/>
          <xsd:enumeration value="2028/29"/>
          <xsd:enumeration value="2029/30"/>
        </xsd:restriction>
      </xsd:simpleType>
    </xsd:element>
    <xsd:element name="Month" ma:index="32" nillable="true" ma:displayName="Month" ma:default="January" ma:format="Dropdown" ma:internalName="Month">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DateofMeeting" ma:index="33" nillable="true" ma:displayName="Date of Meeting" ma:format="DateOnly" ma:internalName="DateofMeeting">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e9fab15-d7be-40d8-a32c-0dcc66cf05b5"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4" nillable="true" ma:displayName="Taxonomy Catch All Column" ma:hidden="true" ma:list="{496d3a8e-50fe-4fe7-ab21-ffc995f1ca55}" ma:internalName="TaxCatchAll" ma:readOnly="false" ma:showField="CatchAllData" ma:web="de9fab15-d7be-40d8-a32c-0dcc66cf05b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74f4d22-5719-4cc8-b868-eb10613834e4">
      <Terms xmlns="http://schemas.microsoft.com/office/infopath/2007/PartnerControls"/>
    </lcf76f155ced4ddcb4097134ff3c332f>
    <Month xmlns="b74f4d22-5719-4cc8-b868-eb10613834e4">January</Month>
    <Notes xmlns="b74f4d22-5719-4cc8-b868-eb10613834e4" xsi:nil="true"/>
    <DateofMeeting xmlns="b74f4d22-5719-4cc8-b868-eb10613834e4" xsi:nil="true"/>
    <Project xmlns="b74f4d22-5719-4cc8-b868-eb10613834e4">
      <Value>NDL</Value>
    </Project>
    <DocumentType xmlns="b74f4d22-5719-4cc8-b868-eb10613834e4">Methodology</DocumentType>
    <DocumentStatus xmlns="b74f4d22-5719-4cc8-b868-eb10613834e4" xsi:nil="true"/>
    <RetainUntil xmlns="b74f4d22-5719-4cc8-b868-eb10613834e4" xsi:nil="true"/>
    <Year xmlns="b74f4d22-5719-4cc8-b868-eb10613834e4" xsi:nil="true"/>
    <DocumentOwner xmlns="b74f4d22-5719-4cc8-b868-eb10613834e4">
      <UserInfo>
        <DisplayName/>
        <AccountId xsi:nil="true"/>
        <AccountType/>
      </UserInfo>
    </DocumentOwner>
    <Topic2 xmlns="b74f4d22-5719-4cc8-b868-eb10613834e4">Intermediate Care</Topic2>
    <TaxCatchAll xmlns="de9fab15-d7be-40d8-a32c-0dcc66cf05b5" xsi:nil="true"/>
    <Team xmlns="b74f4d22-5719-4cc8-b868-eb10613834e4">
      <Value>Research</Value>
    </Team>
    <Archive_x002f_Delete xmlns="b74f4d22-5719-4cc8-b868-eb10613834e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1C8BB-DE8B-421D-BC74-94F78173C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4f4d22-5719-4cc8-b868-eb10613834e4"/>
    <ds:schemaRef ds:uri="de9fab15-d7be-40d8-a32c-0dcc66cf05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B63EA-3636-4F5C-BCA7-448092E21C32}">
  <ds:schemaRefs>
    <ds:schemaRef ds:uri="http://schemas.microsoft.com/sharepoint/v3/contenttype/forms"/>
  </ds:schemaRefs>
</ds:datastoreItem>
</file>

<file path=customXml/itemProps3.xml><?xml version="1.0" encoding="utf-8"?>
<ds:datastoreItem xmlns:ds="http://schemas.openxmlformats.org/officeDocument/2006/customXml" ds:itemID="{92F91F56-29A0-4A5C-B49B-906998505ADE}">
  <ds:schemaRefs>
    <ds:schemaRef ds:uri="http://www.w3.org/XML/1998/namespace"/>
    <ds:schemaRef ds:uri="http://purl.org/dc/elements/1.1/"/>
    <ds:schemaRef ds:uri="b74f4d22-5719-4cc8-b868-eb10613834e4"/>
    <ds:schemaRef ds:uri="http://schemas.microsoft.com/office/infopath/2007/PartnerControls"/>
    <ds:schemaRef ds:uri="http://schemas.microsoft.com/office/2006/documentManagement/types"/>
    <ds:schemaRef ds:uri="http://purl.org/dc/terms/"/>
    <ds:schemaRef ds:uri="http://schemas.microsoft.com/office/2006/metadata/properties"/>
    <ds:schemaRef ds:uri="http://schemas.openxmlformats.org/package/2006/metadata/core-properties"/>
    <ds:schemaRef ds:uri="de9fab15-d7be-40d8-a32c-0dcc66cf05b5"/>
    <ds:schemaRef ds:uri="http://purl.org/dc/dcmitype/"/>
  </ds:schemaRefs>
</ds:datastoreItem>
</file>

<file path=customXml/itemProps4.xml><?xml version="1.0" encoding="utf-8"?>
<ds:datastoreItem xmlns:ds="http://schemas.openxmlformats.org/officeDocument/2006/customXml" ds:itemID="{6E0ACB08-DAAC-4EFE-B738-CBAB259D4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6425</Words>
  <Characters>36627</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Public Health Wales</Company>
  <LinksUpToDate>false</LinksUpToDate>
  <CharactersWithSpaces>42967</CharactersWithSpaces>
  <SharedDoc>false</SharedDoc>
  <HLinks>
    <vt:vector size="12" baseType="variant">
      <vt:variant>
        <vt:i4>4587536</vt:i4>
      </vt:variant>
      <vt:variant>
        <vt:i4>30</vt:i4>
      </vt:variant>
      <vt:variant>
        <vt:i4>0</vt:i4>
      </vt:variant>
      <vt:variant>
        <vt:i4>5</vt:i4>
      </vt:variant>
      <vt:variant>
        <vt:lpwstr>https://www.cmaj.ca/content/cmaj/suppl/2020/01/28/192.5.E107.DC1/190757-res-3-at.pdf</vt:lpwstr>
      </vt:variant>
      <vt:variant>
        <vt:lpwstr/>
      </vt:variant>
      <vt:variant>
        <vt:i4>3211290</vt:i4>
      </vt:variant>
      <vt:variant>
        <vt:i4>0</vt:i4>
      </vt:variant>
      <vt:variant>
        <vt:i4>0</vt:i4>
      </vt:variant>
      <vt:variant>
        <vt:i4>5</vt:i4>
      </vt:variant>
      <vt:variant>
        <vt:lpwstr>mailto:Giles.Greene@wales.nhs.uk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Bentley  (Public Health Wales - No. 2 Capital Quarter)</dc:creator>
  <cp:keywords/>
  <dc:description/>
  <cp:lastModifiedBy>Laura Bentley  (Public Health Wales - No. 2 Capital Quarter)</cp:lastModifiedBy>
  <cp:revision>3</cp:revision>
  <dcterms:created xsi:type="dcterms:W3CDTF">2024-11-18T11:42:00Z</dcterms:created>
  <dcterms:modified xsi:type="dcterms:W3CDTF">2024-11-18T11:48:00Z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50d516ec-038a-3431-a24b-7b4ee7e0e015</vt:lpwstr>
  </property>
  <property fmtid="{D5CDD505-2E9C-101B-9397-08002B2CF9AE}" pid="4" name="Mendeley Citation Style_1">
    <vt:lpwstr>http://www.zotero.org/styles/vancouver</vt:lpwstr>
  </property>
  <property fmtid="{D5CDD505-2E9C-101B-9397-08002B2CF9AE}" pid="5" name="ContentTypeId">
    <vt:lpwstr>0x0101007951351E4289604A90A20B55754D6725</vt:lpwstr>
  </property>
  <property fmtid="{D5CDD505-2E9C-101B-9397-08002B2CF9AE}" pid="6" name="MediaServiceImageTags">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http://www.zotero.org/styles/american-sociological-association</vt:lpwstr>
  </property>
  <property fmtid="{D5CDD505-2E9C-101B-9397-08002B2CF9AE}" pid="12" name="Mendeley Recent Style Name 2_1">
    <vt:lpwstr>American Sociological Association 6th edition</vt:lpwstr>
  </property>
  <property fmtid="{D5CDD505-2E9C-101B-9397-08002B2CF9AE}" pid="13" name="Mendeley Recent Style Id 3_1">
    <vt:lpwstr>http://www.zotero.org/styles/chicago-author-date</vt:lpwstr>
  </property>
  <property fmtid="{D5CDD505-2E9C-101B-9397-08002B2CF9AE}" pid="14" name="Mendeley Recent Style Name 3_1">
    <vt:lpwstr>Chicago Manual of Style 17th edition (author-date)</vt:lpwstr>
  </property>
  <property fmtid="{D5CDD505-2E9C-101B-9397-08002B2CF9AE}" pid="15" name="Mendeley Recent Style Id 4_1">
    <vt:lpwstr>http://www.zotero.org/styles/harvard-cite-them-right</vt:lpwstr>
  </property>
  <property fmtid="{D5CDD505-2E9C-101B-9397-08002B2CF9AE}" pid="16" name="Mendeley Recent Style Name 4_1">
    <vt:lpwstr>Cite Them Right 11th edition - Harvard</vt:lpwstr>
  </property>
  <property fmtid="{D5CDD505-2E9C-101B-9397-08002B2CF9AE}" pid="17" name="Mendeley Recent Style Id 5_1">
    <vt:lpwstr>http://www.zotero.org/styles/ieee</vt:lpwstr>
  </property>
  <property fmtid="{D5CDD505-2E9C-101B-9397-08002B2CF9AE}" pid="18" name="Mendeley Recent Style Name 5_1">
    <vt:lpwstr>IEEE</vt:lpwstr>
  </property>
  <property fmtid="{D5CDD505-2E9C-101B-9397-08002B2CF9AE}" pid="19" name="Mendeley Recent Style Id 6_1">
    <vt:lpwstr>http://www.zotero.org/styles/modern-humanities-research-association</vt:lpwstr>
  </property>
  <property fmtid="{D5CDD505-2E9C-101B-9397-08002B2CF9AE}" pid="20" name="Mendeley Recent Style Name 6_1">
    <vt:lpwstr>Modern Humanities Research Association 3rd edition (note with bibliography)</vt:lpwstr>
  </property>
  <property fmtid="{D5CDD505-2E9C-101B-9397-08002B2CF9AE}" pid="21" name="Mendeley Recent Style Id 7_1">
    <vt:lpwstr>http://www.zotero.org/styles/modern-language-association</vt:lpwstr>
  </property>
  <property fmtid="{D5CDD505-2E9C-101B-9397-08002B2CF9AE}" pid="22" name="Mendeley Recent Style Name 7_1">
    <vt:lpwstr>Modern Language Association 9th edition</vt:lpwstr>
  </property>
  <property fmtid="{D5CDD505-2E9C-101B-9397-08002B2CF9AE}" pid="23" name="Mendeley Recent Style Id 8_1">
    <vt:lpwstr>http://www.zotero.org/styles/nature</vt:lpwstr>
  </property>
  <property fmtid="{D5CDD505-2E9C-101B-9397-08002B2CF9AE}" pid="24" name="Mendeley Recent Style Name 8_1">
    <vt:lpwstr>Nature</vt:lpwstr>
  </property>
  <property fmtid="{D5CDD505-2E9C-101B-9397-08002B2CF9AE}" pid="25" name="Mendeley Recent Style Id 9_1">
    <vt:lpwstr>http://www.zotero.org/styles/vancouver</vt:lpwstr>
  </property>
  <property fmtid="{D5CDD505-2E9C-101B-9397-08002B2CF9AE}" pid="26" name="Mendeley Recent Style Name 9_1">
    <vt:lpwstr>Vancouver</vt:lpwstr>
  </property>
</Properties>
</file>