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490A1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  <w:t xml:space="preserve">Olist电商数据分析报告  </w:t>
      </w:r>
    </w:p>
    <w:p w14:paraId="73333FBA">
      <w:pPr>
        <w:rPr>
          <w:rFonts w:hint="eastAsia"/>
          <w:b/>
          <w:bCs/>
          <w:lang w:val="en-US" w:eastAsia="zh-CN"/>
        </w:rPr>
      </w:pPr>
    </w:p>
    <w:p w14:paraId="7A67B8E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业务痛点：</w:t>
      </w:r>
    </w:p>
    <w:p w14:paraId="2F1D335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支付流程效率低下</w:t>
      </w:r>
    </w:p>
    <w:p w14:paraId="4EFB52DD">
      <w:pPr>
        <w:rPr>
          <w:rFonts w:hint="default"/>
          <w:lang w:val="en-US" w:eastAsia="zh-CN"/>
        </w:rPr>
      </w:pPr>
    </w:p>
    <w:p w14:paraId="08BE8BD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特定支付方式的高关闭率</w:t>
      </w:r>
    </w:p>
    <w:p w14:paraId="63AFB5A0">
      <w:pPr>
        <w:rPr>
          <w:rFonts w:hint="default"/>
          <w:lang w:val="en-US" w:eastAsia="zh-CN"/>
        </w:rPr>
      </w:pPr>
    </w:p>
    <w:p w14:paraId="776FAF9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高价值订单流失风险</w:t>
      </w:r>
    </w:p>
    <w:p w14:paraId="62E5ADE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潜在衍生痛点</w:t>
      </w:r>
      <w:r>
        <w:rPr>
          <w:rFonts w:hint="eastAsia"/>
          <w:b/>
          <w:bCs/>
          <w:lang w:val="en-US" w:eastAsia="zh-CN"/>
        </w:rPr>
        <w:t>：</w:t>
      </w:r>
    </w:p>
    <w:p w14:paraId="6313235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物流效率低下：大重量商品配送时效差，缺乏针对高价值订单的优先级配送机制。</w:t>
      </w:r>
    </w:p>
    <w:p w14:paraId="7F18683E">
      <w:pPr>
        <w:rPr>
          <w:rFonts w:hint="default"/>
          <w:lang w:val="en-US" w:eastAsia="zh-CN"/>
        </w:rPr>
      </w:pPr>
    </w:p>
    <w:p w14:paraId="0DC1BE3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用户分层缺失：未针对高价值用户提供差异化服务（如专属客服、运费补贴），错失留存机会。</w:t>
      </w:r>
    </w:p>
    <w:p w14:paraId="33CF2FA0">
      <w:pPr>
        <w:rPr>
          <w:rFonts w:hint="default"/>
          <w:lang w:val="en-US" w:eastAsia="zh-CN"/>
        </w:rPr>
      </w:pPr>
    </w:p>
    <w:p w14:paraId="645D058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支付方式单一性：依赖传统支付方式（如boleto），未集成新兴支付渠道（如电子钱包），限制用户覆盖。</w:t>
      </w:r>
      <w:bookmarkStart w:id="0" w:name="_GoBack"/>
      <w:bookmarkEnd w:id="0"/>
    </w:p>
    <w:p w14:paraId="4A3294C1">
      <w:pPr>
        <w:rPr>
          <w:rFonts w:hint="default"/>
          <w:lang w:val="en-US" w:eastAsia="zh-CN"/>
        </w:rPr>
      </w:pPr>
    </w:p>
    <w:p w14:paraId="4EC69C98">
      <w:pPr>
        <w:rPr>
          <w:rFonts w:hint="default"/>
          <w:lang w:val="en-US" w:eastAsia="zh-CN"/>
        </w:rPr>
      </w:pPr>
    </w:p>
    <w:p w14:paraId="2EB8F02A">
      <w:pPr>
        <w:rPr>
          <w:rFonts w:hint="eastAsia"/>
        </w:rPr>
      </w:pPr>
    </w:p>
    <w:p w14:paraId="6DA3FD76">
      <w:pPr>
        <w:numPr>
          <w:ilvl w:val="0"/>
          <w:numId w:val="1"/>
        </w:numPr>
        <w:ind w:left="525" w:leftChars="0" w:firstLine="0" w:firstLineChars="0"/>
        <w:rPr>
          <w:rFonts w:hint="eastAsia"/>
          <w:lang w:eastAsia="zh-CN"/>
        </w:rPr>
      </w:pPr>
      <w:r>
        <w:rPr>
          <w:rFonts w:hint="eastAsia"/>
        </w:rPr>
        <w:t>支付页面行为分析</w:t>
      </w:r>
      <w:r>
        <w:rPr>
          <w:rFonts w:hint="eastAsia"/>
          <w:lang w:eastAsia="zh-CN"/>
        </w:rPr>
        <w:t xml:space="preserve">  </w:t>
      </w:r>
    </w:p>
    <w:p w14:paraId="49108B07">
      <w:pPr>
        <w:numPr>
          <w:ilvl w:val="0"/>
          <w:numId w:val="0"/>
        </w:numPr>
        <w:ind w:left="525" w:leftChars="0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3053080"/>
            <wp:effectExtent l="0" t="0" r="1397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22CD6F7A">
      <w:pPr>
        <w:rPr>
          <w:rFonts w:hint="eastAsia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1.1 支付页面停留时间分布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1A1DE99E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分布特征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：用户停留时间集中在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350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600秒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（约6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10分钟），峰值出现在500秒左右。  </w:t>
      </w:r>
    </w:p>
    <w:p w14:paraId="2481747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潜在问题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：长停留时间可能反映支付流程存在卡顿、用户犹豫或支付失败后的重复尝试。建议优化支付流程，减少等待时间。  </w:t>
      </w:r>
    </w:p>
    <w:p w14:paraId="3EFD4E68">
      <w:pPr>
        <w:rPr>
          <w:rFonts w:hint="eastAsia"/>
        </w:rPr>
      </w:pPr>
    </w:p>
    <w:p w14:paraId="0C862BFF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385981B8">
      <w:pPr>
        <w:rPr>
          <w:rFonts w:hint="eastAsia"/>
        </w:rPr>
      </w:pPr>
    </w:p>
    <w:p w14:paraId="6D09913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二、数据质量评估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656011F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订单总数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：103,887  </w:t>
      </w:r>
    </w:p>
    <w:p w14:paraId="5BC49B3F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数据完整性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40A926AD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缺失时间记录占比：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0.08%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（极低，数据质量良好）。  </w:t>
      </w:r>
    </w:p>
    <w:p w14:paraId="649A3E7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异常用户占比：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1.09%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（需排查是否为恶意用户或系统错误）。  </w:t>
      </w:r>
    </w:p>
    <w:p w14:paraId="7519BBF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超时订单关闭率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1.11%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（需结合支付方式分析关闭原因）。  </w:t>
      </w:r>
    </w:p>
    <w:p w14:paraId="4230F4F9">
      <w:pPr>
        <w:rPr>
          <w:rFonts w:hint="eastAsia"/>
        </w:rPr>
      </w:pPr>
    </w:p>
    <w:p w14:paraId="107A95E7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127E8E66">
      <w:pPr>
        <w:rPr>
          <w:rFonts w:hint="eastAsia"/>
        </w:rPr>
      </w:pPr>
    </w:p>
    <w:p w14:paraId="66CCBD6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三、支付方式与订单关闭率分析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1357D0DC">
      <w:pPr>
        <w:rPr>
          <w:rFonts w:hint="eastAsia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3.1 不同支付方式的关闭率对比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2C24B9BB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卡方检验结果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：p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value=0.0000，表明不同支付方式的关闭率存在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显著差异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。  </w:t>
      </w:r>
    </w:p>
    <w:p w14:paraId="7C6171C0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关键支付方式表现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（需进一步补充数据）：  </w:t>
      </w:r>
    </w:p>
    <w:p w14:paraId="3E0897F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`boleto`（银行转账）和`credit_card`（信用卡）的关闭率可能较高。  </w:t>
      </w:r>
    </w:p>
    <w:p w14:paraId="0465B2A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`debit_card`（借记卡）和`voucher`（优惠券）的关闭率需结合具体数据验证。  </w:t>
      </w:r>
    </w:p>
    <w:p w14:paraId="4EA52951">
      <w:pPr>
        <w:rPr>
          <w:rFonts w:hint="eastAsia"/>
        </w:rPr>
      </w:pPr>
    </w:p>
    <w:p w14:paraId="4FB6AC6A">
      <w:pPr>
        <w:rPr>
          <w:rFonts w:hint="eastAsia"/>
        </w:rPr>
      </w:pPr>
    </w:p>
    <w:p w14:paraId="4F3E6F4D">
      <w:pPr>
        <w:rPr>
          <w:rFonts w:hint="eastAsia"/>
        </w:rPr>
      </w:pPr>
      <w:r>
        <w:drawing>
          <wp:inline distT="0" distB="0" distL="114300" distR="114300">
            <wp:extent cx="5269230" cy="3156585"/>
            <wp:effectExtent l="0" t="0" r="381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D88D">
      <w:pPr>
        <w:rPr>
          <w:rFonts w:hint="eastAsia"/>
        </w:rPr>
      </w:pPr>
    </w:p>
    <w:p w14:paraId="7EF017E5">
      <w:pPr>
        <w:rPr>
          <w:rFonts w:hint="eastAsia"/>
        </w:rPr>
      </w:pPr>
    </w:p>
    <w:p w14:paraId="690274CB">
      <w:pPr>
        <w:rPr>
          <w:rFonts w:hint="eastAsia"/>
        </w:rPr>
      </w:pPr>
    </w:p>
    <w:p w14:paraId="31E698F7">
      <w:pPr>
        <w:rPr>
          <w:rFonts w:hint="eastAsia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3.2 建议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54F8E48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优先优化`boleto`和`credit_card`的支付流程，例如缩短验证步骤或增加错误提示。  </w:t>
      </w:r>
    </w:p>
    <w:p w14:paraId="549F8E2E">
      <w:pPr>
        <w:rPr>
          <w:rFonts w:hint="eastAsia"/>
        </w:rPr>
      </w:pPr>
    </w:p>
    <w:p w14:paraId="75A7BDB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073A6205">
      <w:pPr>
        <w:rPr>
          <w:rFonts w:hint="eastAsia"/>
        </w:rPr>
      </w:pPr>
    </w:p>
    <w:p w14:paraId="244EE5B9">
      <w:pPr>
        <w:numPr>
          <w:ilvl w:val="0"/>
          <w:numId w:val="2"/>
        </w:numPr>
        <w:ind w:left="525" w:leftChars="0" w:firstLine="0" w:firstLineChars="0"/>
        <w:rPr>
          <w:rFonts w:hint="eastAsia"/>
          <w:lang w:eastAsia="zh-CN"/>
        </w:rPr>
      </w:pPr>
      <w:r>
        <w:rPr>
          <w:rFonts w:hint="eastAsia"/>
        </w:rPr>
        <w:t>高价值订单流失特征分析</w:t>
      </w:r>
      <w:r>
        <w:rPr>
          <w:rFonts w:hint="eastAsia"/>
          <w:lang w:eastAsia="zh-CN"/>
        </w:rPr>
        <w:t xml:space="preserve">  </w:t>
      </w:r>
    </w:p>
    <w:p w14:paraId="69A32B5B">
      <w:pPr>
        <w:numPr>
          <w:ilvl w:val="0"/>
          <w:numId w:val="0"/>
        </w:numPr>
        <w:ind w:left="525" w:leftChars="0"/>
        <w:rPr>
          <w:rFonts w:hint="eastAsia"/>
        </w:rPr>
      </w:pPr>
      <w:r>
        <w:drawing>
          <wp:inline distT="0" distB="0" distL="114300" distR="114300">
            <wp:extent cx="5272405" cy="2682875"/>
            <wp:effectExtent l="0" t="0" r="63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42C63B87">
      <w:pPr>
        <w:rPr>
          <w:rFonts w:hint="eastAsia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4.1 高价值订单定义与特征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59C37ADC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阈值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：单笔订单≥R\$196.36。  </w:t>
      </w:r>
    </w:p>
    <w:p w14:paraId="44F8FF4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核心特征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308F148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取消率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：高价值订单取消率（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0.66%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）略高于普通订单（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0.43%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）。  </w:t>
      </w:r>
    </w:p>
    <w:p w14:paraId="73C972EE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商品重量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：高价值订单平均重量（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4,285kg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）显著高于普通订单（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1,445kg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），可能受物流成本或配送难度影响。  </w:t>
      </w:r>
    </w:p>
    <w:p w14:paraId="568ECDD4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核心品类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：`cama_mesa_banho`（家居用品）占比最高，需关注该品类的库存与配送时效。</w:t>
      </w:r>
    </w:p>
    <w:p w14:paraId="4EA6E9E7">
      <w:pPr>
        <w:rPr>
          <w:rFonts w:hint="eastAsia"/>
        </w:rPr>
      </w:pPr>
      <w:r>
        <w:rPr>
          <w:rFonts w:hint="eastAsia"/>
        </w:rPr>
        <w:t xml:space="preserve">  </w:t>
      </w:r>
    </w:p>
    <w:p w14:paraId="5F72A82C">
      <w:pPr>
        <w:rPr>
          <w:rFonts w:hint="eastAsia"/>
        </w:rPr>
      </w:pPr>
    </w:p>
    <w:p w14:paraId="28E4D7FB">
      <w:pPr>
        <w:rPr>
          <w:rFonts w:hint="eastAsia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4.2 商品重量与品类分布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24C6DBC9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重量分布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：高价值订单商品重量集中于4,000kg以上，普通订单集中于1,500kg以下。  </w:t>
      </w:r>
    </w:p>
    <w:p w14:paraId="6B9C164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品类建议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：针对高价值订单占比高的品类（如家居、电子产品），优化包装方案或提供运费补贴。  </w:t>
      </w:r>
    </w:p>
    <w:p w14:paraId="60460148">
      <w:pPr>
        <w:rPr>
          <w:rFonts w:hint="eastAsia"/>
        </w:rPr>
      </w:pPr>
    </w:p>
    <w:p w14:paraId="72C3533D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7958EB7A">
      <w:pPr>
        <w:rPr>
          <w:rFonts w:hint="eastAsia"/>
        </w:rPr>
      </w:pPr>
    </w:p>
    <w:p w14:paraId="272DEF8B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五、AB测试结果与策略建议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121E3C8C">
      <w:pPr>
        <w:rPr>
          <w:rFonts w:hint="eastAsia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5.1 核心指标对比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5CAAB97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转化率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60DB74B1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A组（对照组）：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97.10%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47726A6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B组（实验组）：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96.87%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007FBB2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效果评估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  </w:t>
      </w:r>
    </w:p>
    <w:p w14:paraId="03EE3848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B组更优概率仅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1.5%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，提升幅度中位数为</w:t>
      </w: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>0.2%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（负向）。  </w:t>
      </w:r>
    </w:p>
    <w:p w14:paraId="4C59337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95%置信区间：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[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0.44%,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0.03%]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，表明B组转化率显著低于A组。  </w:t>
      </w:r>
    </w:p>
    <w:p w14:paraId="7FED8CEC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GMV风险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：下跌超3%的概率为0.0%。  </w:t>
      </w:r>
    </w:p>
    <w:p w14:paraId="3A0974A8">
      <w:r>
        <w:drawing>
          <wp:inline distT="0" distB="0" distL="114300" distR="114300">
            <wp:extent cx="5273040" cy="278257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387AE">
      <w:r>
        <w:drawing>
          <wp:inline distT="0" distB="0" distL="114300" distR="114300">
            <wp:extent cx="5267960" cy="1791335"/>
            <wp:effectExtent l="0" t="0" r="508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7BFC7">
      <w:r>
        <w:drawing>
          <wp:inline distT="0" distB="0" distL="114300" distR="114300">
            <wp:extent cx="5269230" cy="2145665"/>
            <wp:effectExtent l="0" t="0" r="381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46FFD">
      <w:pPr>
        <w:rPr>
          <w:rFonts w:hint="eastAsia"/>
        </w:rPr>
      </w:pPr>
      <w:r>
        <w:drawing>
          <wp:inline distT="0" distB="0" distL="114300" distR="114300">
            <wp:extent cx="5273675" cy="2670175"/>
            <wp:effectExtent l="0" t="0" r="1460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EEE0D">
      <w:pPr>
        <w:rPr>
          <w:rFonts w:hint="eastAsia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5.2 决策建议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6333342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保持当前方案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（A组），暂不采纳B组调整。  </w:t>
      </w:r>
    </w:p>
    <w:p w14:paraId="7B7B44CA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t xml:space="preserve"> 进一步分析B组转化率下降的原因（如页面加载速度、用户引导设计）。  </w:t>
      </w:r>
    </w:p>
    <w:p w14:paraId="47BD6581">
      <w:pPr>
        <w:rPr>
          <w:rFonts w:hint="eastAsia"/>
        </w:rPr>
      </w:pPr>
    </w:p>
    <w:p w14:paraId="52846DE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  </w:t>
      </w:r>
    </w:p>
    <w:p w14:paraId="1B9336DF">
      <w:pPr>
        <w:rPr>
          <w:rFonts w:hint="eastAsia"/>
        </w:rPr>
      </w:pPr>
    </w:p>
    <w:p w14:paraId="3468F665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六、综合分析结论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 </w:t>
      </w:r>
    </w:p>
    <w:p w14:paraId="240FE44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支付流程优化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：缩短支付页面停留时间，优先改进`boleto`和`credit_card`的支付体验。  </w:t>
      </w:r>
    </w:p>
    <w:p w14:paraId="6A0BF7D7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高价值订单管理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：针对家居品类优化物流策略，降低因重量导致的取消率。  </w:t>
      </w:r>
    </w:p>
    <w:p w14:paraId="3D7FFFFB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AB测试策略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：维持当前版本，避免GMV损失风险。  </w:t>
      </w:r>
    </w:p>
    <w:p w14:paraId="03B3EFB3">
      <w:pPr>
        <w:rPr>
          <w:rFonts w:hint="eastAsia"/>
        </w:rPr>
      </w:pPr>
    </w:p>
    <w:p w14:paraId="74B25560">
      <w:pPr>
        <w:rPr>
          <w:rFonts w:hint="eastAsia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 xml:space="preserve">  </w:t>
      </w:r>
    </w:p>
    <w:p w14:paraId="10796AF5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数据支持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：Olist巴西电商数据集（10万订单）  </w:t>
      </w:r>
    </w:p>
    <w:p w14:paraId="7506ECC1"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分析工具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：Python（Pandas、Seaborn）、贝叶斯AB测试、卡方检验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8F417"/>
    <w:multiLevelType w:val="singleLevel"/>
    <w:tmpl w:val="8A68F417"/>
    <w:lvl w:ilvl="0" w:tentative="0">
      <w:start w:val="4"/>
      <w:numFmt w:val="chineseCounting"/>
      <w:suff w:val="nothing"/>
      <w:lvlText w:val="%1、"/>
      <w:lvlJc w:val="left"/>
      <w:pPr>
        <w:ind w:left="525" w:leftChars="0" w:firstLine="0" w:firstLineChars="0"/>
      </w:pPr>
      <w:rPr>
        <w:rFonts w:hint="eastAsia"/>
      </w:rPr>
    </w:lvl>
  </w:abstractNum>
  <w:abstractNum w:abstractNumId="1">
    <w:nsid w:val="BE194E3F"/>
    <w:multiLevelType w:val="singleLevel"/>
    <w:tmpl w:val="BE194E3F"/>
    <w:lvl w:ilvl="0" w:tentative="0">
      <w:start w:val="1"/>
      <w:numFmt w:val="chineseCounting"/>
      <w:suff w:val="nothing"/>
      <w:lvlText w:val="%1、"/>
      <w:lvlJc w:val="left"/>
      <w:pPr>
        <w:ind w:left="525" w:leftChars="0" w:firstLine="0" w:firstLineChars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C1632"/>
    <w:rsid w:val="09800FA3"/>
    <w:rsid w:val="22DC1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894</Words>
  <Characters>1143</Characters>
  <Lines>0</Lines>
  <Paragraphs>0</Paragraphs>
  <TotalTime>9</TotalTime>
  <ScaleCrop>false</ScaleCrop>
  <LinksUpToDate>false</LinksUpToDate>
  <CharactersWithSpaces>1593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2025-03-16T10:52:00Z</dcterms:created>
  <dc:creator>企业用户_604183759</dc:creator>
  <cp:lastModifiedBy>企业用户_604183759</cp:lastModifiedBy>
  <dcterms:modified xsi:type="dcterms:W3CDTF">2025-03-16T11:24:09Z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BA785F90B8704A6290D70EB1FC2217E3_11</vt:lpwstr>
  </property>
  <property fmtid="{D5CDD505-2E9C-101B-9397-08002B2CF9AE}" pid="4" name="KSOTemplateDocerSaveRecord">
    <vt:lpwstr>eyJoZGlkIjoiM2U4ZjVhYjU0Y2JlZTA1NGU4OWM2NjAyNjNlNTFhNzQiLCJ1c2VySWQiOiIxNjAzNDM3NjEyIn0=</vt:lpwstr>
  </property>
</Properties>
</file>