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73675" cy="3004820"/>
            <wp:effectExtent l="0" t="0" r="3175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0" w:lineRule="exact"/>
        <w:jc w:val="center"/>
        <w:rPr>
          <w:rFonts w:hint="eastAsia" w:eastAsia="黑体"/>
          <w:sz w:val="72"/>
        </w:rPr>
      </w:pPr>
      <w:r>
        <w:rPr>
          <w:rFonts w:hint="eastAsia" w:eastAsia="黑体"/>
          <w:sz w:val="72"/>
        </w:rPr>
        <w:t>大作</w:t>
      </w:r>
      <w:r>
        <w:rPr>
          <w:rFonts w:eastAsia="黑体"/>
          <w:sz w:val="72"/>
        </w:rPr>
        <w:t>业－</w:t>
      </w:r>
      <w:r>
        <w:rPr>
          <w:rFonts w:hint="eastAsia" w:eastAsia="黑体"/>
          <w:color w:val="FF0000"/>
          <w:sz w:val="72"/>
        </w:rPr>
        <w:t>业务</w:t>
      </w:r>
      <w:r>
        <w:rPr>
          <w:rFonts w:eastAsia="黑体"/>
          <w:color w:val="FF0000"/>
          <w:sz w:val="72"/>
        </w:rPr>
        <w:t>建模</w:t>
      </w:r>
      <w:r>
        <w:rPr>
          <w:rFonts w:hint="eastAsia" w:eastAsia="黑体"/>
          <w:sz w:val="72"/>
        </w:rPr>
        <w:t xml:space="preserve">报告 </w:t>
      </w: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 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秋季学期 ）</w:t>
      </w:r>
    </w:p>
    <w:p>
      <w:pPr>
        <w:jc w:val="center"/>
        <w:rPr>
          <w:rFonts w:hint="eastAsia" w:eastAsia="黑体"/>
          <w:sz w:val="44"/>
        </w:rPr>
      </w:pPr>
    </w:p>
    <w:tbl>
      <w:tblPr>
        <w:tblStyle w:val="2"/>
        <w:tblW w:w="67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13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黑体"/>
                <w:sz w:val="44"/>
                <w:lang w:val="en-US" w:eastAsia="zh-CN"/>
              </w:rPr>
            </w:pPr>
            <w:r>
              <w:rPr>
                <w:rFonts w:hint="eastAsia" w:eastAsia="黑体"/>
                <w:sz w:val="44"/>
                <w:lang w:val="en-US" w:eastAsia="zh-CN"/>
              </w:rPr>
              <w:t>UML软件建模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13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z w:val="44"/>
              </w:rPr>
            </w:pPr>
            <w:r>
              <w:rPr>
                <w:rFonts w:hint="eastAsia"/>
                <w:b/>
                <w:bCs/>
                <w:sz w:val="44"/>
              </w:rPr>
              <w:t>项目名称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</w:rPr>
            </w:pPr>
            <w:r>
              <w:rPr>
                <w:rFonts w:hint="eastAsia"/>
                <w:sz w:val="28"/>
                <w:szCs w:val="28"/>
              </w:rPr>
              <w:t>M2B2C跨境电子商务借卖交易平台设计与实现</w:t>
            </w:r>
          </w:p>
        </w:tc>
      </w:tr>
    </w:tbl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hint="eastAsia" w:eastAsia="黑体"/>
          <w:sz w:val="44"/>
        </w:rPr>
      </w:pPr>
    </w:p>
    <w:tbl>
      <w:tblPr>
        <w:tblStyle w:val="2"/>
        <w:tblW w:w="649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组名</w:t>
            </w:r>
          </w:p>
        </w:tc>
        <w:tc>
          <w:tcPr>
            <w:tcW w:w="205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神盾局爆破小组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组号</w:t>
            </w:r>
          </w:p>
        </w:tc>
        <w:tc>
          <w:tcPr>
            <w:tcW w:w="256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640" w:firstLineChars="200"/>
              <w:jc w:val="left"/>
              <w:rPr>
                <w:rFonts w:hint="eastAsia" w:eastAsia="黑体"/>
                <w:sz w:val="32"/>
                <w:lang w:val="en-US" w:eastAsia="zh-CN"/>
              </w:rPr>
            </w:pPr>
          </w:p>
          <w:p>
            <w:pPr>
              <w:ind w:firstLine="640" w:firstLineChars="200"/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04</w:t>
            </w:r>
          </w:p>
        </w:tc>
      </w:tr>
    </w:tbl>
    <w:p>
      <w:pPr>
        <w:jc w:val="center"/>
        <w:rPr>
          <w:rFonts w:hint="eastAsia" w:eastAsia="黑体"/>
          <w:sz w:val="44"/>
        </w:rPr>
      </w:pPr>
    </w:p>
    <w:tbl>
      <w:tblPr>
        <w:tblStyle w:val="2"/>
        <w:tblW w:w="649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b/>
                <w:sz w:val="32"/>
              </w:rPr>
            </w:pPr>
            <w:r>
              <w:rPr>
                <w:rFonts w:hint="eastAsia" w:eastAsia="黑体"/>
                <w:b/>
                <w:sz w:val="32"/>
              </w:rPr>
              <w:t>专业</w:t>
            </w:r>
          </w:p>
        </w:tc>
        <w:tc>
          <w:tcPr>
            <w:tcW w:w="205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黑体"/>
                <w:b/>
                <w:sz w:val="32"/>
                <w:lang w:val="en-US" w:eastAsia="zh-CN"/>
              </w:rPr>
            </w:pPr>
            <w:r>
              <w:rPr>
                <w:rFonts w:hint="eastAsia" w:eastAsia="黑体"/>
                <w:b/>
                <w:sz w:val="32"/>
                <w:lang w:val="en-US" w:eastAsia="zh-CN"/>
              </w:rPr>
              <w:t>软件工程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b/>
                <w:sz w:val="32"/>
              </w:rPr>
            </w:pPr>
            <w:r>
              <w:rPr>
                <w:rFonts w:hint="eastAsia" w:eastAsia="黑体"/>
                <w:b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黑体"/>
                <w:b/>
                <w:sz w:val="32"/>
                <w:lang w:val="en-US" w:eastAsia="zh-CN"/>
              </w:rPr>
            </w:pPr>
            <w:r>
              <w:rPr>
                <w:rFonts w:hint="eastAsia" w:eastAsia="黑体"/>
                <w:b/>
                <w:sz w:val="32"/>
                <w:lang w:val="en-US" w:eastAsia="zh-CN"/>
              </w:rPr>
              <w:t>刘征海</w:t>
            </w:r>
          </w:p>
        </w:tc>
      </w:tr>
    </w:tbl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一．</w:t>
      </w:r>
      <w:r>
        <w:rPr>
          <w:rFonts w:hint="eastAsia"/>
          <w:b/>
          <w:bCs/>
          <w:sz w:val="28"/>
        </w:rPr>
        <w:t>项目概述及计划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小组项目分工</w:t>
      </w:r>
    </w:p>
    <w:tbl>
      <w:tblPr>
        <w:tblStyle w:val="2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105"/>
        <w:gridCol w:w="2764"/>
        <w:gridCol w:w="1195"/>
        <w:gridCol w:w="1528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主要工作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20174350403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陈丹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识别业务用例，识别涉众和参与者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20174350404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陈景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问题描述，建立业务对象模型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20174350405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熊艳玲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用活动图描述业务用例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20174350406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丁月连子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识别涉众和参与者，业务建模总结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评阅人</w:t>
            </w:r>
          </w:p>
        </w:tc>
        <w:tc>
          <w:tcPr>
            <w:tcW w:w="386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9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评阅时间</w:t>
            </w:r>
          </w:p>
        </w:tc>
        <w:tc>
          <w:tcPr>
            <w:tcW w:w="243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二．</w:t>
      </w:r>
      <w:r>
        <w:rPr>
          <w:rFonts w:hint="eastAsia"/>
          <w:b/>
          <w:bCs/>
          <w:sz w:val="28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B2C是一个满足M端品牌商，B端卖家和C端买家进行基本交易的平台，在该交易平台上，品牌商可以申请入驻平台，通过平台管理员进行认证审核后，可以发布商品，有制造商备货到海外仓库中，拥有Amazon以及eBay两大电商网站店铺的B端卖家可以通过该平台选择品牌商发布的商品，推送到Amazon或者eBay网店进行销售，同时还可以</w:t>
      </w:r>
      <w:r>
        <w:rPr>
          <w:rFonts w:hint="eastAsia"/>
        </w:rPr>
        <w:t>通过平台借卖的商品订单进行跟踪和管理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而C端卖家可以在该平台上购买商品，平台获取订单信息后通知仓库发货。此外，为了对平台进行管理，平台管理员需要定期对注册用户的权限以及商品信息，订单信息进行监控管理。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三．</w:t>
      </w:r>
      <w:r>
        <w:rPr>
          <w:rFonts w:hint="eastAsia"/>
          <w:b/>
          <w:bCs/>
          <w:sz w:val="28"/>
        </w:rPr>
        <w:t>业务建模</w:t>
      </w:r>
    </w:p>
    <w:p>
      <w:pPr>
        <w:ind w:firstLine="420" w:firstLineChars="200"/>
        <w:rPr>
          <w:rFonts w:hint="eastAsia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3.1 涉</w:t>
      </w:r>
      <w:r>
        <w:rPr>
          <w:b/>
          <w:bCs/>
          <w:sz w:val="28"/>
        </w:rPr>
        <w:t>众</w:t>
      </w:r>
    </w:p>
    <w:p>
      <w:pPr>
        <w:ind w:firstLine="960" w:firstLineChars="400"/>
        <w:rPr>
          <w:rFonts w:hint="eastAsia"/>
          <w:b/>
          <w:bCs/>
          <w:sz w:val="28"/>
        </w:rPr>
      </w:pPr>
      <w:r>
        <w:rPr>
          <w:rFonts w:ascii="宋体" w:hAnsi="宋体" w:eastAsia="宋体" w:cs="宋体"/>
          <w:sz w:val="24"/>
          <w:szCs w:val="24"/>
        </w:rPr>
        <w:t>卖家、买家、品牌商、平台管理员、借卖方、网上银行、物流海外仓、快递员、国税局，交易引擎，相关法律法规 ,。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28"/>
        </w:rPr>
        <w:t>3.</w:t>
      </w:r>
      <w:r>
        <w:rPr>
          <w:rFonts w:hint="eastAsia"/>
          <w:b/>
          <w:bCs/>
          <w:sz w:val="28"/>
          <w:lang w:val="en-US" w:eastAsia="zh-CN"/>
        </w:rPr>
        <w:t>2</w:t>
      </w:r>
      <w:r>
        <w:rPr>
          <w:rFonts w:hint="eastAsia"/>
          <w:b/>
          <w:bCs/>
          <w:sz w:val="28"/>
        </w:rPr>
        <w:t xml:space="preserve"> 识别业务</w:t>
      </w:r>
      <w:r>
        <w:rPr>
          <w:b/>
          <w:bCs/>
          <w:sz w:val="28"/>
        </w:rPr>
        <w:t>参与者</w:t>
      </w:r>
    </w:p>
    <w:p>
      <w:pPr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品牌商，卖家，买家，平台管理员。</w:t>
      </w:r>
    </w:p>
    <w:p>
      <w:pPr>
        <w:ind w:firstLine="960" w:firstLineChars="40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3.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rFonts w:hint="eastAsia"/>
          <w:b/>
          <w:bCs/>
          <w:sz w:val="28"/>
        </w:rPr>
        <w:t xml:space="preserve"> 识别业务用例</w:t>
      </w:r>
    </w:p>
    <w:p>
      <w:pPr>
        <w:rPr>
          <w:rFonts w:hint="default" w:eastAsia="宋体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 xml:space="preserve">     </w:t>
      </w:r>
      <w:r>
        <w:drawing>
          <wp:inline distT="0" distB="0" distL="114300" distR="114300">
            <wp:extent cx="4486275" cy="78962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3.</w:t>
      </w:r>
      <w:r>
        <w:rPr>
          <w:rFonts w:hint="eastAsia"/>
          <w:b/>
          <w:bCs/>
          <w:sz w:val="28"/>
          <w:lang w:val="en-US" w:eastAsia="zh-CN"/>
        </w:rPr>
        <w:t>4</w:t>
      </w:r>
      <w:r>
        <w:rPr>
          <w:rFonts w:hint="eastAsia"/>
          <w:b/>
          <w:bCs/>
          <w:sz w:val="28"/>
        </w:rPr>
        <w:t xml:space="preserve"> 利用活动</w:t>
      </w:r>
      <w:r>
        <w:rPr>
          <w:b/>
          <w:bCs/>
          <w:sz w:val="28"/>
        </w:rPr>
        <w:t>图描述业务用例</w:t>
      </w:r>
    </w:p>
    <w:p>
      <w:pPr>
        <w:rPr>
          <w:rFonts w:hint="default" w:eastAsia="宋体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1.消费者购买商品</w:t>
      </w:r>
    </w:p>
    <w:p>
      <w:pPr>
        <w:rPr>
          <w:rFonts w:hint="eastAsia"/>
          <w:b/>
          <w:bCs/>
          <w:sz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"C:\\Users\\ASUS\\Documents\\Tencent Files\\1826864441\\Image\\Group\\V0H~MLM2QCQBV24](P`2AUQ.png"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86625" cy="5953125"/>
            <wp:effectExtent l="0" t="0" r="952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品牌商发布产品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5885815"/>
            <wp:effectExtent l="0" t="0" r="3810" b="6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3网店店主管理订单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72025" cy="8029575"/>
            <wp:effectExtent l="0" t="0" r="9525" b="95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4.网店店主上新产品</w:t>
      </w:r>
    </w:p>
    <w:p>
      <w:r>
        <w:drawing>
          <wp:inline distT="0" distB="0" distL="114300" distR="114300">
            <wp:extent cx="5273675" cy="10075545"/>
            <wp:effectExtent l="0" t="0" r="3175" b="190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</w:p>
    <w:p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5.网店店主销售商品</w:t>
      </w:r>
    </w:p>
    <w:p>
      <w:pPr>
        <w:rPr>
          <w:rFonts w:hint="eastAsia"/>
          <w:b/>
          <w:bCs/>
          <w:sz w:val="28"/>
        </w:rPr>
      </w:pPr>
      <w:r>
        <w:drawing>
          <wp:inline distT="0" distB="0" distL="114300" distR="114300">
            <wp:extent cx="5273040" cy="4457700"/>
            <wp:effectExtent l="0" t="0" r="381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3.</w:t>
      </w:r>
      <w:r>
        <w:rPr>
          <w:rFonts w:hint="eastAsia"/>
          <w:b/>
          <w:bCs/>
          <w:sz w:val="28"/>
          <w:lang w:val="en-US" w:eastAsia="zh-CN"/>
        </w:rPr>
        <w:t>5</w:t>
      </w:r>
      <w:r>
        <w:rPr>
          <w:rFonts w:hint="eastAsia"/>
          <w:b/>
          <w:bCs/>
          <w:sz w:val="28"/>
        </w:rPr>
        <w:t xml:space="preserve"> 建立业务</w:t>
      </w:r>
      <w:r>
        <w:rPr>
          <w:b/>
          <w:bCs/>
          <w:sz w:val="28"/>
        </w:rPr>
        <w:t>对象模型</w:t>
      </w:r>
    </w:p>
    <w:p>
      <w:pPr>
        <w:rPr>
          <w:b/>
          <w:bCs/>
          <w:sz w:val="28"/>
        </w:rPr>
      </w:pPr>
      <w:r>
        <w:drawing>
          <wp:inline distT="0" distB="0" distL="114300" distR="114300">
            <wp:extent cx="4533900" cy="5486400"/>
            <wp:effectExtent l="0" t="0" r="0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四．</w:t>
      </w:r>
      <w:r>
        <w:rPr>
          <w:rFonts w:hint="eastAsia"/>
          <w:b/>
          <w:bCs/>
          <w:sz w:val="28"/>
        </w:rPr>
        <w:t>业务建模</w:t>
      </w:r>
      <w:r>
        <w:rPr>
          <w:b/>
          <w:bCs/>
          <w:sz w:val="28"/>
        </w:rPr>
        <w:t>总结</w:t>
      </w:r>
    </w:p>
    <w:p>
      <w:pPr>
        <w:pStyle w:val="5"/>
        <w:ind w:firstLine="562"/>
        <w:rPr>
          <w:rFonts w:hint="default" w:ascii="华文细黑" w:hAnsi="华文细黑" w:eastAsia="华文细黑" w:cs="华文细黑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业务建模先于需求工作流，因为要想得到系统需求必须正确地理解现实业务。业务用例建模的是为了让我们理解客户的业务，不需要考虑计算机环境。在进行业务建模是我们需要首先选定要改进的组织，找到业务执行者（在组织之外与组织进行交互的人群或者组织），同时要注意区分业务工人和业务执行者，区别在于业务工人在组织内部，可以被替代业务执行</w:t>
      </w:r>
      <w:bookmarkStart w:id="0" w:name="_GoBack"/>
      <w:bookmarkEnd w:id="0"/>
      <w:r>
        <w:rPr>
          <w:rFonts w:hint="eastAsia"/>
          <w:b/>
          <w:bCs/>
          <w:sz w:val="28"/>
          <w:lang w:val="en-US" w:eastAsia="zh-CN"/>
        </w:rPr>
        <w:t>者在组织外部，不可被替代。注意：</w:t>
      </w:r>
      <w:r>
        <w:rPr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</w:rPr>
        <w:t>业务工人和业务实体不在业务用例图中出现，因为它们不是组织的价值，而是成本。</w:t>
      </w:r>
      <w:r>
        <w:rPr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然后识别业务用例，</w:t>
      </w:r>
      <w:r>
        <w:rPr>
          <w:rStyle w:val="4"/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</w:rPr>
        <w:t>业务用例指业务执行者希望通过和组织交互达到的，而且组织能提供的价值</w:t>
      </w:r>
      <w:r>
        <w:rPr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</w:rPr>
        <w:t>。</w:t>
      </w:r>
      <w:r>
        <w:rPr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最重要的是要搞清楚研究对象，围绕研究对象识别业务用例。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0E04B"/>
    <w:multiLevelType w:val="singleLevel"/>
    <w:tmpl w:val="C420E0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D361A"/>
    <w:rsid w:val="2AED361A"/>
    <w:rsid w:val="3452297C"/>
    <w:rsid w:val="3CFE0284"/>
    <w:rsid w:val="4A7563F4"/>
    <w:rsid w:val="5E7F021B"/>
    <w:rsid w:val="761C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2019-10-20T08:04:00Z</dcterms:created>
  <dc:creator>HOLD ON</dc:creator>
  <cp:lastModifiedBy>HOLD ON</cp:lastModifiedBy>
  <dcterms:modified xsi:type="dcterms:W3CDTF">2019-10-20T09:58:51Z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