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E3B04">
      <w:pPr>
        <w:spacing w:before="240" w:after="120"/>
        <w:jc w:val="center"/>
      </w:pPr>
      <w:r>
        <w:rPr>
          <w:rFonts w:hint="eastAsia" w:ascii="微软雅黑" w:hAnsi="微软雅黑" w:eastAsia="宋体"/>
          <w:b/>
          <w:color w:val="1B365D"/>
          <w:sz w:val="44"/>
          <w:lang w:val="en-US" w:eastAsia="zh-CN"/>
        </w:rPr>
        <w:t>精准</w:t>
      </w:r>
      <w:r>
        <w:rPr>
          <w:rFonts w:ascii="微软雅黑" w:hAnsi="微软雅黑"/>
          <w:b/>
          <w:color w:val="1B365D"/>
          <w:sz w:val="44"/>
        </w:rPr>
        <w:t>降落系统技术设计文档</w:t>
      </w:r>
    </w:p>
    <w:p w14:paraId="415BCB15">
      <w:pPr>
        <w:keepNext/>
        <w:spacing w:before="360" w:after="120"/>
      </w:pPr>
      <w:r>
        <w:rPr>
          <w:rFonts w:ascii="微软雅黑" w:hAnsi="微软雅黑"/>
          <w:b/>
          <w:color w:val="1B365D"/>
          <w:sz w:val="30"/>
        </w:rPr>
        <w:t>一、 系统概述与整体架构</w:t>
      </w:r>
    </w:p>
    <w:p w14:paraId="1DF028DF">
      <w:pPr>
        <w:spacing w:after="120" w:line="300" w:lineRule="auto"/>
        <w:ind w:firstLine="420"/>
      </w:pPr>
      <w:r>
        <w:rPr>
          <w:rFonts w:ascii="宋体" w:hAnsi="宋体" w:eastAsia="宋体"/>
          <w:sz w:val="21"/>
        </w:rPr>
        <w:t>高精度自主降落系统是专为无人机设计的高精度、反应式自主降落方案。该系统不仅支持地面固定降落平台，还能够适应海上舰船、移动车辆等动态三维运动目标。系统主要由降落标板、视觉位姿检测器、状态估计器和降落控制器四个核心层级组成。</w:t>
      </w:r>
    </w:p>
    <w:p w14:paraId="45D7B9A5">
      <w:pPr>
        <w:spacing w:after="120" w:line="300" w:lineRule="auto"/>
        <w:ind w:firstLine="420"/>
      </w:pPr>
      <w:r>
        <w:rPr>
          <w:rFonts w:ascii="宋体" w:hAnsi="宋体" w:eastAsia="宋体"/>
          <w:sz w:val="21"/>
        </w:rPr>
        <w:t>系统的工作流程如下：视觉传感器获取降落垫图像，视觉感知层对其进行特征提取并采用多标联合定位方法进行解算，同时结合三轴防抖云台回传的角度进行动态补偿；估计层将融合后的位姿输入五维卡尔曼滤波模型进行滤波，平滑输出目标的位置与前馈速度；控制决策层根据对齐漏斗校验状态，计算最优下降速度并下发至飞行控制器，以确保无人机以最高安全性触地。</w:t>
      </w:r>
    </w:p>
    <w:p w14:paraId="38CF3E8C">
      <w:pPr>
        <w:keepNext/>
        <w:spacing w:before="360" w:after="120"/>
      </w:pPr>
      <w:r>
        <w:rPr>
          <w:rFonts w:ascii="微软雅黑" w:hAnsi="微软雅黑"/>
          <w:b/>
          <w:color w:val="1B365D"/>
          <w:sz w:val="30"/>
        </w:rPr>
        <w:t>二、 多尺度嵌套标记标板设计思想</w:t>
      </w:r>
    </w:p>
    <w:p w14:paraId="2053334E">
      <w:pPr>
        <w:spacing w:after="120" w:line="300" w:lineRule="auto"/>
        <w:ind w:firstLine="420"/>
      </w:pPr>
      <w:r>
        <w:rPr>
          <w:rFonts w:ascii="宋体" w:hAnsi="宋体" w:eastAsia="宋体"/>
          <w:sz w:val="21"/>
        </w:rPr>
        <w:t>为了使无人机在宽高度跨度（从 15 米的高空下降至 0 米触地）内始终拥有高精度的位置反馈，系统设计了多尺度非对称嵌套式的降落标板。</w:t>
      </w:r>
    </w:p>
    <w:p w14:paraId="0A30EA82">
      <w:pPr>
        <w:spacing w:after="120" w:line="300" w:lineRule="auto"/>
        <w:ind w:firstLine="420"/>
      </w:pPr>
      <w:r>
        <w:rPr>
          <w:rFonts w:ascii="宋体" w:hAnsi="宋体" w:eastAsia="宋体"/>
          <w:sz w:val="21"/>
        </w:rPr>
        <w:t>首先，降落标板采用多尺度嵌套机制，旨在解决远距离高空捕获与超低空近地盲区之间的矛盾。单尺度的标记由于受相机成像视场的限制，大标记高空可视但在低空容易超出相机视野而失效；小标记贴地精度高但高空无法识别。系统将小尺寸标记嵌套在大尺寸标记的中心和空隙内。在高空主要识别外围大标记提供早期导航；中空时大标记逐步移出视场，中型标记与内侧十字星团标记接替；极低空时大中型标记全部失效，由中心微型标记继续提供参考，将检测盲区压缩至十厘米级。</w:t>
      </w:r>
    </w:p>
    <w:p w14:paraId="7F4B7590">
      <w:pPr>
        <w:spacing w:after="120" w:line="300" w:lineRule="auto"/>
        <w:ind w:firstLine="420"/>
      </w:pPr>
      <w:r>
        <w:rPr>
          <w:rFonts w:ascii="宋体" w:hAnsi="宋体" w:eastAsia="宋体"/>
          <w:sz w:val="21"/>
        </w:rPr>
        <w:t>其次，标板在空间几何分布上采用了非对称几何布局。对称的标记阵列在进行透视投影解算时，由于旋转对称性，会产生航向角在方向上的二义性，导致计算出的偏航角出现误解或跳变。系统通过非对称地设计外侧四个角落标记的物理边长，使不同象限的标记大小与中心距各不相同。这样，算法能根据标记尺寸的唯一对应性确定绝对朝向，消除解算的姿态多解歧义，提高系统运行的鲁棒性。</w:t>
      </w:r>
    </w:p>
    <w:p w14:paraId="7442115D">
      <w:pPr>
        <w:spacing w:before="240" w:after="120"/>
        <w:jc w:val="center"/>
      </w:pPr>
      <w:r>
        <w:drawing>
          <wp:inline distT="0" distB="0" distL="114300" distR="114300">
            <wp:extent cx="1729740" cy="17297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729740" cy="1729740"/>
                    </a:xfrm>
                    <a:prstGeom prst="rect">
                      <a:avLst/>
                    </a:prstGeom>
                  </pic:spPr>
                </pic:pic>
              </a:graphicData>
            </a:graphic>
          </wp:inline>
        </w:drawing>
      </w:r>
      <w:bookmarkStart w:id="0" w:name="_GoBack"/>
      <w:bookmarkEnd w:id="0"/>
    </w:p>
    <w:p w14:paraId="3DD89F2B">
      <w:pPr>
        <w:spacing w:after="240"/>
        <w:jc w:val="center"/>
      </w:pPr>
      <w:r>
        <w:rPr>
          <w:rFonts w:ascii="微软雅黑" w:hAnsi="微软雅黑" w:eastAsia="微软雅黑"/>
          <w:b/>
          <w:color w:val="555555"/>
          <w:sz w:val="18"/>
        </w:rPr>
        <w:t>图 1 降落标板的多尺度非对称嵌套布局</w:t>
      </w:r>
    </w:p>
    <w:p w14:paraId="01CC0AB0">
      <w:pPr>
        <w:spacing w:after="120" w:line="300" w:lineRule="auto"/>
        <w:ind w:firstLine="420"/>
      </w:pPr>
      <w:r>
        <w:rPr>
          <w:rFonts w:ascii="宋体" w:hAnsi="宋体" w:eastAsia="宋体"/>
          <w:sz w:val="21"/>
        </w:rPr>
        <w:t>此外，为避免降落过程中外围标记在同一高度瞬间全部移出相机视场导致数据突变，最优化设计中引入了视场渐进脱离漏斗约束。其原理是强行约束相邻大标记的边缘大小呈现等差阶梯级收缩，使标记在视场中逐个、平滑地剥离。其优化的核心数学约束公式如下：</w:t>
      </w:r>
    </w:p>
    <w:p w14:paraId="1B65982A">
      <w:pPr>
        <w:spacing w:before="120" w:after="120"/>
        <w:jc w:val="center"/>
      </w:pPr>
      <m:oMathPara>
        <m:oMath>
          <m:box>
            <m:boxPr/>
            <m:e>
              <m:r>
                <m:rPr>
                  <m:sty m:val="p"/>
                </m:rPr>
                <m:t>(</m:t>
              </m:r>
              <m:r>
                <m:rPr/>
                <m:t>c</m:t>
              </m:r>
              <m:sSub>
                <m:sSubPr/>
                <m:e>
                  <m:r>
                    <m:rPr/>
                    <m:t>x</m:t>
                  </m:r>
                </m:e>
                <m:sub>
                  <m:r>
                    <m:rPr/>
                    <m:t>i</m:t>
                  </m:r>
                </m:sub>
              </m:sSub>
              <m:r>
                <m:rPr>
                  <m:sty m:val="p"/>
                </m:rPr>
                <m:t>+</m:t>
              </m:r>
              <m:f>
                <m:fPr/>
                <m:num>
                  <m:box>
                    <m:boxPr/>
                    <m:e>
                      <m:sSub>
                        <m:sSubPr/>
                        <m:e>
                          <m:r>
                            <m:rPr/>
                            <m:t>s</m:t>
                          </m:r>
                        </m:e>
                        <m:sub>
                          <m:r>
                            <m:rPr/>
                            <m:t>i</m:t>
                          </m:r>
                        </m:sub>
                      </m:sSub>
                    </m:e>
                  </m:box>
                </m:num>
                <m:den>
                  <m:box>
                    <m:boxPr/>
                    <m:e>
                      <m:r>
                        <m:rPr>
                          <m:sty m:val="p"/>
                        </m:rPr>
                        <m:t>2</m:t>
                      </m:r>
                    </m:e>
                  </m:box>
                </m:den>
              </m:f>
              <m:r>
                <m:rPr>
                  <m:sty m:val="p"/>
                </m:rPr>
                <m:t>)−(</m:t>
              </m:r>
              <m:r>
                <m:rPr/>
                <m:t>c</m:t>
              </m:r>
              <m:sSub>
                <m:sSubPr/>
                <m:e>
                  <m:r>
                    <m:rPr/>
                    <m:t>x</m:t>
                  </m:r>
                </m:e>
                <m:sub>
                  <m:box>
                    <m:boxPr/>
                    <m:e>
                      <m:r>
                        <m:rPr/>
                        <m:t>i</m:t>
                      </m:r>
                      <m:r>
                        <m:rPr>
                          <m:sty m:val="p"/>
                        </m:rPr>
                        <m:t>+1</m:t>
                      </m:r>
                    </m:e>
                  </m:box>
                </m:sub>
              </m:sSub>
              <m:r>
                <m:rPr>
                  <m:sty m:val="p"/>
                </m:rPr>
                <m:t>+</m:t>
              </m:r>
              <m:f>
                <m:fPr/>
                <m:num>
                  <m:box>
                    <m:boxPr/>
                    <m:e>
                      <m:sSub>
                        <m:sSubPr/>
                        <m:e>
                          <m:r>
                            <m:rPr/>
                            <m:t>s</m:t>
                          </m:r>
                        </m:e>
                        <m:sub>
                          <m:box>
                            <m:boxPr/>
                            <m:e>
                              <m:r>
                                <m:rPr/>
                                <m:t>i</m:t>
                              </m:r>
                              <m:r>
                                <m:rPr>
                                  <m:sty m:val="p"/>
                                </m:rPr>
                                <m:t>+1</m:t>
                              </m:r>
                            </m:e>
                          </m:box>
                        </m:sub>
                      </m:sSub>
                    </m:e>
                  </m:box>
                </m:num>
                <m:den>
                  <m:box>
                    <m:boxPr/>
                    <m:e>
                      <m:r>
                        <m:rPr>
                          <m:sty m:val="p"/>
                        </m:rPr>
                        <m:t>2</m:t>
                      </m:r>
                    </m:e>
                  </m:box>
                </m:den>
              </m:f>
              <m:r>
                <m:rPr>
                  <m:sty m:val="p"/>
                </m:rPr>
                <m:t>)≥0.02</m:t>
              </m:r>
              <m:r>
                <m:rPr/>
                <m:t>·</m:t>
              </m:r>
              <m:sSub>
                <m:sSubPr/>
                <m:e>
                  <m:r>
                    <m:rPr/>
                    <m:t>X</m:t>
                  </m:r>
                </m:e>
                <m:sub>
                  <m:box>
                    <m:boxPr/>
                    <m:e>
                      <m:r>
                        <m:rPr/>
                        <m:t>size</m:t>
                      </m:r>
                    </m:e>
                  </m:box>
                </m:sub>
              </m:sSub>
            </m:e>
          </m:box>
        </m:oMath>
      </m:oMathPara>
    </w:p>
    <w:p w14:paraId="4E174137">
      <w:pPr>
        <w:spacing w:after="120" w:line="300" w:lineRule="auto"/>
        <w:ind w:firstLine="420"/>
      </w:pPr>
      <w:r>
        <w:rPr>
          <w:rFonts w:ascii="宋体" w:hAnsi="宋体" w:eastAsia="宋体"/>
          <w:sz w:val="21"/>
        </w:rPr>
        <w:t>在上述公式中，分量中各项参数定义为：</w:t>
      </w:r>
    </w:p>
    <w:p w14:paraId="5DFDE2C5">
      <w:pPr>
        <w:pStyle w:val="16"/>
        <w:spacing w:after="80" w:line="276" w:lineRule="auto"/>
        <w:ind w:left="720"/>
      </w:pPr>
      <m:oMath>
        <m:box>
          <m:boxPr/>
          <m:e>
            <m:r>
              <m:rPr/>
              <m:t>c</m:t>
            </m:r>
            <m:sSub>
              <m:sSubPr/>
              <m:e>
                <m:r>
                  <m:rPr/>
                  <m:t>x</m:t>
                </m:r>
              </m:e>
              <m:sub>
                <m:r>
                  <m:rPr/>
                  <m:t>i</m:t>
                </m:r>
              </m:sub>
            </m:sSub>
          </m:e>
        </m:box>
      </m:oMath>
      <w:r>
        <w:rPr>
          <w:rFonts w:ascii="宋体" w:hAnsi="宋体" w:eastAsia="宋体"/>
          <w:sz w:val="21"/>
        </w:rPr>
        <w:t xml:space="preserve"> 与 </w:t>
      </w:r>
      <m:oMath>
        <m:box>
          <m:boxPr/>
          <m:e>
            <m:r>
              <m:rPr/>
              <m:t>c</m:t>
            </m:r>
            <m:sSub>
              <m:sSubPr/>
              <m:e>
                <m:r>
                  <m:rPr/>
                  <m:t>x</m:t>
                </m:r>
              </m:e>
              <m:sub>
                <m:box>
                  <m:boxPr/>
                  <m:e>
                    <m:r>
                      <m:rPr/>
                      <m:t>i</m:t>
                    </m:r>
                    <m:r>
                      <m:rPr>
                        <m:sty m:val="p"/>
                      </m:rPr>
                      <m:t>+1</m:t>
                    </m:r>
                  </m:e>
                </m:box>
              </m:sub>
            </m:sSub>
          </m:e>
        </m:box>
      </m:oMath>
      <w:r>
        <w:rPr>
          <w:rFonts w:ascii="宋体" w:hAnsi="宋体" w:eastAsia="宋体"/>
          <w:sz w:val="21"/>
        </w:rPr>
        <w:t xml:space="preserve"> 分别代表相邻两个外部大标记沿着标板坐标轴的几何中心位置坐标；</w:t>
      </w:r>
    </w:p>
    <w:p w14:paraId="6715BFB9">
      <w:pPr>
        <w:pStyle w:val="16"/>
        <w:spacing w:after="80" w:line="276" w:lineRule="auto"/>
        <w:ind w:left="720"/>
      </w:pPr>
      <m:oMath>
        <m:box>
          <m:boxPr/>
          <m:e>
            <m:sSub>
              <m:sSubPr/>
              <m:e>
                <m:r>
                  <m:rPr/>
                  <m:t>s</m:t>
                </m:r>
              </m:e>
              <m:sub>
                <m:r>
                  <m:rPr/>
                  <m:t>i</m:t>
                </m:r>
              </m:sub>
            </m:sSub>
          </m:e>
        </m:box>
      </m:oMath>
      <w:r>
        <w:rPr>
          <w:rFonts w:ascii="宋体" w:hAnsi="宋体" w:eastAsia="宋体"/>
          <w:sz w:val="21"/>
        </w:rPr>
        <w:t xml:space="preserve"> 与 </w:t>
      </w:r>
      <m:oMath>
        <m:box>
          <m:boxPr/>
          <m:e>
            <m:sSub>
              <m:sSubPr/>
              <m:e>
                <m:r>
                  <m:rPr/>
                  <m:t>s</m:t>
                </m:r>
              </m:e>
              <m:sub>
                <m:box>
                  <m:boxPr/>
                  <m:e>
                    <m:r>
                      <m:rPr/>
                      <m:t>i</m:t>
                    </m:r>
                    <m:r>
                      <m:rPr>
                        <m:sty m:val="p"/>
                      </m:rPr>
                      <m:t>+1</m:t>
                    </m:r>
                  </m:e>
                </m:box>
              </m:sub>
            </m:sSub>
          </m:e>
        </m:box>
      </m:oMath>
      <w:r>
        <w:rPr>
          <w:rFonts w:ascii="宋体" w:hAnsi="宋体" w:eastAsia="宋体"/>
          <w:sz w:val="21"/>
        </w:rPr>
        <w:t xml:space="preserve"> 分别代表这两个外部大标记的物理边长；</w:t>
      </w:r>
    </w:p>
    <w:p w14:paraId="3EC2832C">
      <w:pPr>
        <w:pStyle w:val="16"/>
        <w:spacing w:after="80" w:line="276" w:lineRule="auto"/>
        <w:ind w:left="720"/>
      </w:pPr>
      <m:oMath>
        <m:box>
          <m:boxPr/>
          <m:e>
            <m:sSub>
              <m:sSubPr/>
              <m:e>
                <m:r>
                  <m:rPr/>
                  <m:t>X</m:t>
                </m:r>
              </m:e>
              <m:sub>
                <m:box>
                  <m:boxPr/>
                  <m:e>
                    <m:r>
                      <m:rPr/>
                      <m:t>size</m:t>
                    </m:r>
                  </m:e>
                </m:box>
              </m:sub>
            </m:sSub>
          </m:e>
        </m:box>
      </m:oMath>
      <w:r>
        <w:rPr>
          <w:rFonts w:ascii="宋体" w:hAnsi="宋体" w:eastAsia="宋体"/>
          <w:sz w:val="21"/>
        </w:rPr>
        <w:t xml:space="preserve"> 代表降落标板的物理总宽度常数；</w:t>
      </w:r>
    </w:p>
    <w:p w14:paraId="6E500111">
      <w:pPr>
        <w:pStyle w:val="16"/>
        <w:spacing w:after="80" w:line="276" w:lineRule="auto"/>
        <w:ind w:left="720"/>
      </w:pPr>
      <w:r>
        <w:rPr>
          <w:rFonts w:ascii="宋体" w:hAnsi="宋体" w:eastAsia="宋体"/>
          <w:sz w:val="21"/>
        </w:rPr>
        <w:t xml:space="preserve">等号右侧常数项 </w:t>
      </w:r>
      <m:oMath>
        <m:box>
          <m:boxPr/>
          <m:e>
            <m:r>
              <m:rPr>
                <m:sty m:val="p"/>
              </m:rPr>
              <m:t>0.02</m:t>
            </m:r>
          </m:e>
        </m:box>
      </m:oMath>
      <w:r>
        <w:rPr>
          <w:rFonts w:ascii="宋体" w:hAnsi="宋体" w:eastAsia="宋体"/>
          <w:sz w:val="21"/>
        </w:rPr>
        <w:t xml:space="preserve"> 规定了相邻大标记外边缘在空间中至少有 </w:t>
      </w:r>
      <m:oMath>
        <m:box>
          <m:boxPr/>
          <m:e>
            <m:r>
              <m:rPr>
                <m:sty m:val="p"/>
              </m:rPr>
              <m:t>2</m:t>
            </m:r>
            <m:r>
              <m:rPr/>
              <m:t>%</m:t>
            </m:r>
          </m:e>
        </m:box>
      </m:oMath>
      <w:r>
        <w:rPr>
          <w:rFonts w:ascii="宋体" w:hAnsi="宋体" w:eastAsia="宋体"/>
          <w:sz w:val="21"/>
        </w:rPr>
        <w:t xml:space="preserve"> 的级差间距比值。</w:t>
      </w:r>
    </w:p>
    <w:p w14:paraId="54745370">
      <w:pPr>
        <w:spacing w:after="120" w:line="300" w:lineRule="auto"/>
        <w:ind w:firstLine="420"/>
      </w:pPr>
      <w:r>
        <w:rPr>
          <w:rFonts w:ascii="宋体" w:hAnsi="宋体" w:eastAsia="宋体"/>
          <w:sz w:val="21"/>
        </w:rPr>
        <w:t>该设计能够保证无人机下降时，外部标记在视场边缘依次飞出画面，使视觉特征量的变化矩阵保持连续且平稳，避免控制指令产生高频震荡与超调。</w:t>
      </w:r>
    </w:p>
    <w:p w14:paraId="141BA016">
      <w:pPr>
        <w:spacing w:after="120" w:line="300" w:lineRule="auto"/>
        <w:ind w:firstLine="420"/>
      </w:pPr>
      <w:r>
        <w:rPr>
          <w:rFonts w:ascii="宋体" w:hAnsi="宋体" w:eastAsia="宋体"/>
          <w:sz w:val="21"/>
        </w:rPr>
        <w:t>最后，系统在大标记退缩留出的十字通道内无缝嵌入了双轨十字跑道阵列。跑道刻度完全继承中心十字星团的网格步长，无间隙向外侧延伸。其设计优势在于，当降落目标进行快速运动导致无人机偏离中心时，跑道能提供连续的高频差分特征，防止系统在尺度交替的临界区发生目标丢失。</w:t>
      </w:r>
    </w:p>
    <w:p w14:paraId="0D61ECB1">
      <w:pPr>
        <w:keepNext/>
        <w:spacing w:before="360" w:after="120"/>
      </w:pPr>
      <w:r>
        <w:rPr>
          <w:rFonts w:ascii="微软雅黑" w:hAnsi="微软雅黑"/>
          <w:b/>
          <w:color w:val="1B365D"/>
          <w:sz w:val="30"/>
        </w:rPr>
        <w:t>三、 视觉位姿检测与多标联合解算</w:t>
      </w:r>
    </w:p>
    <w:p w14:paraId="1DBB7C6A">
      <w:pPr>
        <w:spacing w:after="120" w:line="300" w:lineRule="auto"/>
        <w:ind w:firstLine="420"/>
      </w:pPr>
      <w:r>
        <w:rPr>
          <w:rFonts w:ascii="宋体" w:hAnsi="宋体" w:eastAsia="宋体"/>
          <w:sz w:val="21"/>
        </w:rPr>
        <w:t>视觉解算算法负责从降落垫图像特征中解算出高可信度的空间位姿，主要由多标记联合解算、基于射线的加权融合以及云台自适应姿态补偿组成。</w:t>
      </w:r>
    </w:p>
    <w:p w14:paraId="7DA59739">
      <w:pPr>
        <w:spacing w:after="120" w:line="300" w:lineRule="auto"/>
        <w:ind w:firstLine="420"/>
      </w:pPr>
      <w:r>
        <w:rPr>
          <w:rFonts w:ascii="宋体" w:hAnsi="宋体" w:eastAsia="宋体"/>
          <w:sz w:val="21"/>
        </w:rPr>
        <w:t>多标联合估计算法是视觉解算的核心。相比于对每个标记独立求解再求平均值的方案，联合估计充分利用了标板已知的相对空间约束。算法将当前帧内检测到的所有标记像素角点与它们在标板坐标系中的物理坐标进行全局联合匹配，通过重投影误差最小化方程，结合随机抽样一致算法（RANSAC）去除由于光照变化或动态模糊引起的干扰点，从而估计出目标位姿。该联合估计的数学公式如下：</w:t>
      </w:r>
    </w:p>
    <w:p w14:paraId="641D6649">
      <w:pPr>
        <w:spacing w:before="120" w:after="120"/>
        <w:jc w:val="center"/>
      </w:pPr>
      <m:oMathPara>
        <m:oMath>
          <m:box>
            <m:boxPr/>
            <m:e>
              <m:sSub>
                <m:sSubPr/>
                <m:e>
                  <m:r>
                    <m:rPr>
                      <m:sty m:val="p"/>
                    </m:rPr>
                    <m:t>min</m:t>
                  </m:r>
                </m:e>
                <m:sub>
                  <m:box>
                    <m:boxPr/>
                    <m:e>
                      <m:r>
                        <m:rPr/>
                        <m:t>R</m:t>
                      </m:r>
                      <m:r>
                        <m:rPr>
                          <m:sty m:val="p"/>
                        </m:rPr>
                        <m:t>,</m:t>
                      </m:r>
                      <m:r>
                        <m:rPr/>
                        <m:t>t</m:t>
                      </m:r>
                    </m:e>
                  </m:box>
                </m:sub>
              </m:sSub>
              <m:nary>
                <m:naryPr>
                  <m:chr m:val="∑"/>
                  <m:limLoc m:val="undOvr"/>
                </m:naryPr>
                <m:sub>
                  <m:box>
                    <m:boxPr/>
                    <m:e>
                      <m:r>
                        <m:rPr/>
                        <m:t>j</m:t>
                      </m:r>
                      <m:r>
                        <m:rPr>
                          <m:sty m:val="p"/>
                        </m:rPr>
                        <m:t>=1</m:t>
                      </m:r>
                    </m:e>
                  </m:box>
                </m:sub>
                <m:sup>
                  <m:box>
                    <m:boxPr/>
                    <m:e>
                      <m:r>
                        <m:rPr>
                          <m:sty m:val="p"/>
                        </m:rPr>
                        <m:t>4</m:t>
                      </m:r>
                      <m:r>
                        <m:rPr/>
                        <m:t>K</m:t>
                      </m:r>
                    </m:e>
                  </m:box>
                </m:sup>
                <m:e>
                  <m:r>
                    <m:rPr>
                      <m:sty m:val="p"/>
                    </m:rPr>
                    <m:t>‖</m:t>
                  </m:r>
                  <m:sSub>
                    <m:sSubPr/>
                    <m:e>
                      <m:r>
                        <m:rPr/>
                        <m:t>p</m:t>
                      </m:r>
                    </m:e>
                    <m:sub>
                      <m:box>
                        <m:boxPr/>
                        <m:e>
                          <m:r>
                            <m:rPr>
                              <m:sty m:val="p"/>
                            </m:rPr>
                            <m:t>2</m:t>
                          </m:r>
                          <m:r>
                            <m:rPr/>
                            <m:t>D</m:t>
                          </m:r>
                          <m:r>
                            <m:rPr>
                              <m:sty m:val="p"/>
                            </m:rPr>
                            <m:t>,</m:t>
                          </m:r>
                          <m:r>
                            <m:rPr/>
                            <m:t>j</m:t>
                          </m:r>
                        </m:e>
                      </m:box>
                    </m:sub>
                  </m:sSub>
                  <m:r>
                    <m:rPr>
                      <m:sty m:val="p"/>
                    </m:rPr>
                    <m:t>−</m:t>
                  </m:r>
                  <m:r>
                    <m:rPr/>
                    <m:t>π</m:t>
                  </m:r>
                  <m:r>
                    <m:rPr>
                      <m:sty m:val="p"/>
                    </m:rPr>
                    <m:t>(</m:t>
                  </m:r>
                  <m:r>
                    <m:rPr/>
                    <m:t>R</m:t>
                  </m:r>
                  <m:sSub>
                    <m:sSubPr/>
                    <m:e>
                      <m:r>
                        <m:rPr/>
                        <m:t>P</m:t>
                      </m:r>
                    </m:e>
                    <m:sub>
                      <m:box>
                        <m:boxPr/>
                        <m:e>
                          <m:r>
                            <m:rPr>
                              <m:sty m:val="p"/>
                            </m:rPr>
                            <m:t>3</m:t>
                          </m:r>
                          <m:r>
                            <m:rPr/>
                            <m:t>D</m:t>
                          </m:r>
                          <m:r>
                            <m:rPr>
                              <m:sty m:val="p"/>
                            </m:rPr>
                            <m:t>,</m:t>
                          </m:r>
                          <m:r>
                            <m:rPr/>
                            <m:t>j</m:t>
                          </m:r>
                        </m:e>
                      </m:box>
                    </m:sub>
                  </m:sSub>
                  <m:r>
                    <m:rPr>
                      <m:sty m:val="p"/>
                    </m:rPr>
                    <m:t>+</m:t>
                  </m:r>
                  <m:r>
                    <m:rPr/>
                    <m:t>t</m:t>
                  </m:r>
                  <m:r>
                    <m:rPr>
                      <m:sty m:val="p"/>
                    </m:rPr>
                    <m:t>)</m:t>
                  </m:r>
                  <m:sSup>
                    <m:sSupPr/>
                    <m:e>
                      <m:r>
                        <m:rPr>
                          <m:sty m:val="p"/>
                        </m:rPr>
                        <m:t>‖</m:t>
                      </m:r>
                    </m:e>
                    <m:sup>
                      <m:r>
                        <m:rPr>
                          <m:sty m:val="p"/>
                        </m:rPr>
                        <m:t>2</m:t>
                      </m:r>
                    </m:sup>
                  </m:sSup>
                </m:e>
              </m:nary>
            </m:e>
          </m:box>
        </m:oMath>
      </m:oMathPara>
    </w:p>
    <w:p w14:paraId="0643CE27">
      <w:pPr>
        <w:spacing w:after="120" w:line="300" w:lineRule="auto"/>
        <w:ind w:firstLine="420"/>
      </w:pPr>
      <w:r>
        <w:rPr>
          <w:rFonts w:ascii="宋体" w:hAnsi="宋体" w:eastAsia="宋体"/>
          <w:sz w:val="21"/>
        </w:rPr>
        <w:t>在上述公式中，各项变量的具体定义为：</w:t>
      </w:r>
    </w:p>
    <w:p w14:paraId="591C7C1A">
      <w:pPr>
        <w:pStyle w:val="16"/>
        <w:spacing w:after="80" w:line="276" w:lineRule="auto"/>
        <w:ind w:left="720"/>
      </w:pPr>
      <m:oMath>
        <m:box>
          <m:boxPr/>
          <m:e>
            <m:r>
              <m:rPr/>
              <m:t>R</m:t>
            </m:r>
          </m:e>
        </m:box>
      </m:oMath>
      <w:r>
        <w:rPr>
          <w:rFonts w:ascii="宋体" w:hAnsi="宋体" w:eastAsia="宋体"/>
          <w:sz w:val="21"/>
        </w:rPr>
        <w:t xml:space="preserve"> 与 </w:t>
      </w:r>
      <m:oMath>
        <m:box>
          <m:boxPr/>
          <m:e>
            <m:r>
              <m:rPr/>
              <m:t>t</m:t>
            </m:r>
          </m:e>
        </m:box>
      </m:oMath>
      <w:r>
        <w:rPr>
          <w:rFonts w:ascii="宋体" w:hAnsi="宋体" w:eastAsia="宋体"/>
          <w:sz w:val="21"/>
        </w:rPr>
        <w:t xml:space="preserve"> 分别代表标记标板坐标系相对于相机光轴坐标系的旋转矩阵与平移向量；</w:t>
      </w:r>
    </w:p>
    <w:p w14:paraId="351E7744">
      <w:pPr>
        <w:pStyle w:val="16"/>
        <w:spacing w:after="80" w:line="276" w:lineRule="auto"/>
        <w:ind w:left="720"/>
      </w:pPr>
      <m:oMath>
        <m:box>
          <m:boxPr/>
          <m:e>
            <m:r>
              <m:rPr/>
              <m:t>K</m:t>
            </m:r>
          </m:e>
        </m:box>
      </m:oMath>
      <w:r>
        <w:rPr>
          <w:rFonts w:ascii="宋体" w:hAnsi="宋体" w:eastAsia="宋体"/>
          <w:sz w:val="21"/>
        </w:rPr>
        <w:t xml:space="preserve"> 代表当前图像帧中被识别且参与全局位姿联合解算的标记总数量；</w:t>
      </w:r>
    </w:p>
    <w:p w14:paraId="1476DD71">
      <w:pPr>
        <w:pStyle w:val="16"/>
        <w:spacing w:after="80" w:line="276" w:lineRule="auto"/>
        <w:ind w:left="720"/>
      </w:pPr>
      <m:oMath>
        <m:box>
          <m:boxPr/>
          <m:e>
            <m:sSub>
              <m:sSubPr/>
              <m:e>
                <m:r>
                  <m:rPr/>
                  <m:t>P</m:t>
                </m:r>
              </m:e>
              <m:sub>
                <m:box>
                  <m:boxPr/>
                  <m:e>
                    <m:r>
                      <m:rPr>
                        <m:sty m:val="p"/>
                      </m:rPr>
                      <m:t>3</m:t>
                    </m:r>
                    <m:r>
                      <m:rPr/>
                      <m:t>D</m:t>
                    </m:r>
                    <m:r>
                      <m:rPr>
                        <m:sty m:val="p"/>
                      </m:rPr>
                      <m:t>,</m:t>
                    </m:r>
                    <m:r>
                      <m:rPr/>
                      <m:t>j</m:t>
                    </m:r>
                  </m:e>
                </m:box>
              </m:sub>
            </m:sSub>
          </m:e>
        </m:box>
      </m:oMath>
      <w:r>
        <w:rPr>
          <w:rFonts w:ascii="宋体" w:hAnsi="宋体" w:eastAsia="宋体"/>
          <w:sz w:val="21"/>
        </w:rPr>
        <w:t xml:space="preserve"> 代表第 </w:t>
      </w:r>
      <m:oMath>
        <m:box>
          <m:boxPr/>
          <m:e>
            <m:r>
              <m:rPr/>
              <m:t>j</m:t>
            </m:r>
          </m:e>
        </m:box>
      </m:oMath>
      <w:r>
        <w:rPr>
          <w:rFonts w:ascii="宋体" w:hAnsi="宋体" w:eastAsia="宋体"/>
          <w:sz w:val="21"/>
        </w:rPr>
        <w:t xml:space="preserve"> 个角点在降落标板三维物理空间中的标定三维坐标；</w:t>
      </w:r>
    </w:p>
    <w:p w14:paraId="796953F9">
      <w:pPr>
        <w:pStyle w:val="16"/>
        <w:spacing w:after="80" w:line="276" w:lineRule="auto"/>
        <w:ind w:left="720"/>
      </w:pPr>
      <m:oMath>
        <m:box>
          <m:boxPr/>
          <m:e>
            <m:sSub>
              <m:sSubPr/>
              <m:e>
                <m:r>
                  <m:rPr/>
                  <m:t>p</m:t>
                </m:r>
              </m:e>
              <m:sub>
                <m:box>
                  <m:boxPr/>
                  <m:e>
                    <m:r>
                      <m:rPr>
                        <m:sty m:val="p"/>
                      </m:rPr>
                      <m:t>2</m:t>
                    </m:r>
                    <m:r>
                      <m:rPr/>
                      <m:t>D</m:t>
                    </m:r>
                    <m:r>
                      <m:rPr>
                        <m:sty m:val="p"/>
                      </m:rPr>
                      <m:t>,</m:t>
                    </m:r>
                    <m:r>
                      <m:rPr/>
                      <m:t>j</m:t>
                    </m:r>
                  </m:e>
                </m:box>
              </m:sub>
            </m:sSub>
          </m:e>
        </m:box>
      </m:oMath>
      <w:r>
        <w:rPr>
          <w:rFonts w:ascii="宋体" w:hAnsi="宋体" w:eastAsia="宋体"/>
          <w:sz w:val="21"/>
        </w:rPr>
        <w:t xml:space="preserve"> 代表第 </w:t>
      </w:r>
      <m:oMath>
        <m:box>
          <m:boxPr/>
          <m:e>
            <m:r>
              <m:rPr/>
              <m:t>j</m:t>
            </m:r>
          </m:e>
        </m:box>
      </m:oMath>
      <w:r>
        <w:rPr>
          <w:rFonts w:ascii="宋体" w:hAnsi="宋体" w:eastAsia="宋体"/>
          <w:sz w:val="21"/>
        </w:rPr>
        <w:t xml:space="preserve"> 个角点在成像平面上实际提取到的二维像素位置坐标；</w:t>
      </w:r>
    </w:p>
    <w:p w14:paraId="131ACFD9">
      <w:pPr>
        <w:pStyle w:val="16"/>
        <w:spacing w:after="80" w:line="276" w:lineRule="auto"/>
        <w:ind w:left="720"/>
      </w:pPr>
      <m:oMath>
        <m:box>
          <m:boxPr/>
          <m:e>
            <m:r>
              <m:rPr/>
              <m:t>π</m:t>
            </m:r>
            <m:r>
              <m:rPr>
                <m:sty m:val="p"/>
              </m:rPr>
              <m:t>(</m:t>
            </m:r>
            <m:r>
              <m:rPr/>
              <m:t>·</m:t>
            </m:r>
            <m:r>
              <m:rPr>
                <m:sty m:val="p"/>
              </m:rPr>
              <m:t>)</m:t>
            </m:r>
          </m:e>
        </m:box>
      </m:oMath>
      <w:r>
        <w:rPr>
          <w:rFonts w:ascii="宋体" w:hAnsi="宋体" w:eastAsia="宋体"/>
          <w:sz w:val="21"/>
        </w:rPr>
        <w:t xml:space="preserve"> 表示相机的透视投影投影变换函数，用于将空间三维点变换至相机的二维像素平面。</w:t>
      </w:r>
    </w:p>
    <w:p w14:paraId="5E84CD65">
      <w:pPr>
        <w:spacing w:after="120" w:line="300" w:lineRule="auto"/>
        <w:ind w:firstLine="420"/>
      </w:pPr>
      <w:r>
        <w:rPr>
          <w:rFonts w:ascii="宋体" w:hAnsi="宋体" w:eastAsia="宋体"/>
          <w:sz w:val="21"/>
        </w:rPr>
        <w:t>该方法的设计优势在于，将多标记的几何冗余度融合为一个全局优化问题，避免了单一标记噪声在非线性估计中的放大，显著提升了解算结果的稳定度与厘米级的静态精度。</w:t>
      </w:r>
    </w:p>
    <w:p w14:paraId="0C02B758">
      <w:pPr>
        <w:spacing w:after="120" w:line="300" w:lineRule="auto"/>
        <w:ind w:firstLine="420"/>
      </w:pPr>
      <w:r>
        <w:rPr>
          <w:rFonts w:ascii="宋体" w:hAnsi="宋体" w:eastAsia="宋体"/>
          <w:sz w:val="21"/>
        </w:rPr>
        <w:t>在无人机降落的高空阶段，标板在相机图像中所占面积极小，三维位姿估计对深度和姿态解算十分敏感，会引入高频的测距和航向抖动。为此，系统引入了基于相机的射线解算方法。该方法的原理是直接通过标记在图像中的二维中心像素坐标，利用相机内参矩阵投影为相机坐标系下的三维单位方向向量，再结合无人机的实时高度和姿态，求取射线与水平降落平台平面的交点，以获取稳健的水平中心位置。此设计避开了三维位姿解算在高空因特征点密集产生的距离噪声，提升了高空水平捕捉的平稳性。系统根据实时测量的高度，在预设的高临界高度与低临界高度之间进行插值融合：高于高临界高度（例如10米）时完全采用射线解算结果以滤除测距噪声；低于低临界高度（例如8米）时则完全采用三维解算结果；在此区间内则采用随高度线性变化的插值系数进行平滑融合。</w:t>
      </w:r>
    </w:p>
    <w:p w14:paraId="077400E1">
      <w:pPr>
        <w:spacing w:after="120" w:line="300" w:lineRule="auto"/>
        <w:ind w:firstLine="420"/>
      </w:pPr>
      <w:r>
        <w:rPr>
          <w:rFonts w:ascii="宋体" w:hAnsi="宋体" w:eastAsia="宋体"/>
          <w:sz w:val="21"/>
        </w:rPr>
        <w:t>为了使相机在大俯仰姿态飞行或抗风偏航时相机仍能锁定标板，降落相机通常安装在三轴防抖云台上。系统需要计算相机坐标系到机身坐标系的旋转矩阵，将视觉误差实时投影到机身运动框架下。该云台自适应姿态补偿的公式如下：</w:t>
      </w:r>
    </w:p>
    <w:p w14:paraId="60EFA4F9">
      <w:pPr>
        <w:spacing w:before="120" w:after="120"/>
        <w:jc w:val="center"/>
      </w:pPr>
      <m:oMathPara>
        <m:oMath>
          <m:box>
            <m:boxPr/>
            <m:e>
              <m:sSubSup>
                <m:sSubSupPr/>
                <m:e>
                  <m:r>
                    <m:rPr/>
                    <m:t>R</m:t>
                  </m:r>
                </m:e>
                <m:sub>
                  <m:box>
                    <m:boxPr/>
                    <m:e>
                      <m:r>
                        <m:rPr/>
                        <m:t>c</m:t>
                      </m:r>
                    </m:e>
                  </m:box>
                </m:sub>
                <m:sup>
                  <m:box>
                    <m:boxPr/>
                    <m:e>
                      <m:r>
                        <m:rPr/>
                        <m:t>b</m:t>
                      </m:r>
                    </m:e>
                  </m:box>
                </m:sup>
              </m:sSubSup>
              <m:r>
                <m:rPr>
                  <m:sty m:val="p"/>
                </m:rPr>
                <m:t>=</m:t>
              </m:r>
              <m:sSubSup>
                <m:sSubSupPr/>
                <m:e>
                  <m:r>
                    <m:rPr/>
                    <m:t>R</m:t>
                  </m:r>
                </m:e>
                <m:sub>
                  <m:box>
                    <m:boxPr/>
                    <m:e>
                      <m:r>
                        <m:rPr/>
                        <m:t>frd</m:t>
                      </m:r>
                    </m:e>
                  </m:box>
                </m:sub>
                <m:sup>
                  <m:box>
                    <m:boxPr/>
                    <m:e>
                      <m:r>
                        <m:rPr/>
                        <m:t>flu</m:t>
                      </m:r>
                    </m:e>
                  </m:box>
                </m:sup>
              </m:sSubSup>
              <m:r>
                <m:rPr/>
                <m:t>·</m:t>
              </m:r>
              <m:r>
                <m:rPr>
                  <m:sty m:val="p"/>
                </m:rPr>
                <m:t>[</m:t>
              </m:r>
              <m:sSub>
                <m:sSubPr/>
                <m:e>
                  <m:r>
                    <m:rPr/>
                    <m:t>R</m:t>
                  </m:r>
                </m:e>
                <m:sub>
                  <m:r>
                    <m:rPr/>
                    <m:t>z</m:t>
                  </m:r>
                </m:sub>
              </m:sSub>
              <m:r>
                <m:rPr>
                  <m:sty m:val="p"/>
                </m:rPr>
                <m:t>(</m:t>
              </m:r>
              <m:sSub>
                <m:sSubPr/>
                <m:e>
                  <m:r>
                    <m:rPr/>
                    <m:t>g</m:t>
                  </m:r>
                </m:e>
                <m:sub>
                  <m:box>
                    <m:boxPr/>
                    <m:e>
                      <m:r>
                        <m:rPr/>
                        <m:t>yaw</m:t>
                      </m:r>
                    </m:e>
                  </m:box>
                </m:sub>
              </m:sSub>
              <m:r>
                <m:rPr>
                  <m:sty m:val="p"/>
                </m:rPr>
                <m:t>)</m:t>
              </m:r>
              <m:r>
                <m:rPr/>
                <m:t>·</m:t>
              </m:r>
              <m:sSub>
                <m:sSubPr/>
                <m:e>
                  <m:r>
                    <m:rPr/>
                    <m:t>R</m:t>
                  </m:r>
                </m:e>
                <m:sub>
                  <m:r>
                    <m:rPr/>
                    <m:t>y</m:t>
                  </m:r>
                </m:sub>
              </m:sSub>
              <m:r>
                <m:rPr>
                  <m:sty m:val="p"/>
                </m:rPr>
                <m:t>(</m:t>
              </m:r>
              <m:sSub>
                <m:sSubPr/>
                <m:e>
                  <m:r>
                    <m:rPr/>
                    <m:t>g</m:t>
                  </m:r>
                </m:e>
                <m:sub>
                  <m:box>
                    <m:boxPr/>
                    <m:e>
                      <m:r>
                        <m:rPr/>
                        <m:t>pitch</m:t>
                      </m:r>
                    </m:e>
                  </m:box>
                </m:sub>
              </m:sSub>
              <m:r>
                <m:rPr>
                  <m:sty m:val="p"/>
                </m:rPr>
                <m:t>)</m:t>
              </m:r>
              <m:r>
                <m:rPr/>
                <m:t>·</m:t>
              </m:r>
              <m:sSub>
                <m:sSubPr/>
                <m:e>
                  <m:r>
                    <m:rPr/>
                    <m:t>R</m:t>
                  </m:r>
                </m:e>
                <m:sub>
                  <m:r>
                    <m:rPr/>
                    <m:t>x</m:t>
                  </m:r>
                </m:sub>
              </m:sSub>
              <m:r>
                <m:rPr>
                  <m:sty m:val="p"/>
                </m:rPr>
                <m:t>(</m:t>
              </m:r>
              <m:sSub>
                <m:sSubPr/>
                <m:e>
                  <m:r>
                    <m:rPr/>
                    <m:t>g</m:t>
                  </m:r>
                </m:e>
                <m:sub>
                  <m:box>
                    <m:boxPr/>
                    <m:e>
                      <m:r>
                        <m:rPr/>
                        <m:t>roll</m:t>
                      </m:r>
                    </m:e>
                  </m:box>
                </m:sub>
              </m:sSub>
              <m:r>
                <m:rPr>
                  <m:sty m:val="p"/>
                </m:rPr>
                <m:t>)]</m:t>
              </m:r>
              <m:r>
                <m:rPr/>
                <m:t>·</m:t>
              </m:r>
              <m:sSubSup>
                <m:sSubSupPr/>
                <m:e>
                  <m:r>
                    <m:rPr/>
                    <m:t>R</m:t>
                  </m:r>
                </m:e>
                <m:sub>
                  <m:box>
                    <m:boxPr/>
                    <m:e>
                      <m:r>
                        <m:rPr/>
                        <m:t>cam</m:t>
                      </m:r>
                    </m:e>
                  </m:box>
                </m:sub>
                <m:sup>
                  <m:box>
                    <m:boxPr/>
                    <m:e>
                      <m:r>
                        <m:rPr/>
                        <m:t>frd</m:t>
                      </m:r>
                    </m:e>
                  </m:box>
                </m:sup>
              </m:sSubSup>
            </m:e>
          </m:box>
        </m:oMath>
      </m:oMathPara>
    </w:p>
    <w:p w14:paraId="3A12D9B0">
      <w:pPr>
        <w:spacing w:after="120" w:line="300" w:lineRule="auto"/>
        <w:ind w:firstLine="420"/>
      </w:pPr>
      <w:r>
        <w:rPr>
          <w:rFonts w:ascii="宋体" w:hAnsi="宋体" w:eastAsia="宋体"/>
          <w:sz w:val="21"/>
        </w:rPr>
        <w:t>在上述公式中，各项变量的具体定义为：</w:t>
      </w:r>
    </w:p>
    <w:p w14:paraId="4F7DDF6A">
      <w:pPr>
        <w:pStyle w:val="16"/>
        <w:spacing w:after="80" w:line="276" w:lineRule="auto"/>
        <w:ind w:left="720"/>
      </w:pPr>
      <m:oMath>
        <m:box>
          <m:boxPr/>
          <m:e>
            <m:sSubSup>
              <m:sSubSupPr/>
              <m:e>
                <m:r>
                  <m:rPr/>
                  <m:t>R</m:t>
                </m:r>
              </m:e>
              <m:sub>
                <m:box>
                  <m:boxPr/>
                  <m:e>
                    <m:r>
                      <m:rPr/>
                      <m:t>c</m:t>
                    </m:r>
                  </m:e>
                </m:box>
              </m:sub>
              <m:sup>
                <m:box>
                  <m:boxPr/>
                  <m:e>
                    <m:r>
                      <m:rPr/>
                      <m:t>b</m:t>
                    </m:r>
                  </m:e>
                </m:box>
              </m:sup>
            </m:sSubSup>
          </m:e>
        </m:box>
      </m:oMath>
      <w:r>
        <w:rPr>
          <w:rFonts w:ascii="宋体" w:hAnsi="宋体" w:eastAsia="宋体"/>
          <w:sz w:val="21"/>
        </w:rPr>
        <w:t xml:space="preserve"> 代表相机光学坐标系至机身前-左-上（FLU）物理坐标系的旋转变换矩阵；</w:t>
      </w:r>
    </w:p>
    <w:p w14:paraId="1CC3C7A5">
      <w:pPr>
        <w:pStyle w:val="16"/>
        <w:spacing w:after="80" w:line="276" w:lineRule="auto"/>
        <w:ind w:left="720"/>
      </w:pPr>
      <m:oMath>
        <m:box>
          <m:boxPr/>
          <m:e>
            <m:sSub>
              <m:sSubPr/>
              <m:e>
                <m:r>
                  <m:rPr/>
                  <m:t>g</m:t>
                </m:r>
              </m:e>
              <m:sub>
                <m:box>
                  <m:boxPr/>
                  <m:e>
                    <m:r>
                      <m:rPr/>
                      <m:t>yaw</m:t>
                    </m:r>
                  </m:e>
                </m:box>
              </m:sub>
            </m:sSub>
          </m:e>
        </m:box>
      </m:oMath>
      <w:r>
        <w:rPr>
          <w:rFonts w:ascii="宋体" w:hAnsi="宋体" w:eastAsia="宋体"/>
          <w:sz w:val="21"/>
        </w:rPr>
        <w:t>、</w:t>
      </w:r>
      <m:oMath>
        <m:box>
          <m:boxPr/>
          <m:e>
            <m:sSub>
              <m:sSubPr/>
              <m:e>
                <m:r>
                  <m:rPr/>
                  <m:t>g</m:t>
                </m:r>
              </m:e>
              <m:sub>
                <m:box>
                  <m:boxPr/>
                  <m:e>
                    <m:r>
                      <m:rPr/>
                      <m:t>pitch</m:t>
                    </m:r>
                  </m:e>
                </m:box>
              </m:sub>
            </m:sSub>
          </m:e>
        </m:box>
      </m:oMath>
      <w:r>
        <w:rPr>
          <w:rFonts w:ascii="宋体" w:hAnsi="宋体" w:eastAsia="宋体"/>
          <w:sz w:val="21"/>
        </w:rPr>
        <w:t xml:space="preserve"> 和 </w:t>
      </w:r>
      <m:oMath>
        <m:box>
          <m:boxPr/>
          <m:e>
            <m:sSub>
              <m:sSubPr/>
              <m:e>
                <m:r>
                  <m:rPr/>
                  <m:t>g</m:t>
                </m:r>
              </m:e>
              <m:sub>
                <m:box>
                  <m:boxPr/>
                  <m:e>
                    <m:r>
                      <m:rPr/>
                      <m:t>roll</m:t>
                    </m:r>
                  </m:e>
                </m:box>
              </m:sub>
            </m:sSub>
          </m:e>
        </m:box>
      </m:oMath>
      <w:r>
        <w:rPr>
          <w:rFonts w:ascii="宋体" w:hAnsi="宋体" w:eastAsia="宋体"/>
          <w:sz w:val="21"/>
        </w:rPr>
        <w:t xml:space="preserve"> 分别为云台当前回传的实时相对偏航角、俯仰角和横滚角角弧度值；</w:t>
      </w:r>
    </w:p>
    <w:p w14:paraId="7B41A171">
      <w:pPr>
        <w:pStyle w:val="16"/>
        <w:spacing w:after="80" w:line="276" w:lineRule="auto"/>
        <w:ind w:left="720"/>
      </w:pPr>
      <m:oMath>
        <m:box>
          <m:boxPr/>
          <m:e>
            <m:sSubSup>
              <m:sSubSupPr/>
              <m:e>
                <m:r>
                  <m:rPr/>
                  <m:t>R</m:t>
                </m:r>
              </m:e>
              <m:sub>
                <m:box>
                  <m:boxPr/>
                  <m:e>
                    <m:r>
                      <m:rPr/>
                      <m:t>cam</m:t>
                    </m:r>
                  </m:e>
                </m:box>
              </m:sub>
              <m:sup>
                <m:box>
                  <m:boxPr/>
                  <m:e>
                    <m:r>
                      <m:rPr/>
                      <m:t>frd</m:t>
                    </m:r>
                  </m:e>
                </m:box>
              </m:sup>
            </m:sSubSup>
          </m:e>
        </m:box>
      </m:oMath>
      <w:r>
        <w:rPr>
          <w:rFonts w:ascii="宋体" w:hAnsi="宋体" w:eastAsia="宋体"/>
          <w:sz w:val="21"/>
        </w:rPr>
        <w:t xml:space="preserve"> 代表相机光轴系至云台安装前-右-下（FRD）坐标系之间的静态旋转矩阵；</w:t>
      </w:r>
    </w:p>
    <w:p w14:paraId="132FC3D7">
      <w:pPr>
        <w:pStyle w:val="16"/>
        <w:spacing w:after="80" w:line="276" w:lineRule="auto"/>
        <w:ind w:left="720"/>
      </w:pPr>
      <m:oMath>
        <m:box>
          <m:boxPr/>
          <m:e>
            <m:sSubSup>
              <m:sSubSupPr/>
              <m:e>
                <m:r>
                  <m:rPr/>
                  <m:t>R</m:t>
                </m:r>
              </m:e>
              <m:sub>
                <m:box>
                  <m:boxPr/>
                  <m:e>
                    <m:r>
                      <m:rPr/>
                      <m:t>frd</m:t>
                    </m:r>
                  </m:e>
                </m:box>
              </m:sub>
              <m:sup>
                <m:box>
                  <m:boxPr/>
                  <m:e>
                    <m:r>
                      <m:rPr/>
                      <m:t>flu</m:t>
                    </m:r>
                  </m:e>
                </m:box>
              </m:sup>
            </m:sSubSup>
          </m:e>
        </m:box>
      </m:oMath>
      <w:r>
        <w:rPr>
          <w:rFonts w:ascii="宋体" w:hAnsi="宋体" w:eastAsia="宋体"/>
          <w:sz w:val="21"/>
        </w:rPr>
        <w:t xml:space="preserve"> 代表前-右-下物理坐标系至机身前-左-上物理坐标系的空间转换常量矩阵。</w:t>
      </w:r>
    </w:p>
    <w:p w14:paraId="634CA1DC">
      <w:pPr>
        <w:spacing w:after="120" w:line="300" w:lineRule="auto"/>
        <w:ind w:firstLine="420"/>
      </w:pPr>
      <w:r>
        <w:rPr>
          <w:rFonts w:ascii="宋体" w:hAnsi="宋体" w:eastAsia="宋体"/>
          <w:sz w:val="21"/>
        </w:rPr>
        <w:t>通过该补偿公式，可动态消除云台转动对视觉定位的影响，保证控制指令在各种俯仰角度下具有高度一致性。</w:t>
      </w:r>
    </w:p>
    <w:p w14:paraId="0E578B1F">
      <w:pPr>
        <w:keepNext/>
        <w:spacing w:before="360" w:after="120"/>
      </w:pPr>
      <w:r>
        <w:rPr>
          <w:rFonts w:ascii="微软雅黑" w:hAnsi="微软雅黑"/>
          <w:b/>
          <w:color w:val="1B365D"/>
          <w:sz w:val="30"/>
        </w:rPr>
        <w:t>四、 状态估计与卡尔曼滤波算法</w:t>
      </w:r>
    </w:p>
    <w:p w14:paraId="09CD7AFA">
      <w:pPr>
        <w:spacing w:after="120" w:line="300" w:lineRule="auto"/>
        <w:ind w:firstLine="420"/>
      </w:pPr>
      <w:r>
        <w:rPr>
          <w:rFonts w:ascii="宋体" w:hAnsi="宋体" w:eastAsia="宋体"/>
          <w:sz w:val="21"/>
        </w:rPr>
        <w:t>状态估计器用于平滑带有噪声的视觉定位数据，并预测降落目标的实时动态特性，特别是在目标作曲线运动时。</w:t>
      </w:r>
    </w:p>
    <w:p w14:paraId="4B032525">
      <w:pPr>
        <w:spacing w:after="120" w:line="300" w:lineRule="auto"/>
        <w:ind w:firstLine="420"/>
      </w:pPr>
      <w:r>
        <w:rPr>
          <w:rFonts w:ascii="宋体" w:hAnsi="宋体" w:eastAsia="宋体"/>
          <w:sz w:val="21"/>
        </w:rPr>
        <w:t>系统状态建模采用了恒定转弯率和速度运动模型（CTRV）。该模型的状态向量表示为：</w:t>
      </w:r>
    </w:p>
    <w:p w14:paraId="67C8BC62">
      <w:pPr>
        <w:spacing w:before="120" w:after="120"/>
        <w:jc w:val="center"/>
      </w:pPr>
      <m:oMathPara>
        <m:oMath>
          <m:box>
            <m:boxPr/>
            <m:e>
              <m:r>
                <m:rPr/>
                <m:t>x</m:t>
              </m:r>
              <m:r>
                <m:rPr>
                  <m:sty m:val="p"/>
                </m:rPr>
                <m:t>=[</m:t>
              </m:r>
              <m:sSub>
                <m:sSubPr/>
                <m:e>
                  <m:r>
                    <m:rPr/>
                    <m:t>p</m:t>
                  </m:r>
                </m:e>
                <m:sub>
                  <m:r>
                    <m:rPr/>
                    <m:t>x</m:t>
                  </m:r>
                </m:sub>
              </m:sSub>
              <m:r>
                <m:rPr>
                  <m:sty m:val="p"/>
                </m:rPr>
                <m:t>,</m:t>
              </m:r>
              <m:sSub>
                <m:sSubPr/>
                <m:e>
                  <m:r>
                    <m:rPr/>
                    <m:t>p</m:t>
                  </m:r>
                </m:e>
                <m:sub>
                  <m:r>
                    <m:rPr/>
                    <m:t>y</m:t>
                  </m:r>
                </m:sub>
              </m:sSub>
              <m:r>
                <m:rPr>
                  <m:sty m:val="p"/>
                </m:rPr>
                <m:t>,</m:t>
              </m:r>
              <m:r>
                <m:rPr/>
                <m:t>v</m:t>
              </m:r>
              <m:r>
                <m:rPr>
                  <m:sty m:val="p"/>
                </m:rPr>
                <m:t>,</m:t>
              </m:r>
              <m:r>
                <m:rPr/>
                <m:t>θ</m:t>
              </m:r>
              <m:r>
                <m:rPr>
                  <m:sty m:val="p"/>
                </m:rPr>
                <m:t>,</m:t>
              </m:r>
              <m:r>
                <m:rPr/>
                <m:t>ω</m:t>
              </m:r>
              <m:sSup>
                <m:sSupPr/>
                <m:e>
                  <m:r>
                    <m:rPr>
                      <m:sty m:val="p"/>
                    </m:rPr>
                    <m:t>]</m:t>
                  </m:r>
                </m:e>
                <m:sup>
                  <m:r>
                    <m:rPr/>
                    <m:t>T</m:t>
                  </m:r>
                </m:sup>
              </m:sSup>
            </m:e>
          </m:box>
        </m:oMath>
      </m:oMathPara>
    </w:p>
    <w:p w14:paraId="3D319418">
      <w:pPr>
        <w:spacing w:after="120" w:line="300" w:lineRule="auto"/>
        <w:ind w:firstLine="420"/>
      </w:pPr>
      <w:r>
        <w:rPr>
          <w:rFonts w:ascii="宋体" w:hAnsi="宋体" w:eastAsia="宋体"/>
          <w:sz w:val="21"/>
        </w:rPr>
        <w:t>在上述状态向量中，各项状态变量的定义为：</w:t>
      </w:r>
    </w:p>
    <w:p w14:paraId="5CB0F0E3">
      <w:pPr>
        <w:pStyle w:val="16"/>
        <w:spacing w:after="80" w:line="276" w:lineRule="auto"/>
        <w:ind w:left="720"/>
      </w:pPr>
      <m:oMath>
        <m:box>
          <m:boxPr/>
          <m:e>
            <m:sSub>
              <m:sSubPr/>
              <m:e>
                <m:r>
                  <m:rPr/>
                  <m:t>p</m:t>
                </m:r>
              </m:e>
              <m:sub>
                <m:r>
                  <m:rPr/>
                  <m:t>x</m:t>
                </m:r>
              </m:sub>
            </m:sSub>
          </m:e>
        </m:box>
      </m:oMath>
      <w:r>
        <w:rPr>
          <w:rFonts w:ascii="宋体" w:hAnsi="宋体" w:eastAsia="宋体"/>
          <w:sz w:val="21"/>
        </w:rPr>
        <w:t xml:space="preserve"> 与 </w:t>
      </w:r>
      <m:oMath>
        <m:box>
          <m:boxPr/>
          <m:e>
            <m:sSub>
              <m:sSubPr/>
              <m:e>
                <m:r>
                  <m:rPr/>
                  <m:t>p</m:t>
                </m:r>
              </m:e>
              <m:sub>
                <m:r>
                  <m:rPr/>
                  <m:t>y</m:t>
                </m:r>
              </m:sub>
            </m:sSub>
          </m:e>
        </m:box>
      </m:oMath>
      <w:r>
        <w:rPr>
          <w:rFonts w:ascii="宋体" w:hAnsi="宋体" w:eastAsia="宋体"/>
          <w:sz w:val="21"/>
        </w:rPr>
        <w:t xml:space="preserve"> 分别为降落目标在全局惯性坐标系下的二维水平坐标轴位置；</w:t>
      </w:r>
    </w:p>
    <w:p w14:paraId="1111CFE9">
      <w:pPr>
        <w:pStyle w:val="16"/>
        <w:spacing w:after="80" w:line="276" w:lineRule="auto"/>
        <w:ind w:left="720"/>
      </w:pPr>
      <m:oMath>
        <m:box>
          <m:boxPr/>
          <m:e>
            <m:r>
              <m:rPr/>
              <m:t>v</m:t>
            </m:r>
          </m:e>
        </m:box>
      </m:oMath>
      <w:r>
        <w:rPr>
          <w:rFonts w:ascii="宋体" w:hAnsi="宋体" w:eastAsia="宋体"/>
          <w:sz w:val="21"/>
        </w:rPr>
        <w:t xml:space="preserve"> 代表目标的二维线速度绝对物理大小；</w:t>
      </w:r>
    </w:p>
    <w:p w14:paraId="0AE5D06E">
      <w:pPr>
        <w:pStyle w:val="16"/>
        <w:spacing w:after="80" w:line="276" w:lineRule="auto"/>
        <w:ind w:left="720"/>
      </w:pPr>
      <m:oMath>
        <m:box>
          <m:boxPr/>
          <m:e>
            <m:r>
              <m:rPr/>
              <m:t>θ</m:t>
            </m:r>
          </m:e>
        </m:box>
      </m:oMath>
      <w:r>
        <w:rPr>
          <w:rFonts w:ascii="宋体" w:hAnsi="宋体" w:eastAsia="宋体"/>
          <w:sz w:val="21"/>
        </w:rPr>
        <w:t xml:space="preserve"> 代表目标在全局地图坐标系下的相对航向角度；</w:t>
      </w:r>
    </w:p>
    <w:p w14:paraId="7B363231">
      <w:pPr>
        <w:pStyle w:val="16"/>
        <w:spacing w:after="80" w:line="276" w:lineRule="auto"/>
        <w:ind w:left="720"/>
      </w:pPr>
      <m:oMath>
        <m:box>
          <m:boxPr/>
          <m:e>
            <m:r>
              <m:rPr/>
              <m:t>ω</m:t>
            </m:r>
          </m:e>
        </m:box>
      </m:oMath>
      <w:r>
        <w:rPr>
          <w:rFonts w:ascii="宋体" w:hAnsi="宋体" w:eastAsia="宋体"/>
          <w:sz w:val="21"/>
        </w:rPr>
        <w:t xml:space="preserve"> 代表降落目标的偏航角速度，即转弯率。</w:t>
      </w:r>
    </w:p>
    <w:p w14:paraId="5CEEAE86">
      <w:pPr>
        <w:spacing w:after="120" w:line="300" w:lineRule="auto"/>
        <w:ind w:firstLine="420"/>
      </w:pPr>
      <w:r>
        <w:rPr>
          <w:rFonts w:ascii="宋体" w:hAnsi="宋体" w:eastAsia="宋体"/>
          <w:sz w:val="21"/>
        </w:rPr>
        <w:t>当目标的转弯率不等于零时，卡尔曼滤波预测方程为：</w:t>
      </w:r>
    </w:p>
    <w:p w14:paraId="2ED0BA74">
      <w:pPr>
        <w:spacing w:before="120" w:after="120"/>
        <w:jc w:val="center"/>
      </w:pPr>
      <m:oMathPara>
        <m:oMath>
          <m:box>
            <m:boxPr/>
            <m:e>
              <m:sSub>
                <m:sSubPr/>
                <m:e>
                  <m:r>
                    <m:rPr/>
                    <m:t>p</m:t>
                  </m:r>
                </m:e>
                <m:sub>
                  <m:box>
                    <m:boxPr/>
                    <m:e>
                      <m:r>
                        <m:rPr/>
                        <m:t>x</m:t>
                      </m:r>
                      <m:r>
                        <m:rPr>
                          <m:sty m:val="p"/>
                        </m:rPr>
                        <m:t>,</m:t>
                      </m:r>
                      <m:r>
                        <m:rPr/>
                        <m:t>pred</m:t>
                      </m:r>
                    </m:e>
                  </m:box>
                </m:sub>
              </m:sSub>
              <m:r>
                <m:rPr>
                  <m:sty m:val="p"/>
                </m:rPr>
                <m:t>=</m:t>
              </m:r>
              <m:sSub>
                <m:sSubPr/>
                <m:e>
                  <m:r>
                    <m:rPr/>
                    <m:t>p</m:t>
                  </m:r>
                </m:e>
                <m:sub>
                  <m:r>
                    <m:rPr/>
                    <m:t>x</m:t>
                  </m:r>
                </m:sub>
              </m:sSub>
              <m:r>
                <m:rPr>
                  <m:sty m:val="p"/>
                </m:rPr>
                <m:t>+</m:t>
              </m:r>
              <m:f>
                <m:fPr/>
                <m:num>
                  <m:box>
                    <m:boxPr/>
                    <m:e>
                      <m:r>
                        <m:rPr/>
                        <m:t>v</m:t>
                      </m:r>
                    </m:e>
                  </m:box>
                </m:num>
                <m:den>
                  <m:box>
                    <m:boxPr/>
                    <m:e>
                      <m:r>
                        <m:rPr/>
                        <m:t>ω</m:t>
                      </m:r>
                    </m:e>
                  </m:box>
                </m:den>
              </m:f>
              <m:r>
                <m:rPr>
                  <m:sty m:val="p"/>
                </m:rPr>
                <m:t>(sin(</m:t>
              </m:r>
              <m:r>
                <m:rPr/>
                <m:t>θ</m:t>
              </m:r>
              <m:r>
                <m:rPr>
                  <m:sty m:val="p"/>
                </m:rPr>
                <m:t>+</m:t>
              </m:r>
              <m:r>
                <m:rPr/>
                <m:t>ωΔt</m:t>
              </m:r>
              <m:r>
                <m:rPr>
                  <m:sty m:val="p"/>
                </m:rPr>
                <m:t>)−sin</m:t>
              </m:r>
              <m:r>
                <m:rPr/>
                <m:t>θ</m:t>
              </m:r>
              <m:r>
                <m:rPr>
                  <m:sty m:val="p"/>
                </m:rPr>
                <m:t>)</m:t>
              </m:r>
            </m:e>
          </m:box>
        </m:oMath>
      </m:oMathPara>
    </w:p>
    <w:p w14:paraId="270B5300">
      <w:pPr>
        <w:spacing w:before="120" w:after="120"/>
        <w:jc w:val="center"/>
      </w:pPr>
      <m:oMathPara>
        <m:oMath>
          <m:box>
            <m:boxPr/>
            <m:e>
              <m:sSub>
                <m:sSubPr/>
                <m:e>
                  <m:r>
                    <m:rPr/>
                    <m:t>p</m:t>
                  </m:r>
                </m:e>
                <m:sub>
                  <m:box>
                    <m:boxPr/>
                    <m:e>
                      <m:r>
                        <m:rPr/>
                        <m:t>y</m:t>
                      </m:r>
                      <m:r>
                        <m:rPr>
                          <m:sty m:val="p"/>
                        </m:rPr>
                        <m:t>,</m:t>
                      </m:r>
                      <m:r>
                        <m:rPr/>
                        <m:t>pred</m:t>
                      </m:r>
                    </m:e>
                  </m:box>
                </m:sub>
              </m:sSub>
              <m:r>
                <m:rPr>
                  <m:sty m:val="p"/>
                </m:rPr>
                <m:t>=</m:t>
              </m:r>
              <m:sSub>
                <m:sSubPr/>
                <m:e>
                  <m:r>
                    <m:rPr/>
                    <m:t>p</m:t>
                  </m:r>
                </m:e>
                <m:sub>
                  <m:r>
                    <m:rPr/>
                    <m:t>y</m:t>
                  </m:r>
                </m:sub>
              </m:sSub>
              <m:r>
                <m:rPr>
                  <m:sty m:val="p"/>
                </m:rPr>
                <m:t>+</m:t>
              </m:r>
              <m:f>
                <m:fPr/>
                <m:num>
                  <m:box>
                    <m:boxPr/>
                    <m:e>
                      <m:r>
                        <m:rPr/>
                        <m:t>v</m:t>
                      </m:r>
                    </m:e>
                  </m:box>
                </m:num>
                <m:den>
                  <m:box>
                    <m:boxPr/>
                    <m:e>
                      <m:r>
                        <m:rPr/>
                        <m:t>ω</m:t>
                      </m:r>
                    </m:e>
                  </m:box>
                </m:den>
              </m:f>
              <m:r>
                <m:rPr>
                  <m:sty m:val="p"/>
                </m:rPr>
                <m:t>(−cos(</m:t>
              </m:r>
              <m:r>
                <m:rPr/>
                <m:t>θ</m:t>
              </m:r>
              <m:r>
                <m:rPr>
                  <m:sty m:val="p"/>
                </m:rPr>
                <m:t>+</m:t>
              </m:r>
              <m:r>
                <m:rPr/>
                <m:t>ωΔt</m:t>
              </m:r>
              <m:r>
                <m:rPr>
                  <m:sty m:val="p"/>
                </m:rPr>
                <m:t>)+cos</m:t>
              </m:r>
              <m:r>
                <m:rPr/>
                <m:t>θ</m:t>
              </m:r>
              <m:r>
                <m:rPr>
                  <m:sty m:val="p"/>
                </m:rPr>
                <m:t>)</m:t>
              </m:r>
            </m:e>
          </m:box>
        </m:oMath>
      </m:oMathPara>
    </w:p>
    <w:p w14:paraId="5EDC2AF5">
      <w:pPr>
        <w:spacing w:after="120" w:line="300" w:lineRule="auto"/>
        <w:ind w:firstLine="420"/>
      </w:pPr>
      <w:r>
        <w:rPr>
          <w:rFonts w:ascii="宋体" w:hAnsi="宋体" w:eastAsia="宋体"/>
          <w:sz w:val="21"/>
        </w:rPr>
        <w:t>当目标进行直线运动时，利用极限近似值以防止分母零除，此时位置预测方程定义为：</w:t>
      </w:r>
    </w:p>
    <w:p w14:paraId="41CB446E">
      <w:pPr>
        <w:spacing w:before="120" w:after="120"/>
        <w:jc w:val="center"/>
      </w:pPr>
      <m:oMathPara>
        <m:oMath>
          <m:box>
            <m:boxPr/>
            <m:e>
              <m:sSub>
                <m:sSubPr/>
                <m:e>
                  <m:r>
                    <m:rPr/>
                    <m:t>p</m:t>
                  </m:r>
                </m:e>
                <m:sub>
                  <m:box>
                    <m:boxPr/>
                    <m:e>
                      <m:r>
                        <m:rPr/>
                        <m:t>x</m:t>
                      </m:r>
                      <m:r>
                        <m:rPr>
                          <m:sty m:val="p"/>
                        </m:rPr>
                        <m:t>,</m:t>
                      </m:r>
                      <m:r>
                        <m:rPr/>
                        <m:t>pred</m:t>
                      </m:r>
                    </m:e>
                  </m:box>
                </m:sub>
              </m:sSub>
              <m:r>
                <m:rPr>
                  <m:sty m:val="p"/>
                </m:rPr>
                <m:t>=</m:t>
              </m:r>
              <m:sSub>
                <m:sSubPr/>
                <m:e>
                  <m:r>
                    <m:rPr/>
                    <m:t>p</m:t>
                  </m:r>
                </m:e>
                <m:sub>
                  <m:r>
                    <m:rPr/>
                    <m:t>x</m:t>
                  </m:r>
                </m:sub>
              </m:sSub>
              <m:r>
                <m:rPr>
                  <m:sty m:val="p"/>
                </m:rPr>
                <m:t>+</m:t>
              </m:r>
              <m:r>
                <m:rPr/>
                <m:t>vΔt</m:t>
              </m:r>
              <m:r>
                <m:rPr>
                  <m:sty m:val="p"/>
                </m:rPr>
                <m:t>cos</m:t>
              </m:r>
              <m:r>
                <m:rPr/>
                <m:t>θ</m:t>
              </m:r>
            </m:e>
          </m:box>
        </m:oMath>
      </m:oMathPara>
    </w:p>
    <w:p w14:paraId="1816B50F">
      <w:pPr>
        <w:spacing w:before="120" w:after="120"/>
        <w:jc w:val="center"/>
      </w:pPr>
      <m:oMathPara>
        <m:oMath>
          <m:box>
            <m:boxPr/>
            <m:e>
              <m:sSub>
                <m:sSubPr/>
                <m:e>
                  <m:r>
                    <m:rPr/>
                    <m:t>p</m:t>
                  </m:r>
                </m:e>
                <m:sub>
                  <m:box>
                    <m:boxPr/>
                    <m:e>
                      <m:r>
                        <m:rPr/>
                        <m:t>y</m:t>
                      </m:r>
                      <m:r>
                        <m:rPr>
                          <m:sty m:val="p"/>
                        </m:rPr>
                        <m:t>,</m:t>
                      </m:r>
                      <m:r>
                        <m:rPr/>
                        <m:t>pred</m:t>
                      </m:r>
                    </m:e>
                  </m:box>
                </m:sub>
              </m:sSub>
              <m:r>
                <m:rPr>
                  <m:sty m:val="p"/>
                </m:rPr>
                <m:t>=</m:t>
              </m:r>
              <m:sSub>
                <m:sSubPr/>
                <m:e>
                  <m:r>
                    <m:rPr/>
                    <m:t>p</m:t>
                  </m:r>
                </m:e>
                <m:sub>
                  <m:r>
                    <m:rPr/>
                    <m:t>y</m:t>
                  </m:r>
                </m:sub>
              </m:sSub>
              <m:r>
                <m:rPr>
                  <m:sty m:val="p"/>
                </m:rPr>
                <m:t>+</m:t>
              </m:r>
              <m:r>
                <m:rPr/>
                <m:t>vΔt</m:t>
              </m:r>
              <m:r>
                <m:rPr>
                  <m:sty m:val="p"/>
                </m:rPr>
                <m:t>sin</m:t>
              </m:r>
              <m:r>
                <m:rPr/>
                <m:t>θ</m:t>
              </m:r>
            </m:e>
          </m:box>
        </m:oMath>
      </m:oMathPara>
    </w:p>
    <w:p w14:paraId="68C9DD98">
      <w:pPr>
        <w:spacing w:after="120" w:line="300" w:lineRule="auto"/>
        <w:ind w:firstLine="420"/>
      </w:pPr>
      <w:r>
        <w:rPr>
          <w:rFonts w:ascii="宋体" w:hAnsi="宋体" w:eastAsia="宋体"/>
          <w:sz w:val="21"/>
        </w:rPr>
        <w:t>在上述两组预测公式中，各项变量定义如下：</w:t>
      </w:r>
    </w:p>
    <w:p w14:paraId="10C1869F">
      <w:pPr>
        <w:pStyle w:val="16"/>
        <w:spacing w:after="80" w:line="276" w:lineRule="auto"/>
        <w:ind w:left="720"/>
      </w:pPr>
      <m:oMath>
        <m:box>
          <m:boxPr/>
          <m:e>
            <m:sSub>
              <m:sSubPr/>
              <m:e>
                <m:r>
                  <m:rPr/>
                  <m:t>p</m:t>
                </m:r>
              </m:e>
              <m:sub>
                <m:box>
                  <m:boxPr/>
                  <m:e>
                    <m:r>
                      <m:rPr/>
                      <m:t>x</m:t>
                    </m:r>
                    <m:r>
                      <m:rPr>
                        <m:sty m:val="p"/>
                      </m:rPr>
                      <m:t>,</m:t>
                    </m:r>
                    <m:r>
                      <m:rPr/>
                      <m:t>pred</m:t>
                    </m:r>
                  </m:e>
                </m:box>
              </m:sub>
            </m:sSub>
          </m:e>
        </m:box>
      </m:oMath>
      <w:r>
        <w:rPr>
          <w:rFonts w:ascii="宋体" w:hAnsi="宋体" w:eastAsia="宋体"/>
          <w:sz w:val="21"/>
        </w:rPr>
        <w:t xml:space="preserve"> 与 </w:t>
      </w:r>
      <m:oMath>
        <m:box>
          <m:boxPr/>
          <m:e>
            <m:sSub>
              <m:sSubPr/>
              <m:e>
                <m:r>
                  <m:rPr/>
                  <m:t>p</m:t>
                </m:r>
              </m:e>
              <m:sub>
                <m:box>
                  <m:boxPr/>
                  <m:e>
                    <m:r>
                      <m:rPr/>
                      <m:t>y</m:t>
                    </m:r>
                    <m:r>
                      <m:rPr>
                        <m:sty m:val="p"/>
                      </m:rPr>
                      <m:t>,</m:t>
                    </m:r>
                    <m:r>
                      <m:rPr/>
                      <m:t>pred</m:t>
                    </m:r>
                  </m:e>
                </m:box>
              </m:sub>
            </m:sSub>
          </m:e>
        </m:box>
      </m:oMath>
      <w:r>
        <w:rPr>
          <w:rFonts w:ascii="宋体" w:hAnsi="宋体" w:eastAsia="宋体"/>
          <w:sz w:val="21"/>
        </w:rPr>
        <w:t xml:space="preserve"> 代表模型预测的下一采样时刻目标水平空间坐标位置；</w:t>
      </w:r>
    </w:p>
    <w:p w14:paraId="220CD5DD">
      <w:pPr>
        <w:pStyle w:val="16"/>
        <w:spacing w:after="80" w:line="276" w:lineRule="auto"/>
        <w:ind w:left="720"/>
      </w:pPr>
      <m:oMath>
        <m:box>
          <m:boxPr/>
          <m:e>
            <m:r>
              <m:rPr/>
              <m:t>Δt</m:t>
            </m:r>
          </m:e>
        </m:box>
      </m:oMath>
      <w:r>
        <w:rPr>
          <w:rFonts w:ascii="宋体" w:hAnsi="宋体" w:eastAsia="宋体"/>
          <w:sz w:val="21"/>
        </w:rPr>
        <w:t xml:space="preserve"> 代表滤波器的单步预测时间间隔常数。</w:t>
      </w:r>
    </w:p>
    <w:p w14:paraId="19FF48F2">
      <w:pPr>
        <w:spacing w:after="120" w:line="300" w:lineRule="auto"/>
        <w:ind w:firstLine="420"/>
      </w:pPr>
      <w:r>
        <w:rPr>
          <w:rFonts w:ascii="宋体" w:hAnsi="宋体" w:eastAsia="宋体"/>
          <w:sz w:val="21"/>
        </w:rPr>
        <w:t>该模型的设计优势在于，它能够比简单的恒速模型更好地描述车辆、舰船等移动载具转弯时的曲线轨迹，避免了位置估计的滞后，提高了追踪精度。</w:t>
      </w:r>
    </w:p>
    <w:p w14:paraId="33CDA134">
      <w:pPr>
        <w:spacing w:after="120" w:line="300" w:lineRule="auto"/>
        <w:ind w:firstLine="420"/>
      </w:pPr>
      <w:r>
        <w:rPr>
          <w:rFonts w:ascii="宋体" w:hAnsi="宋体" w:eastAsia="宋体"/>
          <w:sz w:val="21"/>
        </w:rPr>
        <w:t>同时，为了过滤因无人机姿态剧烈调整、运动模糊或镜头边缘畸变引起的瞬时观测噪声，估计器引入了动态观测噪声估计机制。其计算公式定义如下：</w:t>
      </w:r>
    </w:p>
    <w:p w14:paraId="44C45CFA">
      <w:pPr>
        <w:spacing w:before="120" w:after="120"/>
        <w:jc w:val="center"/>
      </w:pPr>
      <m:oMathPara>
        <m:oMath>
          <m:box>
            <m:boxPr/>
            <m:e>
              <m:sSub>
                <m:sSubPr/>
                <m:e>
                  <m:r>
                    <m:rPr/>
                    <m:t>R</m:t>
                  </m:r>
                </m:e>
                <m:sub>
                  <m:box>
                    <m:boxPr/>
                    <m:e>
                      <m:r>
                        <m:rPr/>
                        <m:t>dynamic</m:t>
                      </m:r>
                    </m:e>
                  </m:box>
                </m:sub>
              </m:sSub>
              <m:r>
                <m:rPr>
                  <m:sty m:val="p"/>
                </m:rPr>
                <m:t>=</m:t>
              </m:r>
              <m:sSub>
                <m:sSubPr/>
                <m:e>
                  <m:r>
                    <m:rPr/>
                    <m:t>R</m:t>
                  </m:r>
                </m:e>
                <m:sub>
                  <m:box>
                    <m:boxPr/>
                    <m:e>
                      <m:r>
                        <m:rPr/>
                        <m:t>base</m:t>
                      </m:r>
                    </m:e>
                  </m:box>
                </m:sub>
              </m:sSub>
              <m:r>
                <m:rPr/>
                <m:t>·f</m:t>
              </m:r>
              <m:r>
                <m:rPr>
                  <m:sty m:val="p"/>
                </m:rPr>
                <m:t>(</m:t>
              </m:r>
              <m:r>
                <m:rPr/>
                <m:t>z</m:t>
              </m:r>
              <m:sSup>
                <m:sSupPr/>
                <m:e>
                  <m:r>
                    <m:rPr>
                      <m:sty m:val="p"/>
                    </m:rPr>
                    <m:t>)</m:t>
                  </m:r>
                </m:e>
                <m:sup>
                  <m:r>
                    <m:rPr>
                      <m:sty m:val="p"/>
                    </m:rPr>
                    <m:t>2</m:t>
                  </m:r>
                </m:sup>
              </m:sSup>
              <m:r>
                <m:rPr/>
                <m:t>·g</m:t>
              </m:r>
              <m:r>
                <m:rPr>
                  <m:sty m:val="p"/>
                </m:rPr>
                <m:t>(</m:t>
              </m:r>
              <m:sSub>
                <m:sSubPr/>
                <m:e>
                  <m:r>
                    <m:rPr/>
                    <m:t>ω</m:t>
                  </m:r>
                </m:e>
                <m:sub>
                  <m:box>
                    <m:boxPr/>
                    <m:e>
                      <m:r>
                        <m:rPr/>
                        <m:t>drone</m:t>
                      </m:r>
                    </m:e>
                  </m:box>
                </m:sub>
              </m:sSub>
              <m:r>
                <m:rPr>
                  <m:sty m:val="p"/>
                </m:rPr>
                <m:t>)</m:t>
              </m:r>
              <m:r>
                <m:rPr/>
                <m:t>·h</m:t>
              </m:r>
              <m:r>
                <m:rPr>
                  <m:sty m:val="p"/>
                </m:rPr>
                <m:t>(</m:t>
              </m:r>
              <m:sSub>
                <m:sSubPr/>
                <m:e>
                  <m:r>
                    <m:rPr/>
                    <m:t>θ</m:t>
                  </m:r>
                </m:e>
                <m:sub>
                  <m:box>
                    <m:boxPr/>
                    <m:e>
                      <m:r>
                        <m:rPr/>
                        <m:t>visual</m:t>
                      </m:r>
                    </m:e>
                  </m:box>
                </m:sub>
              </m:sSub>
              <m:r>
                <m:rPr>
                  <m:sty m:val="p"/>
                </m:rPr>
                <m:t>)</m:t>
              </m:r>
            </m:e>
          </m:box>
        </m:oMath>
      </m:oMathPara>
    </w:p>
    <w:p w14:paraId="6B43340C">
      <w:pPr>
        <w:spacing w:after="120" w:line="300" w:lineRule="auto"/>
        <w:ind w:firstLine="420"/>
      </w:pPr>
      <w:r>
        <w:rPr>
          <w:rFonts w:ascii="宋体" w:hAnsi="宋体" w:eastAsia="宋体"/>
          <w:sz w:val="21"/>
        </w:rPr>
        <w:t>在上述公式中，各项变量的具体定义为：</w:t>
      </w:r>
    </w:p>
    <w:p w14:paraId="72834262">
      <w:pPr>
        <w:pStyle w:val="16"/>
        <w:spacing w:after="80" w:line="276" w:lineRule="auto"/>
        <w:ind w:left="720"/>
      </w:pPr>
      <m:oMath>
        <m:box>
          <m:boxPr/>
          <m:e>
            <m:sSub>
              <m:sSubPr/>
              <m:e>
                <m:r>
                  <m:rPr/>
                  <m:t>R</m:t>
                </m:r>
              </m:e>
              <m:sub>
                <m:box>
                  <m:boxPr/>
                  <m:e>
                    <m:r>
                      <m:rPr/>
                      <m:t>dynamic</m:t>
                    </m:r>
                  </m:e>
                </m:box>
              </m:sub>
            </m:sSub>
          </m:e>
        </m:box>
      </m:oMath>
      <w:r>
        <w:rPr>
          <w:rFonts w:ascii="宋体" w:hAnsi="宋体" w:eastAsia="宋体"/>
          <w:sz w:val="21"/>
        </w:rPr>
        <w:t xml:space="preserve"> 代表当前自适应更新得到的动态观测测量噪声方差大小；</w:t>
      </w:r>
    </w:p>
    <w:p w14:paraId="68F815D9">
      <w:pPr>
        <w:pStyle w:val="16"/>
        <w:spacing w:after="80" w:line="276" w:lineRule="auto"/>
        <w:ind w:left="720"/>
      </w:pPr>
      <m:oMath>
        <m:box>
          <m:boxPr/>
          <m:e>
            <m:sSub>
              <m:sSubPr/>
              <m:e>
                <m:r>
                  <m:rPr/>
                  <m:t>R</m:t>
                </m:r>
              </m:e>
              <m:sub>
                <m:box>
                  <m:boxPr/>
                  <m:e>
                    <m:r>
                      <m:rPr/>
                      <m:t>base</m:t>
                    </m:r>
                  </m:e>
                </m:box>
              </m:sub>
            </m:sSub>
          </m:e>
        </m:box>
      </m:oMath>
      <w:r>
        <w:rPr>
          <w:rFonts w:ascii="宋体" w:hAnsi="宋体" w:eastAsia="宋体"/>
          <w:sz w:val="21"/>
        </w:rPr>
        <w:t xml:space="preserve"> 代表系统的固有基础测量噪声方差常数项；</w:t>
      </w:r>
    </w:p>
    <w:p w14:paraId="0F934E07">
      <w:pPr>
        <w:pStyle w:val="16"/>
        <w:spacing w:after="80" w:line="276" w:lineRule="auto"/>
        <w:ind w:left="720"/>
      </w:pPr>
      <m:oMath>
        <m:box>
          <m:boxPr/>
          <m:e>
            <m:r>
              <m:rPr/>
              <m:t>f</m:t>
            </m:r>
            <m:r>
              <m:rPr>
                <m:sty m:val="p"/>
              </m:rPr>
              <m:t>(</m:t>
            </m:r>
            <m:r>
              <m:rPr/>
              <m:t>z</m:t>
            </m:r>
            <m:r>
              <m:rPr>
                <m:sty m:val="p"/>
              </m:rPr>
              <m:t>)</m:t>
            </m:r>
          </m:e>
        </m:box>
      </m:oMath>
      <w:r>
        <w:rPr>
          <w:rFonts w:ascii="宋体" w:hAnsi="宋体" w:eastAsia="宋体"/>
          <w:sz w:val="21"/>
        </w:rPr>
        <w:t xml:space="preserve"> 代表与当前无人机绝对高度测量值 </w:t>
      </w:r>
      <m:oMath>
        <m:box>
          <m:boxPr/>
          <m:e>
            <m:r>
              <m:rPr/>
              <m:t>z</m:t>
            </m:r>
          </m:e>
        </m:box>
      </m:oMath>
      <w:r>
        <w:rPr>
          <w:rFonts w:ascii="宋体" w:hAnsi="宋体" w:eastAsia="宋体"/>
          <w:sz w:val="21"/>
        </w:rPr>
        <w:t xml:space="preserve"> 相关的平方比缩放因子函数；</w:t>
      </w:r>
    </w:p>
    <w:p w14:paraId="55B823CD">
      <w:pPr>
        <w:pStyle w:val="16"/>
        <w:spacing w:after="80" w:line="276" w:lineRule="auto"/>
        <w:ind w:left="720"/>
      </w:pPr>
      <m:oMath>
        <m:box>
          <m:boxPr/>
          <m:e>
            <m:r>
              <m:rPr/>
              <m:t>g</m:t>
            </m:r>
            <m:r>
              <m:rPr>
                <m:sty m:val="p"/>
              </m:rPr>
              <m:t>(</m:t>
            </m:r>
            <m:sSub>
              <m:sSubPr/>
              <m:e>
                <m:r>
                  <m:rPr/>
                  <m:t>ω</m:t>
                </m:r>
              </m:e>
              <m:sub>
                <m:box>
                  <m:boxPr/>
                  <m:e>
                    <m:r>
                      <m:rPr/>
                      <m:t>drone</m:t>
                    </m:r>
                  </m:e>
                </m:box>
              </m:sub>
            </m:sSub>
            <m:r>
              <m:rPr>
                <m:sty m:val="p"/>
              </m:rPr>
              <m:t>)</m:t>
            </m:r>
          </m:e>
        </m:box>
      </m:oMath>
      <w:r>
        <w:rPr>
          <w:rFonts w:ascii="宋体" w:hAnsi="宋体" w:eastAsia="宋体"/>
          <w:sz w:val="21"/>
        </w:rPr>
        <w:t xml:space="preserve"> 代表与无人机当前的机体自转角速度成正相关的增益放大函数；</w:t>
      </w:r>
    </w:p>
    <w:p w14:paraId="2C6173F3">
      <w:pPr>
        <w:pStyle w:val="16"/>
        <w:spacing w:after="80" w:line="276" w:lineRule="auto"/>
        <w:ind w:left="720"/>
      </w:pPr>
      <m:oMath>
        <m:box>
          <m:boxPr/>
          <m:e>
            <m:r>
              <m:rPr/>
              <m:t>h</m:t>
            </m:r>
            <m:r>
              <m:rPr>
                <m:sty m:val="p"/>
              </m:rPr>
              <m:t>(</m:t>
            </m:r>
            <m:sSub>
              <m:sSubPr/>
              <m:e>
                <m:r>
                  <m:rPr/>
                  <m:t>θ</m:t>
                </m:r>
              </m:e>
              <m:sub>
                <m:box>
                  <m:boxPr/>
                  <m:e>
                    <m:r>
                      <m:rPr/>
                      <m:t>visual</m:t>
                    </m:r>
                  </m:e>
                </m:box>
              </m:sub>
            </m:sSub>
            <m:r>
              <m:rPr>
                <m:sty m:val="p"/>
              </m:rPr>
              <m:t>)</m:t>
            </m:r>
          </m:e>
        </m:box>
      </m:oMath>
      <w:r>
        <w:rPr>
          <w:rFonts w:ascii="宋体" w:hAnsi="宋体" w:eastAsia="宋体"/>
          <w:sz w:val="21"/>
        </w:rPr>
        <w:t xml:space="preserve"> 代表与降落垫中心偏离图像光轴角度大小正相关的镜头畸变修正增益函数。</w:t>
      </w:r>
    </w:p>
    <w:p w14:paraId="3CB808A2">
      <w:pPr>
        <w:spacing w:after="120" w:line="300" w:lineRule="auto"/>
        <w:ind w:firstLine="420"/>
      </w:pPr>
      <w:r>
        <w:rPr>
          <w:rFonts w:ascii="宋体" w:hAnsi="宋体" w:eastAsia="宋体"/>
          <w:sz w:val="21"/>
        </w:rPr>
        <w:t>该设计极大地提高了滤波器对于物理场景的适应力。在高空、机体剧烈旋转或标板处于画面边缘等低置信度工况下，自适应增大观测噪声，促使卡尔曼滤波系统更倾向于利用运动模型进行状态外推，提高了鲁棒性。</w:t>
      </w:r>
    </w:p>
    <w:p w14:paraId="3B4D0025">
      <w:pPr>
        <w:spacing w:after="120" w:line="300" w:lineRule="auto"/>
        <w:ind w:firstLine="420"/>
      </w:pPr>
      <w:r>
        <w:rPr>
          <w:rFonts w:ascii="宋体" w:hAnsi="宋体" w:eastAsia="宋体"/>
          <w:sz w:val="21"/>
        </w:rPr>
        <w:t>为应对降落目标突然进行剧烈机动，系统还集成了自适应卡尔曼滤波机制。该算法基于马氏距离残差来度量当前视觉观测值与预测状态的偏离程度，计算公式如下：</w:t>
      </w:r>
    </w:p>
    <w:p w14:paraId="130402B5">
      <w:pPr>
        <w:spacing w:before="120" w:after="120"/>
        <w:jc w:val="center"/>
      </w:pPr>
      <m:oMathPara>
        <m:oMath>
          <m:box>
            <m:boxPr/>
            <m:e>
              <m:r>
                <m:rPr/>
                <m:t>ϵ</m:t>
              </m:r>
              <m:r>
                <m:rPr>
                  <m:sty m:val="p"/>
                </m:rPr>
                <m:t>=</m:t>
              </m:r>
              <m:sSup>
                <m:sSupPr/>
                <m:e>
                  <m:r>
                    <m:rPr/>
                    <m:t>y</m:t>
                  </m:r>
                </m:e>
                <m:sup>
                  <m:r>
                    <m:rPr/>
                    <m:t>T</m:t>
                  </m:r>
                </m:sup>
              </m:sSup>
              <m:sSup>
                <m:sSupPr/>
                <m:e>
                  <m:r>
                    <m:rPr/>
                    <m:t>S</m:t>
                  </m:r>
                </m:e>
                <m:sup>
                  <m:box>
                    <m:boxPr/>
                    <m:e>
                      <m:r>
                        <m:rPr>
                          <m:sty m:val="p"/>
                        </m:rPr>
                        <m:t>−1</m:t>
                      </m:r>
                    </m:e>
                  </m:box>
                </m:sup>
              </m:sSup>
              <m:r>
                <m:rPr/>
                <m:t>y</m:t>
              </m:r>
            </m:e>
          </m:box>
        </m:oMath>
      </m:oMathPara>
    </w:p>
    <w:p w14:paraId="4F64F6E7">
      <w:pPr>
        <w:spacing w:after="120" w:line="300" w:lineRule="auto"/>
        <w:ind w:firstLine="420"/>
      </w:pPr>
      <w:r>
        <w:rPr>
          <w:rFonts w:ascii="宋体" w:hAnsi="宋体" w:eastAsia="宋体"/>
          <w:sz w:val="21"/>
        </w:rPr>
        <w:t>在上述公式中：</w:t>
      </w:r>
    </w:p>
    <w:p w14:paraId="453E778C">
      <w:pPr>
        <w:pStyle w:val="16"/>
        <w:spacing w:after="80" w:line="276" w:lineRule="auto"/>
        <w:ind w:left="720"/>
      </w:pPr>
      <m:oMath>
        <m:box>
          <m:boxPr/>
          <m:e>
            <m:r>
              <m:rPr/>
              <m:t>ϵ</m:t>
            </m:r>
          </m:e>
        </m:box>
      </m:oMath>
      <w:r>
        <w:rPr>
          <w:rFonts w:ascii="宋体" w:hAnsi="宋体" w:eastAsia="宋体"/>
          <w:sz w:val="21"/>
        </w:rPr>
        <w:t xml:space="preserve"> 代表当前观测步算出的马氏残差距离平方；</w:t>
      </w:r>
    </w:p>
    <w:p w14:paraId="0035C9FC">
      <w:pPr>
        <w:pStyle w:val="16"/>
        <w:spacing w:after="80" w:line="276" w:lineRule="auto"/>
        <w:ind w:left="720"/>
      </w:pPr>
      <m:oMath>
        <m:box>
          <m:boxPr/>
          <m:e>
            <m:r>
              <m:rPr/>
              <m:t>y</m:t>
            </m:r>
          </m:e>
        </m:box>
      </m:oMath>
      <w:r>
        <w:rPr>
          <w:rFonts w:ascii="宋体" w:hAnsi="宋体" w:eastAsia="宋体"/>
          <w:sz w:val="21"/>
        </w:rPr>
        <w:t xml:space="preserve"> 代表滤波系统当前的二维观测新残差向量；</w:t>
      </w:r>
    </w:p>
    <w:p w14:paraId="24BC0008">
      <w:pPr>
        <w:pStyle w:val="16"/>
        <w:spacing w:after="80" w:line="276" w:lineRule="auto"/>
        <w:ind w:left="720"/>
      </w:pPr>
      <m:oMath>
        <m:box>
          <m:boxPr/>
          <m:e>
            <m:r>
              <m:rPr/>
              <m:t>S</m:t>
            </m:r>
          </m:e>
        </m:box>
      </m:oMath>
      <w:r>
        <w:rPr>
          <w:rFonts w:ascii="宋体" w:hAnsi="宋体" w:eastAsia="宋体"/>
          <w:sz w:val="21"/>
        </w:rPr>
        <w:t xml:space="preserve"> 代表卡尔曼增益求解过程中的残差协方差矩阵。</w:t>
      </w:r>
    </w:p>
    <w:p w14:paraId="6B6EF0D5">
      <w:pPr>
        <w:spacing w:after="120" w:line="300" w:lineRule="auto"/>
        <w:ind w:firstLine="420"/>
      </w:pPr>
      <w:r>
        <w:rPr>
          <w:rFonts w:ascii="宋体" w:hAnsi="宋体" w:eastAsia="宋体"/>
          <w:sz w:val="21"/>
        </w:rPr>
        <w:t>若残差马氏距离大于动态验证阈值，判定目标进行了主动机动。此时，系统根据以下自适应调整公式增大过程噪声协方差 Q 的大小：</w:t>
      </w:r>
    </w:p>
    <w:p w14:paraId="7BA85351">
      <w:pPr>
        <w:spacing w:before="120" w:after="120"/>
        <w:jc w:val="center"/>
      </w:pPr>
      <m:oMathPara>
        <m:oMath>
          <m:box>
            <m:boxPr/>
            <m:e>
              <m:sSub>
                <m:sSubPr/>
                <m:e>
                  <m:r>
                    <m:rPr/>
                    <m:t>Q</m:t>
                  </m:r>
                </m:e>
                <m:sub>
                  <m:box>
                    <m:boxPr/>
                    <m:e>
                      <m:r>
                        <m:rPr/>
                        <m:t>adaptive</m:t>
                      </m:r>
                    </m:e>
                  </m:box>
                </m:sub>
              </m:sSub>
              <m:r>
                <m:rPr>
                  <m:sty m:val="p"/>
                </m:rPr>
                <m:t>=</m:t>
              </m:r>
              <m:r>
                <m:rPr/>
                <m:t>Q·</m:t>
              </m:r>
              <m:r>
                <m:rPr>
                  <m:sty m:val="p"/>
                </m:rPr>
                <m:t>min</m:t>
              </m:r>
              <m:box>
                <m:boxPr/>
                <m:e>
                  <m:d>
                    <m:dPr/>
                    <m:e>
                      <m:box>
                        <m:boxPr/>
                        <m:e>
                          <m:sSub>
                            <m:sSubPr/>
                            <m:e>
                              <m:r>
                                <m:rPr/>
                                <m:t>Q</m:t>
                              </m:r>
                            </m:e>
                            <m:sub>
                              <m:box>
                                <m:boxPr/>
                                <m:e>
                                  <m:r>
                                    <m:rPr/>
                                    <m:t>scale</m:t>
                                  </m:r>
                                  <m:r>
                                    <m:rPr>
                                      <m:sty m:val="p"/>
                                    </m:rPr>
                                    <m:t>,</m:t>
                                  </m:r>
                                  <m:r>
                                    <m:rPr/>
                                    <m:t>max</m:t>
                                  </m:r>
                                </m:e>
                              </m:box>
                            </m:sub>
                          </m:sSub>
                          <m:r>
                            <m:rPr>
                              <m:sty m:val="p"/>
                            </m:rPr>
                            <m:t>,</m:t>
                          </m:r>
                          <m:f>
                            <m:fPr/>
                            <m:num>
                              <m:box>
                                <m:boxPr/>
                                <m:e>
                                  <m:r>
                                    <m:rPr/>
                                    <m:t>ϵ</m:t>
                                  </m:r>
                                </m:e>
                              </m:box>
                            </m:num>
                            <m:den>
                              <m:box>
                                <m:boxPr/>
                                <m:e>
                                  <m:sSub>
                                    <m:sSubPr/>
                                    <m:e>
                                      <m:r>
                                        <m:rPr/>
                                        <m:t>ϵ</m:t>
                                      </m:r>
                                    </m:e>
                                    <m:sub>
                                      <m:box>
                                        <m:boxPr/>
                                        <m:e>
                                          <m:r>
                                            <m:rPr/>
                                            <m:t>thresh</m:t>
                                          </m:r>
                                        </m:e>
                                      </m:box>
                                    </m:sub>
                                  </m:sSub>
                                </m:e>
                              </m:box>
                            </m:den>
                          </m:f>
                        </m:e>
                      </m:box>
                    </m:e>
                  </m:d>
                </m:e>
              </m:box>
            </m:e>
          </m:box>
        </m:oMath>
      </m:oMathPara>
    </w:p>
    <w:p w14:paraId="03EE0EF7">
      <w:pPr>
        <w:spacing w:after="120" w:line="300" w:lineRule="auto"/>
        <w:ind w:firstLine="420"/>
      </w:pPr>
      <w:r>
        <w:rPr>
          <w:rFonts w:ascii="宋体" w:hAnsi="宋体" w:eastAsia="宋体"/>
          <w:sz w:val="21"/>
        </w:rPr>
        <w:t>在上述自适应调节公式中：</w:t>
      </w:r>
    </w:p>
    <w:p w14:paraId="39CC586A">
      <w:pPr>
        <w:pStyle w:val="16"/>
        <w:spacing w:after="80" w:line="276" w:lineRule="auto"/>
        <w:ind w:left="720"/>
      </w:pPr>
      <m:oMath>
        <m:box>
          <m:boxPr/>
          <m:e>
            <m:sSub>
              <m:sSubPr/>
              <m:e>
                <m:r>
                  <m:rPr/>
                  <m:t>Q</m:t>
                </m:r>
              </m:e>
              <m:sub>
                <m:box>
                  <m:boxPr/>
                  <m:e>
                    <m:r>
                      <m:rPr/>
                      <m:t>adaptive</m:t>
                    </m:r>
                  </m:e>
                </m:box>
              </m:sub>
            </m:sSub>
          </m:e>
        </m:box>
      </m:oMath>
      <w:r>
        <w:rPr>
          <w:rFonts w:ascii="宋体" w:hAnsi="宋体" w:eastAsia="宋体"/>
          <w:sz w:val="21"/>
        </w:rPr>
        <w:t xml:space="preserve"> 代表经自适应缩放调节后的过程状态噪声协方差矩阵；</w:t>
      </w:r>
    </w:p>
    <w:p w14:paraId="1A8CC024">
      <w:pPr>
        <w:pStyle w:val="16"/>
        <w:spacing w:after="80" w:line="276" w:lineRule="auto"/>
        <w:ind w:left="720"/>
      </w:pPr>
      <m:oMath>
        <m:box>
          <m:boxPr/>
          <m:e>
            <m:r>
              <m:rPr/>
              <m:t>Q</m:t>
            </m:r>
          </m:e>
        </m:box>
      </m:oMath>
      <w:r>
        <w:rPr>
          <w:rFonts w:ascii="宋体" w:hAnsi="宋体" w:eastAsia="宋体"/>
          <w:sz w:val="21"/>
        </w:rPr>
        <w:t xml:space="preserve"> 代表基础过程状态转移噪声协方差矩阵；</w:t>
      </w:r>
    </w:p>
    <w:p w14:paraId="22A4BD07">
      <w:pPr>
        <w:pStyle w:val="16"/>
        <w:spacing w:after="80" w:line="276" w:lineRule="auto"/>
        <w:ind w:left="720"/>
      </w:pPr>
      <m:oMath>
        <m:box>
          <m:boxPr/>
          <m:e>
            <m:sSub>
              <m:sSubPr/>
              <m:e>
                <m:r>
                  <m:rPr/>
                  <m:t>Q</m:t>
                </m:r>
              </m:e>
              <m:sub>
                <m:box>
                  <m:boxPr/>
                  <m:e>
                    <m:r>
                      <m:rPr/>
                      <m:t>scale</m:t>
                    </m:r>
                    <m:r>
                      <m:rPr>
                        <m:sty m:val="p"/>
                      </m:rPr>
                      <m:t>,</m:t>
                    </m:r>
                    <m:r>
                      <m:rPr/>
                      <m:t>max</m:t>
                    </m:r>
                  </m:e>
                </m:box>
              </m:sub>
            </m:sSub>
          </m:e>
        </m:box>
      </m:oMath>
      <w:r>
        <w:rPr>
          <w:rFonts w:ascii="宋体" w:hAnsi="宋体" w:eastAsia="宋体"/>
          <w:sz w:val="21"/>
        </w:rPr>
        <w:t xml:space="preserve"> 代表限制的过程噪声最大放大比例边界阈值常数；</w:t>
      </w:r>
    </w:p>
    <w:p w14:paraId="3AB51FF2">
      <w:pPr>
        <w:pStyle w:val="16"/>
        <w:spacing w:after="80" w:line="276" w:lineRule="auto"/>
        <w:ind w:left="720"/>
      </w:pPr>
      <m:oMath>
        <m:box>
          <m:boxPr/>
          <m:e>
            <m:sSub>
              <m:sSubPr/>
              <m:e>
                <m:r>
                  <m:rPr/>
                  <m:t>ϵ</m:t>
                </m:r>
              </m:e>
              <m:sub>
                <m:box>
                  <m:boxPr/>
                  <m:e>
                    <m:r>
                      <m:rPr/>
                      <m:t>thresh</m:t>
                    </m:r>
                  </m:e>
                </m:box>
              </m:sub>
            </m:sSub>
          </m:e>
        </m:box>
      </m:oMath>
      <w:r>
        <w:rPr>
          <w:rFonts w:ascii="宋体" w:hAnsi="宋体" w:eastAsia="宋体"/>
          <w:sz w:val="21"/>
        </w:rPr>
        <w:t xml:space="preserve"> 代表用于判定目标发生机动状态剧变的马氏距离阈值常数。</w:t>
      </w:r>
    </w:p>
    <w:p w14:paraId="651AB2E0">
      <w:pPr>
        <w:spacing w:after="120" w:line="300" w:lineRule="auto"/>
        <w:ind w:firstLine="420"/>
      </w:pPr>
      <w:r>
        <w:rPr>
          <w:rFonts w:ascii="宋体" w:hAnsi="宋体" w:eastAsia="宋体"/>
          <w:sz w:val="21"/>
        </w:rPr>
        <w:t>该方法的好处在于，在大机动情况下自适应放大过程噪声，能临时调低卡尔曼滤波对历史状态预测的信任比重，转而更灵敏地跟随最新的视觉观测，消除滤波器惯性延迟，保证运动目标捕捉的敏捷性。</w:t>
      </w:r>
    </w:p>
    <w:p w14:paraId="7ACB9C13">
      <w:pPr>
        <w:spacing w:after="120" w:line="300" w:lineRule="auto"/>
        <w:ind w:firstLine="420"/>
      </w:pPr>
      <w:r>
        <w:rPr>
          <w:rFonts w:ascii="宋体" w:hAnsi="宋体" w:eastAsia="宋体"/>
          <w:sz w:val="21"/>
        </w:rPr>
        <w:t>此外，为防单帧内由于视觉错误识别产生的异常漂移，系统在偏航角滤波计算中，通过限制相邻帧间目标位置的跳变距离，丢弃变化过大的噪点。同时，在计算残差和状态更新时，通过将偏航角残差规范化在正负圆周角范围内，从而选择最短的弧度路径更新滤波器状态，防止角度在边界处发生跃变导致滤波器发散。</w:t>
      </w:r>
    </w:p>
    <w:p w14:paraId="64776714">
      <w:pPr>
        <w:keepNext/>
        <w:spacing w:before="360" w:after="120"/>
      </w:pPr>
      <w:r>
        <w:rPr>
          <w:rFonts w:ascii="微软雅黑" w:hAnsi="微软雅黑"/>
          <w:b/>
          <w:color w:val="1B365D"/>
          <w:sz w:val="30"/>
        </w:rPr>
        <w:t>五、 降落决策状态机与飞行控制</w:t>
      </w:r>
    </w:p>
    <w:p w14:paraId="0037FD61">
      <w:pPr>
        <w:spacing w:after="120" w:line="300" w:lineRule="auto"/>
        <w:ind w:firstLine="420"/>
      </w:pPr>
      <w:r>
        <w:rPr>
          <w:rFonts w:ascii="宋体" w:hAnsi="宋体" w:eastAsia="宋体"/>
          <w:sz w:val="21"/>
        </w:rPr>
        <w:t>控制层根据经过卡尔曼滤波器平滑后的目标位置和速度，计算机体控制指令，并运行降落决策状态机。</w:t>
      </w:r>
    </w:p>
    <w:p w14:paraId="70D4552B">
      <w:pPr>
        <w:spacing w:after="120" w:line="300" w:lineRule="auto"/>
        <w:ind w:firstLine="420"/>
      </w:pPr>
      <w:r>
        <w:rPr>
          <w:rFonts w:ascii="宋体" w:hAnsi="宋体" w:eastAsia="宋体"/>
          <w:sz w:val="21"/>
        </w:rPr>
        <w:t>系统支持全局惯性坐标系控制与机体相对坐标系伺服两种模式。在全局惯性坐标系模式下，系统使用二阶运动学轨迹生成器。控制器根据跟踪误差预测目标位置和速度，并引入了位置误差距离限幅，在误差较大时限制最大偏差，从而平滑控制指令，消除超调。而在机体相对坐标系下，系统采用位置伺服算法，将目标的线速度投影到机身坐标系下作为前馈速度，速度控制律公式定义为：</w:t>
      </w:r>
    </w:p>
    <w:p w14:paraId="363AA139">
      <w:pPr>
        <w:spacing w:before="120" w:after="120"/>
        <w:jc w:val="center"/>
      </w:pPr>
      <m:oMathPara>
        <m:oMath>
          <m:box>
            <m:boxPr/>
            <m:e>
              <m:sSub>
                <m:sSubPr/>
                <m:e>
                  <m:r>
                    <m:rPr/>
                    <m:t>v</m:t>
                  </m:r>
                </m:e>
                <m:sub>
                  <m:box>
                    <m:boxPr/>
                    <m:e>
                      <m:r>
                        <m:rPr/>
                        <m:t>cmd</m:t>
                      </m:r>
                      <m:r>
                        <m:rPr>
                          <m:sty m:val="p"/>
                        </m:rPr>
                        <m:t>,</m:t>
                      </m:r>
                      <m:r>
                        <m:rPr/>
                        <m:t>body</m:t>
                      </m:r>
                    </m:e>
                  </m:box>
                </m:sub>
              </m:sSub>
              <m:r>
                <m:rPr>
                  <m:sty m:val="p"/>
                </m:rPr>
                <m:t>=</m:t>
              </m:r>
              <m:sSub>
                <m:sSubPr/>
                <m:e>
                  <m:r>
                    <m:rPr/>
                    <m:t>K</m:t>
                  </m:r>
                </m:e>
                <m:sub>
                  <m:r>
                    <m:rPr/>
                    <m:t>p</m:t>
                  </m:r>
                </m:sub>
              </m:sSub>
              <m:r>
                <m:rPr/>
                <m:t>·</m:t>
              </m:r>
              <m:sSub>
                <m:sSubPr/>
                <m:e>
                  <m:r>
                    <m:rPr/>
                    <m:t>e</m:t>
                  </m:r>
                </m:e>
                <m:sub>
                  <m:box>
                    <m:boxPr/>
                    <m:e>
                      <m:r>
                        <m:rPr/>
                        <m:t>body</m:t>
                      </m:r>
                    </m:e>
                  </m:box>
                </m:sub>
              </m:sSub>
              <m:r>
                <m:rPr>
                  <m:sty m:val="p"/>
                </m:rPr>
                <m:t>+</m:t>
              </m:r>
              <m:sSub>
                <m:sSubPr/>
                <m:e>
                  <m:r>
                    <m:rPr/>
                    <m:t>v</m:t>
                  </m:r>
                </m:e>
                <m:sub>
                  <m:box>
                    <m:boxPr/>
                    <m:e>
                      <m:r>
                        <m:rPr/>
                        <m:t>ff</m:t>
                      </m:r>
                      <m:r>
                        <m:rPr>
                          <m:sty m:val="p"/>
                        </m:rPr>
                        <m:t>,</m:t>
                      </m:r>
                      <m:r>
                        <m:rPr/>
                        <m:t>body</m:t>
                      </m:r>
                    </m:e>
                  </m:box>
                </m:sub>
              </m:sSub>
            </m:e>
          </m:box>
        </m:oMath>
      </m:oMathPara>
    </w:p>
    <w:p w14:paraId="32911340">
      <w:pPr>
        <w:spacing w:after="120" w:line="300" w:lineRule="auto"/>
        <w:ind w:firstLine="420"/>
      </w:pPr>
      <w:r>
        <w:rPr>
          <w:rFonts w:ascii="宋体" w:hAnsi="宋体" w:eastAsia="宋体"/>
          <w:sz w:val="21"/>
        </w:rPr>
        <w:t>在上述控制公式中，各项控制参数的定义为：</w:t>
      </w:r>
    </w:p>
    <w:p w14:paraId="30A7159E">
      <w:pPr>
        <w:pStyle w:val="16"/>
        <w:spacing w:after="80" w:line="276" w:lineRule="auto"/>
        <w:ind w:left="720"/>
      </w:pPr>
      <m:oMath>
        <m:box>
          <m:boxPr/>
          <m:e>
            <m:sSub>
              <m:sSubPr/>
              <m:e>
                <m:r>
                  <m:rPr/>
                  <m:t>v</m:t>
                </m:r>
              </m:e>
              <m:sub>
                <m:box>
                  <m:boxPr/>
                  <m:e>
                    <m:r>
                      <m:rPr/>
                      <m:t>cmd</m:t>
                    </m:r>
                    <m:r>
                      <m:rPr>
                        <m:sty m:val="p"/>
                      </m:rPr>
                      <m:t>,</m:t>
                    </m:r>
                    <m:r>
                      <m:rPr/>
                      <m:t>body</m:t>
                    </m:r>
                  </m:e>
                </m:box>
              </m:sub>
            </m:sSub>
          </m:e>
        </m:box>
      </m:oMath>
      <w:r>
        <w:rPr>
          <w:rFonts w:ascii="宋体" w:hAnsi="宋体" w:eastAsia="宋体"/>
          <w:sz w:val="21"/>
        </w:rPr>
        <w:t xml:space="preserve"> 代表下发给飞行控制器的机体前-左-上（FLU）坐标系下的线速度控制向量；</w:t>
      </w:r>
    </w:p>
    <w:p w14:paraId="798DA80A">
      <w:pPr>
        <w:pStyle w:val="16"/>
        <w:spacing w:after="80" w:line="276" w:lineRule="auto"/>
        <w:ind w:left="720"/>
      </w:pPr>
      <m:oMath>
        <m:box>
          <m:boxPr/>
          <m:e>
            <m:sSub>
              <m:sSubPr/>
              <m:e>
                <m:r>
                  <m:rPr/>
                  <m:t>K</m:t>
                </m:r>
              </m:e>
              <m:sub>
                <m:r>
                  <m:rPr/>
                  <m:t>p</m:t>
                </m:r>
              </m:sub>
            </m:sSub>
          </m:e>
        </m:box>
      </m:oMath>
      <w:r>
        <w:rPr>
          <w:rFonts w:ascii="宋体" w:hAnsi="宋体" w:eastAsia="宋体"/>
          <w:sz w:val="21"/>
        </w:rPr>
        <w:t xml:space="preserve"> 代表水平位置跟踪反馈的比例控制器控制增益系数；</w:t>
      </w:r>
    </w:p>
    <w:p w14:paraId="62C6971C">
      <w:pPr>
        <w:pStyle w:val="16"/>
        <w:spacing w:after="80" w:line="276" w:lineRule="auto"/>
        <w:ind w:left="720"/>
      </w:pPr>
      <m:oMath>
        <m:box>
          <m:boxPr/>
          <m:e>
            <m:sSub>
              <m:sSubPr/>
              <m:e>
                <m:r>
                  <m:rPr/>
                  <m:t>e</m:t>
                </m:r>
              </m:e>
              <m:sub>
                <m:box>
                  <m:boxPr/>
                  <m:e>
                    <m:r>
                      <m:rPr/>
                      <m:t>body</m:t>
                    </m:r>
                  </m:e>
                </m:box>
              </m:sub>
            </m:sSub>
          </m:e>
        </m:box>
      </m:oMath>
      <w:r>
        <w:rPr>
          <w:rFonts w:ascii="宋体" w:hAnsi="宋体" w:eastAsia="宋体"/>
          <w:sz w:val="21"/>
        </w:rPr>
        <w:t xml:space="preserve"> 代表目标在机身前-左-上坐标系下的三维相对位置偏差向量；</w:t>
      </w:r>
    </w:p>
    <w:p w14:paraId="562D2718">
      <w:pPr>
        <w:pStyle w:val="16"/>
        <w:spacing w:after="80" w:line="276" w:lineRule="auto"/>
        <w:ind w:left="720"/>
      </w:pPr>
      <m:oMath>
        <m:box>
          <m:boxPr/>
          <m:e>
            <m:sSub>
              <m:sSubPr/>
              <m:e>
                <m:r>
                  <m:rPr/>
                  <m:t>v</m:t>
                </m:r>
              </m:e>
              <m:sub>
                <m:box>
                  <m:boxPr/>
                  <m:e>
                    <m:r>
                      <m:rPr/>
                      <m:t>ff</m:t>
                    </m:r>
                    <m:r>
                      <m:rPr>
                        <m:sty m:val="p"/>
                      </m:rPr>
                      <m:t>,</m:t>
                    </m:r>
                    <m:r>
                      <m:rPr/>
                      <m:t>body</m:t>
                    </m:r>
                  </m:e>
                </m:box>
              </m:sub>
            </m:sSub>
          </m:e>
        </m:box>
      </m:oMath>
      <w:r>
        <w:rPr>
          <w:rFonts w:ascii="宋体" w:hAnsi="宋体" w:eastAsia="宋体"/>
          <w:sz w:val="21"/>
        </w:rPr>
        <w:t xml:space="preserve"> 代表估计的目标运动线速度旋转变换至机身坐标系下的速度前馈向量。</w:t>
      </w:r>
    </w:p>
    <w:p w14:paraId="25902D7C">
      <w:pPr>
        <w:spacing w:after="120" w:line="300" w:lineRule="auto"/>
        <w:ind w:firstLine="420"/>
      </w:pPr>
      <w:r>
        <w:rPr>
          <w:rFonts w:ascii="宋体" w:hAnsi="宋体" w:eastAsia="宋体"/>
          <w:sz w:val="21"/>
        </w:rPr>
        <w:t>该伺服方式的好处在于摆脱了对外部全局定位信号的依赖，直接在机身坐标系下进行反应式运动跟踪，消除了定位源误差传递，对风扰动和运动目标大位移的动态适应性极佳。在高度低于 1.0 米的超低空阶段，系统强行锁死航向角偏差为零，以防止由于低空解算噪声引起的机体航向自转振荡。</w:t>
      </w:r>
    </w:p>
    <w:p w14:paraId="413D09FF">
      <w:pPr>
        <w:spacing w:after="120" w:line="300" w:lineRule="auto"/>
        <w:ind w:firstLine="420"/>
      </w:pPr>
      <w:r>
        <w:rPr>
          <w:rFonts w:ascii="宋体" w:hAnsi="宋体" w:eastAsia="宋体"/>
          <w:sz w:val="21"/>
        </w:rPr>
        <w:t xml:space="preserve">在垂直方向控制上，下降速度是由水平和航向的对齐精度联合控制的。允许下降的水平误差阈值随着高度降低线性收紧。在高度 </w:t>
      </w:r>
      <m:oMath>
        <m:box>
          <m:boxPr/>
          <m:e>
            <m:r>
              <m:rPr/>
              <m:t>z</m:t>
            </m:r>
            <m:r>
              <m:rPr>
                <m:sty m:val="p"/>
              </m:rPr>
              <m:t>≥</m:t>
            </m:r>
            <m:sSub>
              <m:sSubPr/>
              <m:e>
                <m:r>
                  <m:rPr/>
                  <m:t>z</m:t>
                </m:r>
              </m:e>
              <m:sub>
                <m:box>
                  <m:boxPr/>
                  <m:e>
                    <m:r>
                      <m:rPr/>
                      <m:t>max_alt</m:t>
                    </m:r>
                  </m:e>
                </m:box>
              </m:sub>
            </m:sSub>
          </m:e>
        </m:box>
      </m:oMath>
      <w:r>
        <w:rPr>
          <w:rFonts w:ascii="宋体" w:hAnsi="宋体" w:eastAsia="宋体"/>
          <w:sz w:val="21"/>
        </w:rPr>
        <w:t xml:space="preserve">（最大对准高度）时，对齐的水平容许误差设为最大容置值；而低于最低限制高度 </w:t>
      </w:r>
      <m:oMath>
        <m:box>
          <m:boxPr/>
          <m:e>
            <m:r>
              <m:rPr/>
              <m:t>z</m:t>
            </m:r>
            <m:r>
              <m:rPr>
                <m:sty m:val="p"/>
              </m:rPr>
              <m:t>≤</m:t>
            </m:r>
            <m:sSub>
              <m:sSubPr/>
              <m:e>
                <m:r>
                  <m:rPr/>
                  <m:t>z</m:t>
                </m:r>
              </m:e>
              <m:sub>
                <m:box>
                  <m:boxPr/>
                  <m:e>
                    <m:r>
                      <m:rPr/>
                      <m:t>min_alt</m:t>
                    </m:r>
                  </m:e>
                </m:box>
              </m:sub>
            </m:sSub>
          </m:e>
        </m:box>
      </m:oMath>
      <w:r>
        <w:rPr>
          <w:rFonts w:ascii="宋体" w:hAnsi="宋体" w:eastAsia="宋体"/>
          <w:sz w:val="21"/>
        </w:rPr>
        <w:t>（如0.5米）时，误差阈值收紧为极小对准要求；在此高度区间内则依据当前高度的线性占比插值进行过渡。如果当前水平位置偏差或偏航角度误差超出了该漏斗限制，系统将垂直下降速度归零，强制无人机悬停对准，满足对齐精度后再允许下降，从而确保降落的安全性。</w:t>
      </w:r>
    </w:p>
    <w:p w14:paraId="79F23D77">
      <w:pPr>
        <w:spacing w:after="120" w:line="300" w:lineRule="auto"/>
        <w:ind w:firstLine="420"/>
      </w:pPr>
      <w:r>
        <w:rPr>
          <w:rFonts w:ascii="宋体" w:hAnsi="宋体" w:eastAsia="宋体"/>
          <w:sz w:val="21"/>
        </w:rPr>
        <w:t>当无人机下降至高度低于 0.3 米且水平对准误差小于 0.2 米时，状态机触发盲降状态。由于贴地时相机距离标板过近，所有标记都会超出视场并出现剧烈图像模糊，导致视觉定位反馈失效。在盲降阶段，控制算法将水平速度指令与航向角速度指令强行清零锁定，不再依赖实时视觉定位，仅输出恒定的垂直下降速度，引导无人机压向接触面。当测距仪测得高度低于 0.1 米时，立即向飞控发送电机上锁指令，安全结束降落流程。</w:t>
      </w:r>
    </w:p>
    <w:sectPr>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4C1DC3"/>
    <w:rsid w:val="7BC156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color w:val="333333"/>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3409</Words>
  <Characters>3484</Characters>
  <Lines>0</Lines>
  <Paragraphs>0</Paragraphs>
  <TotalTime>2</TotalTime>
  <ScaleCrop>false</ScaleCrop>
  <LinksUpToDate>false</LinksUpToDate>
  <CharactersWithSpaces>3533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请叫我好哥哥</cp:lastModifiedBy>
  <dcterms:modified xsi:type="dcterms:W3CDTF">2026-06-26T01:48:13Z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eyJoZGlkIjoiZDY0OGQxOTIwMDNjZDIwMDBiMTU5Nzc1ZjFhZGYwMDIiLCJ1c2VySWQiOiI2MjgyOTYxMDAifQ==</vt:lpwstr>
  </property>
  <property fmtid="{D5CDD505-2E9C-101B-9397-08002B2CF9AE}" pid="3" name="KSOProductBuildVer">
    <vt:lpwstr>2052-12.1.0.26895</vt:lpwstr>
  </property>
  <property fmtid="{D5CDD505-2E9C-101B-9397-08002B2CF9AE}" pid="4" name="ICV">
    <vt:lpwstr>6347B6D884F94A44B8E5FFAC7B0AC0D7_12</vt:lpwstr>
  </property>
</Properties>
</file>