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B763A" w14:textId="0900F896" w:rsidR="00B25E59" w:rsidRDefault="00411062" w:rsidP="00411062">
      <w:pPr>
        <w:pStyle w:val="a3"/>
      </w:pPr>
      <w:r>
        <w:rPr>
          <w:rFonts w:hint="eastAsia"/>
        </w:rPr>
        <w:t>句法理論面面觀</w:t>
      </w:r>
    </w:p>
    <w:p w14:paraId="054D3A0F" w14:textId="5F6C512D" w:rsidR="00F86A7A" w:rsidRPr="00F86A7A" w:rsidRDefault="00F86A7A" w:rsidP="00F86A7A">
      <w:pPr>
        <w:rPr>
          <w:b/>
          <w:bCs/>
          <w:color w:val="833C0B" w:themeColor="accent2" w:themeShade="80"/>
        </w:rPr>
      </w:pPr>
      <w:r w:rsidRPr="00F86A7A">
        <w:rPr>
          <w:rFonts w:hint="eastAsia"/>
          <w:b/>
          <w:bCs/>
          <w:color w:val="833C0B" w:themeColor="accent2" w:themeShade="80"/>
        </w:rPr>
        <w:t>評估程序</w:t>
      </w:r>
    </w:p>
    <w:p w14:paraId="59730230" w14:textId="77777777" w:rsidR="00F86A7A" w:rsidRPr="00F86A7A" w:rsidRDefault="00F86A7A" w:rsidP="00F86A7A"/>
    <w:p w14:paraId="5B9BF381" w14:textId="1CE68523" w:rsidR="00411062" w:rsidRPr="00411062" w:rsidRDefault="00411062" w:rsidP="00411062">
      <w:pPr>
        <w:rPr>
          <w:rFonts w:ascii="Times New Roman" w:hAnsi="Times New Roman" w:cs="Times New Roman"/>
        </w:rPr>
      </w:pPr>
      <w:r w:rsidRPr="00411062">
        <w:rPr>
          <w:rFonts w:ascii="Times New Roman" w:hAnsi="Times New Roman" w:cs="Times New Roman"/>
        </w:rPr>
        <w:t xml:space="preserve">(12)   (i) a technique for representing input signals </w:t>
      </w:r>
    </w:p>
    <w:p w14:paraId="2C243285" w14:textId="3E1C37F8" w:rsidR="00411062" w:rsidRPr="00411062" w:rsidRDefault="00411062" w:rsidP="00411062">
      <w:pPr>
        <w:ind w:firstLineChars="300" w:firstLine="630"/>
        <w:rPr>
          <w:rFonts w:ascii="Times New Roman" w:hAnsi="Times New Roman" w:cs="Times New Roman"/>
        </w:rPr>
      </w:pPr>
      <w:r w:rsidRPr="00411062">
        <w:rPr>
          <w:rFonts w:ascii="Times New Roman" w:hAnsi="Times New Roman" w:cs="Times New Roman"/>
        </w:rPr>
        <w:t>(ii) a way of representing structural information about these signals</w:t>
      </w:r>
    </w:p>
    <w:p w14:paraId="03B2E6EC" w14:textId="77777777" w:rsidR="00411062" w:rsidRPr="00411062" w:rsidRDefault="00411062" w:rsidP="00411062">
      <w:pPr>
        <w:ind w:firstLineChars="300" w:firstLine="630"/>
        <w:rPr>
          <w:rFonts w:ascii="Times New Roman" w:hAnsi="Times New Roman" w:cs="Times New Roman"/>
        </w:rPr>
      </w:pPr>
      <w:r w:rsidRPr="00411062">
        <w:rPr>
          <w:rFonts w:ascii="Times New Roman" w:hAnsi="Times New Roman" w:cs="Times New Roman"/>
        </w:rPr>
        <w:t>(iii) some initial delimitation of a class of possible hypotheses about language structure</w:t>
      </w:r>
    </w:p>
    <w:p w14:paraId="02966F1B" w14:textId="116185BF" w:rsidR="00411062" w:rsidRPr="00411062" w:rsidRDefault="00411062" w:rsidP="00411062">
      <w:pPr>
        <w:ind w:leftChars="300" w:left="630"/>
        <w:rPr>
          <w:rFonts w:ascii="Times New Roman" w:hAnsi="Times New Roman" w:cs="Times New Roman"/>
        </w:rPr>
      </w:pPr>
      <w:r w:rsidRPr="00411062">
        <w:rPr>
          <w:rFonts w:ascii="Times New Roman" w:hAnsi="Times New Roman" w:cs="Times New Roman"/>
        </w:rPr>
        <w:t>(iv) a method for determining what each such hypothesis implies with respect to each sentence</w:t>
      </w:r>
    </w:p>
    <w:p w14:paraId="1E87B307" w14:textId="7E58DE6D" w:rsidR="00411062" w:rsidRPr="00CB0C57" w:rsidRDefault="00411062" w:rsidP="00411062">
      <w:pPr>
        <w:ind w:left="630" w:hangingChars="300" w:hanging="630"/>
        <w:rPr>
          <w:rFonts w:ascii="Times New Roman" w:hAnsi="Times New Roman" w:cs="Times New Roman"/>
          <w:color w:val="833C0B" w:themeColor="accent2" w:themeShade="80"/>
        </w:rPr>
      </w:pPr>
      <w:r w:rsidRPr="00411062">
        <w:rPr>
          <w:rFonts w:ascii="Times New Roman" w:hAnsi="Times New Roman" w:cs="Times New Roman"/>
        </w:rPr>
        <w:t xml:space="preserve">     </w:t>
      </w:r>
      <w:r w:rsidRPr="00CB0C57">
        <w:rPr>
          <w:rFonts w:ascii="Times New Roman" w:hAnsi="Times New Roman" w:cs="Times New Roman"/>
          <w:color w:val="833C0B" w:themeColor="accent2" w:themeShade="80"/>
        </w:rPr>
        <w:t xml:space="preserve"> (v) a method for selecting one of the (presumably, infinitely many) hypotheses that are allowed by (iii) and are compatible with the given primary linguistic data</w:t>
      </w:r>
    </w:p>
    <w:p w14:paraId="3259E71F" w14:textId="77777777" w:rsidR="00411062" w:rsidRPr="00CB0C57" w:rsidRDefault="00411062" w:rsidP="00411062">
      <w:pPr>
        <w:ind w:left="630" w:hangingChars="300" w:hanging="630"/>
        <w:rPr>
          <w:rFonts w:ascii="Times New Roman" w:hAnsi="Times New Roman" w:cs="Times New Roman"/>
        </w:rPr>
      </w:pPr>
    </w:p>
    <w:p w14:paraId="7BEB3060" w14:textId="65557F07" w:rsidR="00411062" w:rsidRPr="00411062" w:rsidRDefault="00411062" w:rsidP="00411062">
      <w:pPr>
        <w:ind w:left="630" w:hangingChars="300" w:hanging="630"/>
        <w:rPr>
          <w:rFonts w:ascii="Times New Roman" w:hAnsi="Times New Roman" w:cs="Times New Roman"/>
        </w:rPr>
      </w:pPr>
      <w:r w:rsidRPr="00411062">
        <w:rPr>
          <w:rFonts w:ascii="Times New Roman" w:hAnsi="Times New Roman" w:cs="Times New Roman"/>
        </w:rPr>
        <w:t>(13)   (i) a universal phonetic theory that defines the notion “ possible sentence ”</w:t>
      </w:r>
    </w:p>
    <w:p w14:paraId="6F7A82E9" w14:textId="420CCA4C" w:rsidR="00411062" w:rsidRPr="00411062" w:rsidRDefault="00411062" w:rsidP="00411062">
      <w:pPr>
        <w:ind w:leftChars="300" w:left="630"/>
        <w:rPr>
          <w:rFonts w:ascii="Times New Roman" w:hAnsi="Times New Roman" w:cs="Times New Roman"/>
        </w:rPr>
      </w:pPr>
      <w:r w:rsidRPr="00411062">
        <w:rPr>
          <w:rFonts w:ascii="Times New Roman" w:hAnsi="Times New Roman" w:cs="Times New Roman"/>
        </w:rPr>
        <w:t xml:space="preserve">(ii) a definition of “ structural description ” </w:t>
      </w:r>
    </w:p>
    <w:p w14:paraId="0ADB1FDD" w14:textId="28A44C38" w:rsidR="00411062" w:rsidRPr="00411062" w:rsidRDefault="00411062" w:rsidP="00411062">
      <w:pPr>
        <w:ind w:leftChars="300" w:left="630"/>
        <w:rPr>
          <w:rFonts w:ascii="Times New Roman" w:hAnsi="Times New Roman" w:cs="Times New Roman"/>
        </w:rPr>
      </w:pPr>
      <w:r w:rsidRPr="00411062">
        <w:rPr>
          <w:rFonts w:ascii="Times New Roman" w:hAnsi="Times New Roman" w:cs="Times New Roman"/>
        </w:rPr>
        <w:t xml:space="preserve">(iii) a definition of “generative grammar ” </w:t>
      </w:r>
    </w:p>
    <w:p w14:paraId="08ABCEA9" w14:textId="49FD05FA" w:rsidR="00411062" w:rsidRPr="00411062" w:rsidRDefault="00411062" w:rsidP="00411062">
      <w:pPr>
        <w:ind w:leftChars="300" w:left="630"/>
        <w:rPr>
          <w:rFonts w:ascii="Times New Roman" w:hAnsi="Times New Roman" w:cs="Times New Roman"/>
        </w:rPr>
      </w:pPr>
      <w:r w:rsidRPr="00411062">
        <w:rPr>
          <w:rFonts w:ascii="Times New Roman" w:hAnsi="Times New Roman" w:cs="Times New Roman"/>
        </w:rPr>
        <w:t>(iv) a method for determining the structural description of a sentence, given a grammar</w:t>
      </w:r>
    </w:p>
    <w:p w14:paraId="626CB61B" w14:textId="4517973B" w:rsidR="00411062" w:rsidRPr="00CB0C57" w:rsidRDefault="00411062" w:rsidP="00411062">
      <w:pPr>
        <w:ind w:leftChars="300" w:left="630"/>
        <w:rPr>
          <w:rFonts w:ascii="Times New Roman" w:hAnsi="Times New Roman" w:cs="Times New Roman"/>
          <w:color w:val="833C0B" w:themeColor="accent2" w:themeShade="80"/>
        </w:rPr>
      </w:pPr>
      <w:r w:rsidRPr="00CB0C57">
        <w:rPr>
          <w:rFonts w:ascii="Times New Roman" w:hAnsi="Times New Roman" w:cs="Times New Roman"/>
          <w:color w:val="833C0B" w:themeColor="accent2" w:themeShade="80"/>
        </w:rPr>
        <w:t>(v) a way of evaluating alternative proposed grammars</w:t>
      </w:r>
    </w:p>
    <w:p w14:paraId="3511939E" w14:textId="77777777" w:rsidR="00411062" w:rsidRPr="00CB0C57" w:rsidRDefault="00411062" w:rsidP="00411062">
      <w:pPr>
        <w:ind w:leftChars="300" w:left="630"/>
        <w:rPr>
          <w:rFonts w:ascii="Times New Roman" w:hAnsi="Times New Roman" w:cs="Times New Roman"/>
        </w:rPr>
      </w:pPr>
    </w:p>
    <w:p w14:paraId="497ACCA4" w14:textId="085CCC0B" w:rsidR="00411062" w:rsidRPr="00411062" w:rsidRDefault="00411062" w:rsidP="00411062">
      <w:pPr>
        <w:rPr>
          <w:rFonts w:ascii="Times New Roman" w:hAnsi="Times New Roman" w:cs="Times New Roman"/>
        </w:rPr>
      </w:pPr>
      <w:r w:rsidRPr="00411062">
        <w:rPr>
          <w:rFonts w:ascii="Times New Roman" w:hAnsi="Times New Roman" w:cs="Times New Roman"/>
        </w:rPr>
        <w:t>(14)   (i) an enumeration of the class of possible sentences s</w:t>
      </w:r>
      <w:r w:rsidRPr="00411062">
        <w:rPr>
          <w:rFonts w:ascii="Times New Roman" w:hAnsi="Times New Roman" w:cs="Times New Roman"/>
          <w:vertAlign w:val="subscript"/>
        </w:rPr>
        <w:t xml:space="preserve">1 </w:t>
      </w:r>
      <w:r w:rsidRPr="00411062">
        <w:rPr>
          <w:rFonts w:ascii="Times New Roman" w:hAnsi="Times New Roman" w:cs="Times New Roman"/>
        </w:rPr>
        <w:t>, s</w:t>
      </w:r>
      <w:r w:rsidRPr="00411062">
        <w:rPr>
          <w:rFonts w:ascii="Times New Roman" w:hAnsi="Times New Roman" w:cs="Times New Roman"/>
          <w:vertAlign w:val="subscript"/>
        </w:rPr>
        <w:t>2</w:t>
      </w:r>
      <w:r w:rsidRPr="00411062">
        <w:rPr>
          <w:rFonts w:ascii="Times New Roman" w:hAnsi="Times New Roman" w:cs="Times New Roman"/>
        </w:rPr>
        <w:t xml:space="preserve"> , … </w:t>
      </w:r>
    </w:p>
    <w:p w14:paraId="129F0E6B" w14:textId="519465F0" w:rsidR="00411062" w:rsidRPr="00411062" w:rsidRDefault="00411062" w:rsidP="00411062">
      <w:pPr>
        <w:ind w:firstLineChars="300" w:firstLine="630"/>
        <w:rPr>
          <w:rFonts w:ascii="Times New Roman" w:hAnsi="Times New Roman" w:cs="Times New Roman"/>
        </w:rPr>
      </w:pPr>
      <w:r w:rsidRPr="00411062">
        <w:rPr>
          <w:rFonts w:ascii="Times New Roman" w:hAnsi="Times New Roman" w:cs="Times New Roman"/>
        </w:rPr>
        <w:t>(ii) an enumeration of the class of possible structural descriptions</w:t>
      </w:r>
      <w:r>
        <w:rPr>
          <w:rFonts w:ascii="Times New Roman" w:hAnsi="Times New Roman" w:cs="Times New Roman"/>
        </w:rPr>
        <w:t xml:space="preserve"> </w:t>
      </w:r>
      <w:r w:rsidRPr="00411062">
        <w:rPr>
          <w:rFonts w:ascii="Times New Roman" w:hAnsi="Times New Roman" w:cs="Times New Roman"/>
        </w:rPr>
        <w:t>SD</w:t>
      </w:r>
      <w:r w:rsidRPr="00411062">
        <w:rPr>
          <w:rFonts w:ascii="Times New Roman" w:hAnsi="Times New Roman" w:cs="Times New Roman"/>
          <w:vertAlign w:val="subscript"/>
        </w:rPr>
        <w:t>1</w:t>
      </w:r>
      <w:r w:rsidRPr="0041106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411062">
        <w:rPr>
          <w:rFonts w:ascii="Times New Roman" w:hAnsi="Times New Roman" w:cs="Times New Roman"/>
        </w:rPr>
        <w:t>SD</w:t>
      </w:r>
      <w:r w:rsidRPr="00411062">
        <w:rPr>
          <w:rFonts w:ascii="Times New Roman" w:hAnsi="Times New Roman" w:cs="Times New Roman"/>
          <w:vertAlign w:val="subscript"/>
        </w:rPr>
        <w:t>2</w:t>
      </w:r>
      <w:r w:rsidRPr="00411062">
        <w:rPr>
          <w:rFonts w:ascii="Times New Roman" w:hAnsi="Times New Roman" w:cs="Times New Roman"/>
        </w:rPr>
        <w:t>, …</w:t>
      </w:r>
    </w:p>
    <w:p w14:paraId="38A17B5F" w14:textId="48DC96DD" w:rsidR="00411062" w:rsidRPr="00411062" w:rsidRDefault="00411062" w:rsidP="00411062">
      <w:pPr>
        <w:ind w:firstLineChars="300" w:firstLine="630"/>
        <w:rPr>
          <w:rFonts w:ascii="Times New Roman" w:hAnsi="Times New Roman" w:cs="Times New Roman"/>
        </w:rPr>
      </w:pPr>
      <w:r w:rsidRPr="00411062">
        <w:rPr>
          <w:rFonts w:ascii="Times New Roman" w:hAnsi="Times New Roman" w:cs="Times New Roman"/>
        </w:rPr>
        <w:t>(iii) an enumeration of the class of possible generative grammars</w:t>
      </w:r>
      <w:r>
        <w:rPr>
          <w:rFonts w:ascii="Times New Roman" w:hAnsi="Times New Roman" w:cs="Times New Roman"/>
        </w:rPr>
        <w:t xml:space="preserve"> </w:t>
      </w:r>
      <w:r w:rsidRPr="00411062">
        <w:rPr>
          <w:rFonts w:ascii="Times New Roman" w:hAnsi="Times New Roman" w:cs="Times New Roman"/>
        </w:rPr>
        <w:t>G</w:t>
      </w:r>
      <w:r w:rsidRPr="00411062">
        <w:rPr>
          <w:rFonts w:ascii="Times New Roman" w:hAnsi="Times New Roman" w:cs="Times New Roman"/>
          <w:vertAlign w:val="subscript"/>
        </w:rPr>
        <w:t>1</w:t>
      </w:r>
      <w:r w:rsidRPr="00411062">
        <w:rPr>
          <w:rFonts w:ascii="Times New Roman" w:hAnsi="Times New Roman" w:cs="Times New Roman"/>
        </w:rPr>
        <w:t>, G</w:t>
      </w:r>
      <w:r w:rsidRPr="00411062">
        <w:rPr>
          <w:rFonts w:ascii="Times New Roman" w:hAnsi="Times New Roman" w:cs="Times New Roman"/>
          <w:vertAlign w:val="subscript"/>
        </w:rPr>
        <w:t>2</w:t>
      </w:r>
      <w:r w:rsidRPr="00411062">
        <w:rPr>
          <w:rFonts w:ascii="Times New Roman" w:hAnsi="Times New Roman" w:cs="Times New Roman"/>
        </w:rPr>
        <w:t>, …</w:t>
      </w:r>
    </w:p>
    <w:p w14:paraId="6DE792B1" w14:textId="6C926FEC" w:rsidR="00411062" w:rsidRPr="00411062" w:rsidRDefault="00411062" w:rsidP="00411062">
      <w:pPr>
        <w:ind w:leftChars="300" w:left="630"/>
        <w:rPr>
          <w:rFonts w:ascii="Times New Roman" w:hAnsi="Times New Roman" w:cs="Times New Roman"/>
        </w:rPr>
      </w:pPr>
      <w:r w:rsidRPr="00411062">
        <w:rPr>
          <w:rFonts w:ascii="Times New Roman" w:hAnsi="Times New Roman" w:cs="Times New Roman"/>
        </w:rPr>
        <w:t>(iv) specification of a function f such that SD</w:t>
      </w:r>
      <w:r w:rsidRPr="00411062">
        <w:rPr>
          <w:rFonts w:ascii="Times New Roman" w:hAnsi="Times New Roman" w:cs="Times New Roman"/>
          <w:vertAlign w:val="subscript"/>
        </w:rPr>
        <w:t>f(i ,j)</w:t>
      </w:r>
      <w:r w:rsidRPr="00411062">
        <w:rPr>
          <w:rFonts w:ascii="Times New Roman" w:hAnsi="Times New Roman" w:cs="Times New Roman"/>
        </w:rPr>
        <w:t xml:space="preserve"> is the structural description assigned to sentence s</w:t>
      </w:r>
      <w:r w:rsidRPr="00411062">
        <w:rPr>
          <w:rFonts w:ascii="Times New Roman" w:hAnsi="Times New Roman" w:cs="Times New Roman"/>
          <w:vertAlign w:val="subscript"/>
        </w:rPr>
        <w:t>i</w:t>
      </w:r>
      <w:r w:rsidRPr="00411062">
        <w:rPr>
          <w:rFonts w:ascii="Times New Roman" w:hAnsi="Times New Roman" w:cs="Times New Roman"/>
        </w:rPr>
        <w:t xml:space="preserve"> by grammar G</w:t>
      </w:r>
      <w:r w:rsidRPr="00411062">
        <w:rPr>
          <w:rFonts w:ascii="Times New Roman" w:hAnsi="Times New Roman" w:cs="Times New Roman"/>
          <w:vertAlign w:val="subscript"/>
        </w:rPr>
        <w:t>j</w:t>
      </w:r>
      <w:r w:rsidRPr="00411062">
        <w:rPr>
          <w:rFonts w:ascii="Times New Roman" w:hAnsi="Times New Roman" w:cs="Times New Roman"/>
        </w:rPr>
        <w:t>, for arbitrary i , j</w:t>
      </w:r>
    </w:p>
    <w:p w14:paraId="10C1DDF5" w14:textId="627DA99A" w:rsidR="00411062" w:rsidRPr="00CB0C57" w:rsidRDefault="00411062" w:rsidP="00411062">
      <w:pPr>
        <w:ind w:leftChars="300" w:left="630"/>
        <w:rPr>
          <w:rFonts w:ascii="Times New Roman" w:hAnsi="Times New Roman" w:cs="Times New Roman"/>
          <w:color w:val="833C0B" w:themeColor="accent2" w:themeShade="80"/>
        </w:rPr>
      </w:pPr>
      <w:r w:rsidRPr="00CB0C57">
        <w:rPr>
          <w:rFonts w:ascii="Times New Roman" w:hAnsi="Times New Roman" w:cs="Times New Roman"/>
          <w:color w:val="833C0B" w:themeColor="accent2" w:themeShade="80"/>
        </w:rPr>
        <w:t>(v) specification of a function m such that m(i) is an integer associated with the grammar G</w:t>
      </w:r>
      <w:r w:rsidRPr="00CB0C57">
        <w:rPr>
          <w:rFonts w:ascii="Times New Roman" w:hAnsi="Times New Roman" w:cs="Times New Roman"/>
          <w:color w:val="833C0B" w:themeColor="accent2" w:themeShade="80"/>
          <w:vertAlign w:val="subscript"/>
        </w:rPr>
        <w:t xml:space="preserve">i </w:t>
      </w:r>
      <w:r w:rsidRPr="00CB0C57">
        <w:rPr>
          <w:rFonts w:ascii="Times New Roman" w:hAnsi="Times New Roman" w:cs="Times New Roman"/>
          <w:color w:val="833C0B" w:themeColor="accent2" w:themeShade="80"/>
        </w:rPr>
        <w:t>as its value (with, let us say, lower value indicated by higher number)</w:t>
      </w:r>
    </w:p>
    <w:p w14:paraId="4C58CC37" w14:textId="77777777" w:rsidR="00D913CC" w:rsidRPr="00F86A7A" w:rsidRDefault="00D913CC" w:rsidP="00682194">
      <w:pPr>
        <w:ind w:firstLineChars="200" w:firstLine="420"/>
        <w:rPr>
          <w:rFonts w:ascii="Times New Roman" w:hAnsi="Times New Roman" w:cs="Times New Roman"/>
          <w:color w:val="2F5496" w:themeColor="accent1" w:themeShade="BF"/>
        </w:rPr>
      </w:pPr>
    </w:p>
    <w:p w14:paraId="09E05F60" w14:textId="70F3999B" w:rsidR="00CB0C57" w:rsidRPr="00F86A7A" w:rsidRDefault="00CB0C57" w:rsidP="00682194">
      <w:pPr>
        <w:ind w:firstLineChars="200" w:firstLine="420"/>
        <w:rPr>
          <w:rFonts w:ascii="Times New Roman" w:hAnsi="Times New Roman" w:cs="Times New Roman"/>
          <w:color w:val="2F5496" w:themeColor="accent1" w:themeShade="BF"/>
        </w:rPr>
      </w:pPr>
      <w:r w:rsidRPr="00F86A7A">
        <w:rPr>
          <w:rFonts w:ascii="Times New Roman" w:hAnsi="Times New Roman" w:cs="Times New Roman" w:hint="eastAsia"/>
          <w:color w:val="2F5496" w:themeColor="accent1" w:themeShade="BF"/>
        </w:rPr>
        <w:t>首先，這樣的評估程序并非先天的，任何</w:t>
      </w:r>
      <w:r w:rsidR="00682194" w:rsidRPr="00F86A7A">
        <w:rPr>
          <w:rFonts w:ascii="Times New Roman" w:hAnsi="Times New Roman" w:cs="Times New Roman" w:hint="eastAsia"/>
          <w:color w:val="2F5496" w:themeColor="accent1" w:themeShade="BF"/>
        </w:rPr>
        <w:t>關於此程序的方案</w:t>
      </w:r>
      <w:r w:rsidRPr="00F86A7A">
        <w:rPr>
          <w:rFonts w:ascii="Times New Roman" w:hAnsi="Times New Roman" w:cs="Times New Roman" w:hint="eastAsia"/>
          <w:color w:val="2F5496" w:themeColor="accent1" w:themeShade="BF"/>
        </w:rPr>
        <w:t>都是關於語言本質的經驗假設</w:t>
      </w:r>
      <w:r w:rsidR="00682194" w:rsidRPr="00F86A7A">
        <w:rPr>
          <w:rFonts w:ascii="Times New Roman" w:hAnsi="Times New Roman" w:cs="Times New Roman" w:hint="eastAsia"/>
          <w:color w:val="2F5496" w:themeColor="accent1" w:themeShade="BF"/>
        </w:rPr>
        <w:t>（工作假設</w:t>
      </w:r>
      <w:r w:rsidR="00682194" w:rsidRPr="00F86A7A">
        <w:rPr>
          <w:rStyle w:val="a7"/>
          <w:rFonts w:ascii="Times New Roman" w:hAnsi="Times New Roman" w:cs="Times New Roman"/>
          <w:color w:val="2F5496" w:themeColor="accent1" w:themeShade="BF"/>
        </w:rPr>
        <w:footnoteReference w:id="1"/>
      </w:r>
      <w:r w:rsidR="00682194" w:rsidRPr="00F86A7A">
        <w:rPr>
          <w:rFonts w:ascii="Times New Roman" w:hAnsi="Times New Roman" w:cs="Times New Roman" w:hint="eastAsia"/>
          <w:color w:val="2F5496" w:themeColor="accent1" w:themeShade="BF"/>
        </w:rPr>
        <w:t>）</w:t>
      </w:r>
      <w:r w:rsidRPr="00F86A7A">
        <w:rPr>
          <w:rFonts w:ascii="Times New Roman" w:hAnsi="Times New Roman" w:cs="Times New Roman" w:hint="eastAsia"/>
          <w:color w:val="2F5496" w:themeColor="accent1" w:themeShade="BF"/>
        </w:rPr>
        <w:t>。</w:t>
      </w:r>
    </w:p>
    <w:p w14:paraId="3EC8361D" w14:textId="0F785982" w:rsidR="00682194" w:rsidRPr="00F86A7A" w:rsidRDefault="00682194" w:rsidP="00682194">
      <w:pPr>
        <w:ind w:firstLineChars="200" w:firstLine="420"/>
        <w:rPr>
          <w:rFonts w:ascii="Times New Roman" w:hAnsi="Times New Roman" w:cs="Times New Roman"/>
          <w:color w:val="2F5496" w:themeColor="accent1" w:themeShade="BF"/>
        </w:rPr>
      </w:pPr>
      <w:r w:rsidRPr="00F86A7A">
        <w:rPr>
          <w:rFonts w:ascii="Times New Roman" w:hAnsi="Times New Roman" w:cs="Times New Roman" w:hint="eastAsia"/>
          <w:color w:val="2F5496" w:themeColor="accent1" w:themeShade="BF"/>
        </w:rPr>
        <w:t>簡易性量度</w:t>
      </w:r>
      <w:r w:rsidRPr="00F86A7A">
        <w:rPr>
          <w:rFonts w:ascii="Times New Roman" w:hAnsi="Times New Roman" w:cs="Times New Roman" w:hint="eastAsia"/>
          <w:color w:val="2F5496" w:themeColor="accent1" w:themeShade="BF"/>
        </w:rPr>
        <w:t xml:space="preserve"> =</w:t>
      </w:r>
      <w:r w:rsidRPr="00F86A7A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Pr="00F86A7A">
        <w:rPr>
          <w:rFonts w:ascii="Times New Roman" w:hAnsi="Times New Roman" w:cs="Times New Roman" w:hint="eastAsia"/>
          <w:color w:val="2F5496" w:themeColor="accent1" w:themeShade="BF"/>
        </w:rPr>
        <w:t>評估量度</w:t>
      </w:r>
    </w:p>
    <w:p w14:paraId="3F4D157A" w14:textId="059F2C08" w:rsidR="00682194" w:rsidRPr="00F86A7A" w:rsidRDefault="00682194" w:rsidP="00682194">
      <w:pPr>
        <w:ind w:firstLineChars="200" w:firstLine="420"/>
        <w:rPr>
          <w:rFonts w:ascii="Times New Roman" w:hAnsi="Times New Roman" w:cs="Times New Roman"/>
          <w:color w:val="2F5496" w:themeColor="accent1" w:themeShade="BF"/>
        </w:rPr>
      </w:pPr>
      <w:r w:rsidRPr="00F86A7A">
        <w:rPr>
          <w:rFonts w:ascii="Times New Roman" w:hAnsi="Times New Roman" w:cs="Times New Roman" w:hint="eastAsia"/>
          <w:color w:val="2F5496" w:themeColor="accent1" w:themeShade="BF"/>
        </w:rPr>
        <w:t>初始語言數據</w:t>
      </w:r>
      <w:r w:rsidR="00D913CC" w:rsidRPr="00F86A7A">
        <w:rPr>
          <w:rFonts w:ascii="Times New Roman" w:hAnsi="Times New Roman" w:cs="Times New Roman" w:hint="eastAsia"/>
          <w:color w:val="2F5496" w:themeColor="accent1" w:themeShade="BF"/>
        </w:rPr>
        <w:t>（</w:t>
      </w:r>
      <w:r w:rsidR="00D913CC" w:rsidRPr="00F86A7A">
        <w:rPr>
          <w:rFonts w:ascii="Times New Roman" w:hAnsi="Times New Roman" w:cs="Times New Roman" w:hint="eastAsia"/>
          <w:color w:val="2F5496" w:themeColor="accent1" w:themeShade="BF"/>
        </w:rPr>
        <w:t>PLD</w:t>
      </w:r>
      <w:r w:rsidR="00D913CC" w:rsidRPr="00F86A7A">
        <w:rPr>
          <w:rFonts w:ascii="Times New Roman" w:hAnsi="Times New Roman" w:cs="Times New Roman" w:hint="eastAsia"/>
          <w:color w:val="2F5496" w:themeColor="accent1" w:themeShade="BF"/>
        </w:rPr>
        <w:t>）</w:t>
      </w:r>
      <w:r w:rsidRPr="00F86A7A">
        <w:rPr>
          <w:rFonts w:ascii="Times New Roman" w:hAnsi="Times New Roman" w:cs="Times New Roman"/>
          <w:color w:val="2F5496" w:themeColor="accent1" w:themeShade="BF"/>
        </w:rPr>
        <w:sym w:font="Wingdings" w:char="F0E0"/>
      </w:r>
      <w:r w:rsidRPr="00F86A7A">
        <w:rPr>
          <w:rFonts w:ascii="Times New Roman" w:hAnsi="Times New Roman" w:cs="Times New Roman"/>
          <w:color w:val="2F5496" w:themeColor="accent1" w:themeShade="BF"/>
        </w:rPr>
        <w:t>(</w:t>
      </w:r>
      <w:r w:rsidR="00D913CC" w:rsidRPr="00F86A7A">
        <w:rPr>
          <w:rFonts w:ascii="Times New Roman" w:hAnsi="Times New Roman" w:cs="Times New Roman" w:hint="eastAsia"/>
          <w:color w:val="2F5496" w:themeColor="accent1" w:themeShade="BF"/>
        </w:rPr>
        <w:t>如何</w:t>
      </w:r>
      <w:r w:rsidRPr="00F86A7A">
        <w:rPr>
          <w:rFonts w:ascii="Times New Roman" w:hAnsi="Times New Roman" w:cs="Times New Roman" w:hint="eastAsia"/>
          <w:color w:val="2F5496" w:themeColor="accent1" w:themeShade="BF"/>
        </w:rPr>
        <w:t>決定</w:t>
      </w:r>
      <w:r w:rsidRPr="00F86A7A">
        <w:rPr>
          <w:rFonts w:ascii="Times New Roman" w:hAnsi="Times New Roman" w:cs="Times New Roman"/>
          <w:color w:val="2F5496" w:themeColor="accent1" w:themeShade="BF"/>
        </w:rPr>
        <w:t xml:space="preserve">) </w:t>
      </w:r>
      <w:r w:rsidRPr="00F86A7A">
        <w:rPr>
          <w:rFonts w:ascii="Times New Roman" w:hAnsi="Times New Roman" w:cs="Times New Roman"/>
          <w:color w:val="2F5496" w:themeColor="accent1" w:themeShade="BF"/>
        </w:rPr>
        <w:sym w:font="Wingdings" w:char="F0E0"/>
      </w:r>
      <w:r w:rsidRPr="00F86A7A">
        <w:rPr>
          <w:rFonts w:ascii="Times New Roman" w:hAnsi="Times New Roman" w:cs="Times New Roman" w:hint="eastAsia"/>
          <w:color w:val="2F5496" w:themeColor="accent1" w:themeShade="BF"/>
        </w:rPr>
        <w:t>描寫充分語法</w:t>
      </w:r>
      <w:r w:rsidR="00D913CC" w:rsidRPr="00F86A7A">
        <w:rPr>
          <w:rFonts w:ascii="Times New Roman" w:hAnsi="Times New Roman" w:cs="Times New Roman" w:hint="eastAsia"/>
          <w:color w:val="2F5496" w:themeColor="accent1" w:themeShade="BF"/>
        </w:rPr>
        <w:t>（</w:t>
      </w:r>
      <w:r w:rsidR="00D913CC" w:rsidRPr="00F86A7A">
        <w:rPr>
          <w:rFonts w:ascii="Times New Roman" w:hAnsi="Times New Roman" w:cs="Times New Roman" w:hint="eastAsia"/>
          <w:color w:val="2F5496" w:themeColor="accent1" w:themeShade="BF"/>
        </w:rPr>
        <w:t>DG</w:t>
      </w:r>
      <w:r w:rsidR="00D913CC" w:rsidRPr="00F86A7A">
        <w:rPr>
          <w:rFonts w:ascii="Times New Roman" w:hAnsi="Times New Roman" w:cs="Times New Roman" w:hint="eastAsia"/>
          <w:color w:val="2F5496" w:themeColor="accent1" w:themeShade="BF"/>
        </w:rPr>
        <w:t>），定義簡易性即定義如何</w:t>
      </w:r>
      <w:r w:rsidR="00D913CC" w:rsidRPr="00F86A7A">
        <w:rPr>
          <w:rFonts w:ascii="Times New Roman" w:hAnsi="Times New Roman" w:cs="Times New Roman" w:hint="eastAsia"/>
          <w:color w:val="2F5496" w:themeColor="accent1" w:themeShade="BF"/>
        </w:rPr>
        <w:t>PLD</w:t>
      </w:r>
      <w:r w:rsidR="00D913CC" w:rsidRPr="00F86A7A">
        <w:rPr>
          <w:rFonts w:ascii="Times New Roman" w:hAnsi="Times New Roman" w:cs="Times New Roman" w:hint="eastAsia"/>
          <w:color w:val="2F5496" w:themeColor="accent1" w:themeShade="BF"/>
        </w:rPr>
        <w:t>決定</w:t>
      </w:r>
      <w:r w:rsidR="00D913CC" w:rsidRPr="00F86A7A">
        <w:rPr>
          <w:rFonts w:ascii="Times New Roman" w:hAnsi="Times New Roman" w:cs="Times New Roman" w:hint="eastAsia"/>
          <w:color w:val="2F5496" w:themeColor="accent1" w:themeShade="BF"/>
        </w:rPr>
        <w:t>DG</w:t>
      </w:r>
      <w:r w:rsidR="00D913CC" w:rsidRPr="00F86A7A">
        <w:rPr>
          <w:rFonts w:ascii="Times New Roman" w:hAnsi="Times New Roman" w:cs="Times New Roman" w:hint="eastAsia"/>
          <w:color w:val="2F5496" w:themeColor="accent1" w:themeShade="BF"/>
        </w:rPr>
        <w:t>。</w:t>
      </w:r>
      <w:r w:rsidR="00D913CC" w:rsidRPr="00F86A7A">
        <w:rPr>
          <w:rFonts w:ascii="Times New Roman" w:hAnsi="Times New Roman" w:cs="Times New Roman" w:hint="eastAsia"/>
          <w:color w:val="2F5496" w:themeColor="accent1" w:themeShade="BF"/>
        </w:rPr>
        <w:t xml:space="preserve"> </w:t>
      </w:r>
    </w:p>
    <w:p w14:paraId="4668DE69" w14:textId="5CE01490" w:rsidR="00D913CC" w:rsidRPr="00F86A7A" w:rsidRDefault="00D913CC" w:rsidP="00682194">
      <w:pPr>
        <w:ind w:firstLineChars="200" w:firstLine="420"/>
        <w:rPr>
          <w:rFonts w:ascii="Times New Roman" w:hAnsi="Times New Roman" w:cs="Times New Roman"/>
          <w:color w:val="2F5496" w:themeColor="accent1" w:themeShade="BF"/>
        </w:rPr>
      </w:pPr>
      <w:r w:rsidRPr="00F86A7A">
        <w:rPr>
          <w:rFonts w:ascii="Times New Roman" w:hAnsi="Times New Roman" w:cs="Times New Roman" w:hint="eastAsia"/>
          <w:color w:val="2F5496" w:themeColor="accent1" w:themeShade="BF"/>
        </w:rPr>
        <w:t>簡易性量度是不能用來比較不同的語法理論的。【筆記】該評估程序是用來評估</w:t>
      </w:r>
      <w:r w:rsidR="00E660D0" w:rsidRPr="00F86A7A">
        <w:rPr>
          <w:rFonts w:ascii="Times New Roman" w:hAnsi="Times New Roman" w:cs="Times New Roman" w:hint="eastAsia"/>
          <w:color w:val="2F5496" w:themeColor="accent1" w:themeShade="BF"/>
        </w:rPr>
        <w:t>特定語言學理論之下</w:t>
      </w:r>
      <w:r w:rsidRPr="00F86A7A">
        <w:rPr>
          <w:rFonts w:ascii="Times New Roman" w:hAnsi="Times New Roman" w:cs="Times New Roman" w:hint="eastAsia"/>
          <w:color w:val="2F5496" w:themeColor="accent1" w:themeShade="BF"/>
        </w:rPr>
        <w:t>哪一部語法更</w:t>
      </w:r>
      <w:r w:rsidR="00E660D0" w:rsidRPr="00F86A7A">
        <w:rPr>
          <w:rFonts w:ascii="Times New Roman" w:hAnsi="Times New Roman" w:cs="Times New Roman" w:hint="eastAsia"/>
          <w:color w:val="2F5496" w:themeColor="accent1" w:themeShade="BF"/>
        </w:rPr>
        <w:t>充分</w:t>
      </w:r>
      <w:r w:rsidRPr="00F86A7A">
        <w:rPr>
          <w:rFonts w:ascii="Times New Roman" w:hAnsi="Times New Roman" w:cs="Times New Roman" w:hint="eastAsia"/>
          <w:color w:val="2F5496" w:themeColor="accent1" w:themeShade="BF"/>
        </w:rPr>
        <w:t>。</w:t>
      </w:r>
      <w:r w:rsidR="00E660D0" w:rsidRPr="00F86A7A">
        <w:rPr>
          <w:rFonts w:ascii="Times New Roman" w:hAnsi="Times New Roman" w:cs="Times New Roman"/>
          <w:color w:val="2F5496" w:themeColor="accent1" w:themeShade="BF"/>
        </w:rPr>
        <w:t>T</w:t>
      </w:r>
      <w:r w:rsidR="00E660D0" w:rsidRPr="00F86A7A">
        <w:rPr>
          <w:rFonts w:ascii="Times New Roman" w:hAnsi="Times New Roman" w:cs="Times New Roman" w:hint="eastAsia"/>
          <w:color w:val="2F5496" w:themeColor="accent1" w:themeShade="BF"/>
        </w:rPr>
        <w:t>heory</w:t>
      </w:r>
      <w:r w:rsidR="00E660D0" w:rsidRPr="00F86A7A">
        <w:rPr>
          <w:rFonts w:ascii="Times New Roman" w:hAnsi="Times New Roman" w:cs="Times New Roman"/>
          <w:color w:val="2F5496" w:themeColor="accent1" w:themeShade="BF"/>
        </w:rPr>
        <w:t xml:space="preserve"> of </w:t>
      </w:r>
      <w:r w:rsidR="00F86A7A">
        <w:rPr>
          <w:rFonts w:ascii="Times New Roman" w:hAnsi="Times New Roman" w:cs="Times New Roman"/>
          <w:color w:val="2F5496" w:themeColor="accent1" w:themeShade="BF"/>
        </w:rPr>
        <w:t xml:space="preserve">a </w:t>
      </w:r>
      <w:r w:rsidR="00E660D0" w:rsidRPr="00F86A7A">
        <w:rPr>
          <w:rFonts w:ascii="Times New Roman" w:hAnsi="Times New Roman" w:cs="Times New Roman"/>
          <w:color w:val="2F5496" w:themeColor="accent1" w:themeShade="BF"/>
        </w:rPr>
        <w:t>language</w:t>
      </w:r>
      <w:r w:rsidR="00E660D0" w:rsidRPr="00F86A7A">
        <w:rPr>
          <w:rFonts w:ascii="Times New Roman" w:hAnsi="Times New Roman" w:cs="Times New Roman" w:hint="eastAsia"/>
          <w:color w:val="2F5496" w:themeColor="accent1" w:themeShade="BF"/>
        </w:rPr>
        <w:t>指的是語法；</w:t>
      </w:r>
      <w:r w:rsidR="00E660D0" w:rsidRPr="00F86A7A">
        <w:rPr>
          <w:rFonts w:ascii="Times New Roman" w:hAnsi="Times New Roman" w:cs="Times New Roman" w:hint="eastAsia"/>
          <w:color w:val="2F5496" w:themeColor="accent1" w:themeShade="BF"/>
        </w:rPr>
        <w:t>Theory</w:t>
      </w:r>
      <w:r w:rsidR="00E660D0" w:rsidRPr="00F86A7A">
        <w:rPr>
          <w:rFonts w:ascii="Times New Roman" w:hAnsi="Times New Roman" w:cs="Times New Roman"/>
          <w:color w:val="2F5496" w:themeColor="accent1" w:themeShade="BF"/>
        </w:rPr>
        <w:t xml:space="preserve"> of Grammars</w:t>
      </w:r>
      <w:r w:rsidR="00F86A7A">
        <w:rPr>
          <w:rFonts w:ascii="Times New Roman" w:hAnsi="Times New Roman" w:cs="Times New Roman"/>
          <w:color w:val="2F5496" w:themeColor="accent1" w:themeShade="BF"/>
        </w:rPr>
        <w:t>/language</w:t>
      </w:r>
      <w:r w:rsidR="00E660D0" w:rsidRPr="00F86A7A">
        <w:rPr>
          <w:rFonts w:ascii="Times New Roman" w:hAnsi="Times New Roman" w:cs="Times New Roman" w:hint="eastAsia"/>
          <w:color w:val="2F5496" w:themeColor="accent1" w:themeShade="BF"/>
        </w:rPr>
        <w:t>指的是語言學理論。</w:t>
      </w:r>
    </w:p>
    <w:p w14:paraId="70CD95A1" w14:textId="2DC3A2CA" w:rsidR="00E660D0" w:rsidRPr="00F86A7A" w:rsidRDefault="00E660D0" w:rsidP="00682194">
      <w:pPr>
        <w:ind w:firstLineChars="200" w:firstLine="420"/>
        <w:rPr>
          <w:rFonts w:ascii="Times New Roman" w:hAnsi="Times New Roman" w:cs="Times New Roman"/>
          <w:color w:val="2F5496" w:themeColor="accent1" w:themeShade="BF"/>
        </w:rPr>
      </w:pPr>
    </w:p>
    <w:p w14:paraId="4548D7F4" w14:textId="02F8288D" w:rsidR="00F86A7A" w:rsidRPr="00F86A7A" w:rsidRDefault="00F86A7A" w:rsidP="00682194">
      <w:pPr>
        <w:ind w:firstLineChars="200" w:firstLine="420"/>
        <w:rPr>
          <w:rFonts w:ascii="Times New Roman" w:hAnsi="Times New Roman" w:cs="Times New Roman"/>
          <w:b/>
          <w:bCs/>
          <w:color w:val="833C0B" w:themeColor="accent2" w:themeShade="80"/>
        </w:rPr>
      </w:pPr>
      <w:r w:rsidRPr="00F86A7A">
        <w:rPr>
          <w:rFonts w:ascii="Times New Roman" w:hAnsi="Times New Roman" w:cs="Times New Roman" w:hint="eastAsia"/>
          <w:b/>
          <w:bCs/>
          <w:color w:val="833C0B" w:themeColor="accent2" w:themeShade="80"/>
        </w:rPr>
        <w:t>語言學與語言學習</w:t>
      </w:r>
    </w:p>
    <w:p w14:paraId="1B93B5F0" w14:textId="77777777" w:rsidR="009564B8" w:rsidRDefault="00F86A7A" w:rsidP="00682194">
      <w:pPr>
        <w:ind w:firstLineChars="200" w:firstLine="420"/>
        <w:rPr>
          <w:rFonts w:ascii="Times New Roman" w:hAnsi="Times New Roman" w:cs="Times New Roman"/>
          <w:color w:val="2F5496" w:themeColor="accent1" w:themeShade="BF"/>
        </w:rPr>
      </w:pPr>
      <w:r w:rsidRPr="00F86A7A">
        <w:rPr>
          <w:rFonts w:ascii="Times New Roman" w:hAnsi="Times New Roman" w:cs="Times New Roman" w:hint="eastAsia"/>
          <w:color w:val="2F5496" w:themeColor="accent1" w:themeShade="BF"/>
        </w:rPr>
        <w:t>知識習得的兩個一般路徑：經驗主義路徑和理性主義路徑。</w:t>
      </w:r>
    </w:p>
    <w:p w14:paraId="05384E9E" w14:textId="1A73A45D" w:rsidR="00F86A7A" w:rsidRDefault="00F86A7A" w:rsidP="00816BA9">
      <w:pPr>
        <w:rPr>
          <w:rFonts w:ascii="Times New Roman" w:hAnsi="Times New Roman" w:cs="Times New Roman"/>
          <w:color w:val="2F5496" w:themeColor="accent1" w:themeShade="BF"/>
        </w:rPr>
      </w:pPr>
      <w:r w:rsidRPr="00F86A7A">
        <w:rPr>
          <w:rFonts w:ascii="Times New Roman" w:hAnsi="Times New Roman" w:cs="Times New Roman" w:hint="eastAsia"/>
          <w:color w:val="2F5496" w:themeColor="accent1" w:themeShade="BF"/>
        </w:rPr>
        <w:t>【筆記】</w:t>
      </w:r>
      <w:r w:rsidR="009564B8">
        <w:rPr>
          <w:rFonts w:ascii="Times New Roman" w:hAnsi="Times New Roman" w:cs="Times New Roman" w:hint="eastAsia"/>
          <w:color w:val="2F5496" w:themeColor="accent1" w:themeShade="BF"/>
        </w:rPr>
        <w:t>Quine</w:t>
      </w:r>
      <w:r w:rsidR="009564B8">
        <w:rPr>
          <w:rFonts w:ascii="Times New Roman" w:hAnsi="Times New Roman" w:cs="Times New Roman"/>
          <w:color w:val="2F5496" w:themeColor="accent1" w:themeShade="BF"/>
        </w:rPr>
        <w:t xml:space="preserve">, 1960, </w:t>
      </w:r>
      <w:r w:rsidR="009564B8">
        <w:rPr>
          <w:rFonts w:ascii="Times New Roman" w:hAnsi="Times New Roman" w:cs="Times New Roman" w:hint="eastAsia"/>
          <w:color w:val="2F5496" w:themeColor="accent1" w:themeShade="BF"/>
        </w:rPr>
        <w:t>p</w:t>
      </w:r>
      <w:r w:rsidR="009564B8">
        <w:rPr>
          <w:rFonts w:ascii="Times New Roman" w:hAnsi="Times New Roman" w:cs="Times New Roman"/>
          <w:color w:val="2F5496" w:themeColor="accent1" w:themeShade="BF"/>
        </w:rPr>
        <w:t xml:space="preserve">83 || 2013, p75: </w:t>
      </w:r>
      <w:r w:rsidR="00816BA9" w:rsidRPr="00816BA9">
        <w:rPr>
          <w:rFonts w:ascii="Times New Roman" w:hAnsi="Times New Roman" w:cs="Times New Roman"/>
          <w:color w:val="2F5496" w:themeColor="accent1" w:themeShade="BF"/>
        </w:rPr>
        <w:t>There is no reason to suppose that the stimulations for which the child</w:t>
      </w:r>
      <w:r w:rsidR="00816BA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="00816BA9" w:rsidRPr="00816BA9">
        <w:rPr>
          <w:rFonts w:ascii="Times New Roman" w:hAnsi="Times New Roman" w:cs="Times New Roman"/>
          <w:color w:val="2F5496" w:themeColor="accent1" w:themeShade="BF"/>
        </w:rPr>
        <w:t>thus eventually learns his uniform verbal response were originally unified</w:t>
      </w:r>
      <w:r w:rsidR="00816BA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="00816BA9" w:rsidRPr="00816BA9">
        <w:rPr>
          <w:rFonts w:ascii="Times New Roman" w:hAnsi="Times New Roman" w:cs="Times New Roman"/>
          <w:color w:val="2F5496" w:themeColor="accent1" w:themeShade="BF"/>
        </w:rPr>
        <w:t>for him under any one idea, whatever that might mean</w:t>
      </w:r>
      <w:r w:rsidR="00816BA9">
        <w:rPr>
          <w:rFonts w:ascii="Times New Roman" w:hAnsi="Times New Roman" w:cs="Times New Roman"/>
          <w:color w:val="2F5496" w:themeColor="accent1" w:themeShade="BF"/>
        </w:rPr>
        <w:t>(</w:t>
      </w:r>
      <w:r w:rsidR="00816BA9">
        <w:rPr>
          <w:rFonts w:ascii="Times New Roman" w:hAnsi="Times New Roman" w:cs="Times New Roman" w:hint="eastAsia"/>
          <w:color w:val="2F5496" w:themeColor="accent1" w:themeShade="BF"/>
        </w:rPr>
        <w:t>促使兒童習得的統一言語行爲的刺激起初對兒童而言并非統一的</w:t>
      </w:r>
      <w:r w:rsidR="00816BA9">
        <w:rPr>
          <w:rFonts w:ascii="Times New Roman" w:hAnsi="Times New Roman" w:cs="Times New Roman"/>
          <w:color w:val="2F5496" w:themeColor="accent1" w:themeShade="BF"/>
        </w:rPr>
        <w:t>)</w:t>
      </w:r>
      <w:r w:rsidR="00816BA9" w:rsidRPr="00816BA9">
        <w:rPr>
          <w:rFonts w:ascii="Times New Roman" w:hAnsi="Times New Roman" w:cs="Times New Roman"/>
          <w:color w:val="2F5496" w:themeColor="accent1" w:themeShade="BF"/>
        </w:rPr>
        <w:t>. If the child is to</w:t>
      </w:r>
      <w:r w:rsidR="00816BA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="00816BA9" w:rsidRPr="00816BA9">
        <w:rPr>
          <w:rFonts w:ascii="Times New Roman" w:hAnsi="Times New Roman" w:cs="Times New Roman"/>
          <w:color w:val="2F5496" w:themeColor="accent1" w:themeShade="BF"/>
        </w:rPr>
        <w:t>be amenable to such training, however, what he must have is a prior tendency to weight qualitative differences unequally</w:t>
      </w:r>
      <w:r w:rsidR="00816BA9">
        <w:rPr>
          <w:rFonts w:ascii="Times New Roman" w:hAnsi="Times New Roman" w:cs="Times New Roman" w:hint="eastAsia"/>
          <w:color w:val="2F5496" w:themeColor="accent1" w:themeShade="BF"/>
        </w:rPr>
        <w:t>（不均匀地權重質的差異的先天取向）</w:t>
      </w:r>
      <w:r w:rsidR="00816BA9" w:rsidRPr="00816BA9">
        <w:rPr>
          <w:rFonts w:ascii="Times New Roman" w:hAnsi="Times New Roman" w:cs="Times New Roman"/>
          <w:color w:val="2F5496" w:themeColor="accent1" w:themeShade="BF"/>
        </w:rPr>
        <w:t xml:space="preserve">. He </w:t>
      </w:r>
      <w:r w:rsidR="00816BA9" w:rsidRPr="00816BA9">
        <w:rPr>
          <w:rFonts w:ascii="Times New Roman" w:hAnsi="Times New Roman" w:cs="Times New Roman"/>
          <w:color w:val="2F5496" w:themeColor="accent1" w:themeShade="BF"/>
        </w:rPr>
        <w:lastRenderedPageBreak/>
        <w:t>must, so to speak,</w:t>
      </w:r>
      <w:r w:rsidR="00816BA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="00816BA9" w:rsidRPr="00816BA9">
        <w:rPr>
          <w:rFonts w:ascii="Times New Roman" w:hAnsi="Times New Roman" w:cs="Times New Roman"/>
          <w:color w:val="2F5496" w:themeColor="accent1" w:themeShade="BF"/>
        </w:rPr>
        <w:t>sense more resemblance between some stimulations than between others</w:t>
      </w:r>
      <w:r w:rsidR="00816BA9">
        <w:rPr>
          <w:rFonts w:ascii="Times New Roman" w:hAnsi="Times New Roman" w:cs="Times New Roman" w:hint="eastAsia"/>
          <w:color w:val="2F5496" w:themeColor="accent1" w:themeShade="BF"/>
        </w:rPr>
        <w:t>（相對於另外一些刺激，有些刺激更相似</w:t>
      </w:r>
      <w:r w:rsidR="00F94A44">
        <w:rPr>
          <w:rFonts w:ascii="Times New Roman" w:hAnsi="Times New Roman" w:cs="Times New Roman" w:hint="eastAsia"/>
          <w:color w:val="2F5496" w:themeColor="accent1" w:themeShade="BF"/>
        </w:rPr>
        <w:t>）</w:t>
      </w:r>
      <w:r w:rsidR="00816BA9" w:rsidRPr="00816BA9">
        <w:rPr>
          <w:rFonts w:ascii="Times New Roman" w:hAnsi="Times New Roman" w:cs="Times New Roman"/>
          <w:color w:val="2F5496" w:themeColor="accent1" w:themeShade="BF"/>
        </w:rPr>
        <w:t>.</w:t>
      </w:r>
      <w:r w:rsidR="00816BA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="00816BA9" w:rsidRPr="00816BA9">
        <w:rPr>
          <w:rFonts w:ascii="Times New Roman" w:hAnsi="Times New Roman" w:cs="Times New Roman"/>
          <w:color w:val="2F5496" w:themeColor="accent1" w:themeShade="BF"/>
        </w:rPr>
        <w:t>Otherwise</w:t>
      </w:r>
      <w:r w:rsidR="00F94A44">
        <w:rPr>
          <w:rFonts w:ascii="Times New Roman" w:hAnsi="Times New Roman" w:cs="Times New Roman" w:hint="eastAsia"/>
          <w:color w:val="2F5496" w:themeColor="accent1" w:themeShade="BF"/>
        </w:rPr>
        <w:t>,</w:t>
      </w:r>
      <w:r w:rsidR="00816BA9" w:rsidRPr="00816BA9">
        <w:rPr>
          <w:rFonts w:ascii="Times New Roman" w:hAnsi="Times New Roman" w:cs="Times New Roman"/>
          <w:color w:val="2F5496" w:themeColor="accent1" w:themeShade="BF"/>
        </w:rPr>
        <w:t xml:space="preserve"> a dozen reinforcements of his response ‘Red’ , on occasions</w:t>
      </w:r>
      <w:r w:rsidR="00816BA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="00816BA9" w:rsidRPr="00816BA9">
        <w:rPr>
          <w:rFonts w:ascii="Times New Roman" w:hAnsi="Times New Roman" w:cs="Times New Roman"/>
          <w:color w:val="2F5496" w:themeColor="accent1" w:themeShade="BF"/>
        </w:rPr>
        <w:t>where red things were presented, would no more encourage the same</w:t>
      </w:r>
      <w:r w:rsidR="00816BA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="00816BA9" w:rsidRPr="00816BA9">
        <w:rPr>
          <w:rFonts w:ascii="Times New Roman" w:hAnsi="Times New Roman" w:cs="Times New Roman"/>
          <w:color w:val="2F5496" w:themeColor="accent1" w:themeShade="BF"/>
        </w:rPr>
        <w:t>response to a thirteenth red thing than to a blue one</w:t>
      </w:r>
      <w:r w:rsidR="006155AC">
        <w:rPr>
          <w:rFonts w:ascii="Times New Roman" w:hAnsi="Times New Roman" w:cs="Times New Roman" w:hint="eastAsia"/>
          <w:color w:val="2F5496" w:themeColor="accent1" w:themeShade="BF"/>
        </w:rPr>
        <w:t>(</w:t>
      </w:r>
      <w:r w:rsidR="006155AC">
        <w:rPr>
          <w:rFonts w:ascii="Times New Roman" w:hAnsi="Times New Roman" w:cs="Times New Roman" w:hint="eastAsia"/>
          <w:color w:val="2F5496" w:themeColor="accent1" w:themeShade="BF"/>
        </w:rPr>
        <w:t>否則，</w:t>
      </w:r>
      <w:r w:rsidR="00F94A44">
        <w:rPr>
          <w:rFonts w:ascii="Times New Roman" w:hAnsi="Times New Roman" w:cs="Times New Roman"/>
          <w:color w:val="2F5496" w:themeColor="accent1" w:themeShade="BF"/>
        </w:rPr>
        <w:t>)</w:t>
      </w:r>
      <w:r w:rsidR="00816BA9" w:rsidRPr="00816BA9">
        <w:rPr>
          <w:rFonts w:ascii="Times New Roman" w:hAnsi="Times New Roman" w:cs="Times New Roman"/>
          <w:color w:val="2F5496" w:themeColor="accent1" w:themeShade="BF"/>
        </w:rPr>
        <w:t>; and a dozen reinforcements of his response ‘Mama’ , on occasions dominated by the mother’s face at various angles, would be just as inconsequential.</w:t>
      </w:r>
      <w:r w:rsidR="00816BA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="00816BA9" w:rsidRPr="00816BA9">
        <w:rPr>
          <w:rFonts w:ascii="Times New Roman" w:hAnsi="Times New Roman" w:cs="Times New Roman"/>
          <w:color w:val="2F5496" w:themeColor="accent1" w:themeShade="BF"/>
        </w:rPr>
        <w:t>In effect therefore we must credit the child with a sort of prelinguistic</w:t>
      </w:r>
      <w:r w:rsidR="00816BA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="00816BA9" w:rsidRPr="00816BA9">
        <w:rPr>
          <w:rFonts w:ascii="Times New Roman" w:hAnsi="Times New Roman" w:cs="Times New Roman"/>
          <w:color w:val="2F5496" w:themeColor="accent1" w:themeShade="BF"/>
        </w:rPr>
        <w:t>quality space. We may estimate relative distances in his quality space by</w:t>
      </w:r>
      <w:r w:rsidR="00816BA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="00816BA9" w:rsidRPr="00816BA9">
        <w:rPr>
          <w:rFonts w:ascii="Times New Roman" w:hAnsi="Times New Roman" w:cs="Times New Roman"/>
          <w:color w:val="2F5496" w:themeColor="accent1" w:themeShade="BF"/>
        </w:rPr>
        <w:t>observing how he learns. If we reinforce his response of ‘Red’ in the presence of crimson and discourage it in the presence of yellow, and then find</w:t>
      </w:r>
      <w:r w:rsidR="00816BA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="00816BA9" w:rsidRPr="00816BA9">
        <w:rPr>
          <w:rFonts w:ascii="Times New Roman" w:hAnsi="Times New Roman" w:cs="Times New Roman"/>
          <w:color w:val="2F5496" w:themeColor="accent1" w:themeShade="BF"/>
        </w:rPr>
        <w:t>that he makes the response to pink and not to orange, we can infer that</w:t>
      </w:r>
      <w:r w:rsidR="00816BA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="00816BA9" w:rsidRPr="00816BA9">
        <w:rPr>
          <w:rFonts w:ascii="Times New Roman" w:hAnsi="Times New Roman" w:cs="Times New Roman"/>
          <w:color w:val="2F5496" w:themeColor="accent1" w:themeShade="BF"/>
        </w:rPr>
        <w:t>the shades of crimson and pink used are nearer each other, in his quality</w:t>
      </w:r>
      <w:r w:rsidR="00816BA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="00816BA9" w:rsidRPr="00816BA9">
        <w:rPr>
          <w:rFonts w:ascii="Times New Roman" w:hAnsi="Times New Roman" w:cs="Times New Roman"/>
          <w:color w:val="2F5496" w:themeColor="accent1" w:themeShade="BF"/>
        </w:rPr>
        <w:t>space, than the crimson and orange. Supplementary clues to spacing are</w:t>
      </w:r>
      <w:r w:rsidR="00816BA9">
        <w:rPr>
          <w:rFonts w:ascii="Times New Roman" w:hAnsi="Times New Roman" w:cs="Times New Roman"/>
          <w:color w:val="2F5496" w:themeColor="accent1" w:themeShade="BF"/>
        </w:rPr>
        <w:t xml:space="preserve"> </w:t>
      </w:r>
      <w:r w:rsidR="00816BA9" w:rsidRPr="00816BA9">
        <w:rPr>
          <w:rFonts w:ascii="Times New Roman" w:hAnsi="Times New Roman" w:cs="Times New Roman"/>
          <w:color w:val="2F5496" w:themeColor="accent1" w:themeShade="BF"/>
        </w:rPr>
        <w:t>available in the child’s hesitation, or reaction time.</w:t>
      </w:r>
    </w:p>
    <w:p w14:paraId="617554EE" w14:textId="6D4823CC" w:rsidR="00FE1B6F" w:rsidRDefault="00FE1B6F" w:rsidP="00816BA9">
      <w:pPr>
        <w:rPr>
          <w:rFonts w:ascii="Times New Roman" w:hAnsi="Times New Roman" w:cs="Times New Roman"/>
          <w:color w:val="2F5496" w:themeColor="accent1" w:themeShade="BF"/>
        </w:rPr>
      </w:pPr>
    </w:p>
    <w:p w14:paraId="03923430" w14:textId="61FCAE23" w:rsidR="00FE1B6F" w:rsidRPr="00F86A7A" w:rsidRDefault="00FE1B6F" w:rsidP="00816BA9">
      <w:pPr>
        <w:rPr>
          <w:rFonts w:ascii="Times New Roman" w:hAnsi="Times New Roman" w:cs="Times New Roman" w:hint="eastAsia"/>
          <w:color w:val="2F5496" w:themeColor="accent1" w:themeShade="BF"/>
        </w:rPr>
      </w:pPr>
      <w:r>
        <w:rPr>
          <w:rFonts w:ascii="Times New Roman" w:hAnsi="Times New Roman" w:cs="Times New Roman" w:hint="eastAsia"/>
          <w:color w:val="2F5496" w:themeColor="accent1" w:themeShade="BF"/>
        </w:rPr>
        <w:t>生成语法的参数交互问题：参数与参数也发生作用</w:t>
      </w:r>
    </w:p>
    <w:sectPr w:rsidR="00FE1B6F" w:rsidRPr="00F86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6CD01" w14:textId="77777777" w:rsidR="004F6F06" w:rsidRDefault="004F6F06" w:rsidP="00682194">
      <w:r>
        <w:separator/>
      </w:r>
    </w:p>
  </w:endnote>
  <w:endnote w:type="continuationSeparator" w:id="0">
    <w:p w14:paraId="1F396C65" w14:textId="77777777" w:rsidR="004F6F06" w:rsidRDefault="004F6F06" w:rsidP="00682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A6B70" w14:textId="77777777" w:rsidR="004F6F06" w:rsidRDefault="004F6F06" w:rsidP="00682194">
      <w:r>
        <w:separator/>
      </w:r>
    </w:p>
  </w:footnote>
  <w:footnote w:type="continuationSeparator" w:id="0">
    <w:p w14:paraId="2CFE8734" w14:textId="77777777" w:rsidR="004F6F06" w:rsidRDefault="004F6F06" w:rsidP="00682194">
      <w:r>
        <w:continuationSeparator/>
      </w:r>
    </w:p>
  </w:footnote>
  <w:footnote w:id="1">
    <w:p w14:paraId="01E147F5" w14:textId="0B0EB4C4" w:rsidR="00682194" w:rsidRDefault="00682194">
      <w:pPr>
        <w:pStyle w:val="a5"/>
      </w:pPr>
      <w:r>
        <w:rPr>
          <w:rStyle w:val="a7"/>
        </w:rPr>
        <w:footnoteRef/>
      </w:r>
      <w:r>
        <w:t xml:space="preserve"> </w:t>
      </w:r>
      <w:hyperlink r:id="rId1" w:history="1">
        <w:r w:rsidRPr="00CE5782">
          <w:rPr>
            <w:rStyle w:val="a8"/>
          </w:rPr>
          <w:t>https://helpfulprofessor.com/types-of-hypothesis/</w:t>
        </w:r>
      </w:hyperlink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8E"/>
    <w:rsid w:val="00411062"/>
    <w:rsid w:val="004F6F06"/>
    <w:rsid w:val="00576A7C"/>
    <w:rsid w:val="006155AC"/>
    <w:rsid w:val="00682194"/>
    <w:rsid w:val="006F175D"/>
    <w:rsid w:val="00816BA9"/>
    <w:rsid w:val="00883BC2"/>
    <w:rsid w:val="009564B8"/>
    <w:rsid w:val="00B25E59"/>
    <w:rsid w:val="00C2368E"/>
    <w:rsid w:val="00CB0C57"/>
    <w:rsid w:val="00CB2813"/>
    <w:rsid w:val="00D913CC"/>
    <w:rsid w:val="00E660D0"/>
    <w:rsid w:val="00F86A7A"/>
    <w:rsid w:val="00F94A44"/>
    <w:rsid w:val="00FE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D9DED"/>
  <w15:chartTrackingRefBased/>
  <w15:docId w15:val="{050240AA-7F26-46F7-8A08-B7EE13DE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1106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11062"/>
    <w:rPr>
      <w:b/>
      <w:bCs/>
      <w:kern w:val="28"/>
      <w:sz w:val="32"/>
      <w:szCs w:val="32"/>
    </w:rPr>
  </w:style>
  <w:style w:type="paragraph" w:styleId="a5">
    <w:name w:val="footnote text"/>
    <w:basedOn w:val="a"/>
    <w:link w:val="a6"/>
    <w:uiPriority w:val="99"/>
    <w:semiHidden/>
    <w:unhideWhenUsed/>
    <w:rsid w:val="00682194"/>
    <w:pPr>
      <w:snapToGrid w:val="0"/>
      <w:jc w:val="left"/>
    </w:pPr>
    <w:rPr>
      <w:sz w:val="18"/>
      <w:szCs w:val="18"/>
    </w:rPr>
  </w:style>
  <w:style w:type="character" w:customStyle="1" w:styleId="a6">
    <w:name w:val="脚注文本 字符"/>
    <w:basedOn w:val="a0"/>
    <w:link w:val="a5"/>
    <w:uiPriority w:val="99"/>
    <w:semiHidden/>
    <w:rsid w:val="00682194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682194"/>
    <w:rPr>
      <w:vertAlign w:val="superscript"/>
    </w:rPr>
  </w:style>
  <w:style w:type="character" w:styleId="a8">
    <w:name w:val="Hyperlink"/>
    <w:basedOn w:val="a0"/>
    <w:uiPriority w:val="99"/>
    <w:unhideWhenUsed/>
    <w:rsid w:val="0068219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82194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F86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86A7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86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86A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helpfulprofessor.com/types-of-hypothesi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4DCB8-8F2D-4CF2-82BB-87DB29A91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gang</dc:creator>
  <cp:keywords/>
  <dc:description/>
  <cp:lastModifiedBy>han gang</cp:lastModifiedBy>
  <cp:revision>4</cp:revision>
  <dcterms:created xsi:type="dcterms:W3CDTF">2023-11-07T01:26:00Z</dcterms:created>
  <dcterms:modified xsi:type="dcterms:W3CDTF">2023-11-16T05:54:00Z</dcterms:modified>
</cp:coreProperties>
</file>