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763A" w14:textId="0900F896" w:rsidR="00B25E59" w:rsidRDefault="00411062" w:rsidP="00411062">
      <w:pPr>
        <w:pStyle w:val="a3"/>
      </w:pPr>
      <w:r>
        <w:rPr>
          <w:rFonts w:hint="eastAsia"/>
        </w:rPr>
        <w:t>句法理論面面觀</w:t>
      </w:r>
    </w:p>
    <w:p w14:paraId="054D3A0F" w14:textId="5F6C512D" w:rsidR="00F86A7A" w:rsidRPr="00F86A7A" w:rsidRDefault="00F86A7A" w:rsidP="00F86A7A">
      <w:pPr>
        <w:rPr>
          <w:b/>
          <w:bCs/>
          <w:color w:val="833C0B" w:themeColor="accent2" w:themeShade="80"/>
        </w:rPr>
      </w:pPr>
      <w:r w:rsidRPr="00F86A7A">
        <w:rPr>
          <w:rFonts w:hint="eastAsia"/>
          <w:b/>
          <w:bCs/>
          <w:color w:val="833C0B" w:themeColor="accent2" w:themeShade="80"/>
        </w:rPr>
        <w:t>評估程序</w:t>
      </w:r>
    </w:p>
    <w:p w14:paraId="59730230" w14:textId="77777777" w:rsidR="00F86A7A" w:rsidRPr="00F86A7A" w:rsidRDefault="00F86A7A" w:rsidP="00F86A7A">
      <w:pPr>
        <w:rPr>
          <w:rFonts w:hint="eastAsia"/>
        </w:rPr>
      </w:pPr>
    </w:p>
    <w:p w14:paraId="5B9BF381" w14:textId="1CE68523" w:rsidR="00411062" w:rsidRPr="00411062" w:rsidRDefault="00411062" w:rsidP="00411062">
      <w:pPr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 xml:space="preserve">(12)   (i) a technique for representing input signals </w:t>
      </w:r>
    </w:p>
    <w:p w14:paraId="2C243285" w14:textId="3E1C37F8" w:rsidR="00411062" w:rsidRPr="00411062" w:rsidRDefault="00411062" w:rsidP="00411062">
      <w:pPr>
        <w:ind w:firstLineChars="300" w:firstLine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(ii) a way of representing structural information about these signals</w:t>
      </w:r>
    </w:p>
    <w:p w14:paraId="03B2E6EC" w14:textId="77777777" w:rsidR="00411062" w:rsidRPr="00411062" w:rsidRDefault="00411062" w:rsidP="00411062">
      <w:pPr>
        <w:ind w:firstLineChars="300" w:firstLine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(iii) some initial delimitation of a class of possible hypotheses about language structure</w:t>
      </w:r>
    </w:p>
    <w:p w14:paraId="02966F1B" w14:textId="116185BF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(iv) a method for determining what each such hypothesis implies with respect to each sentence</w:t>
      </w:r>
    </w:p>
    <w:p w14:paraId="1E87B307" w14:textId="7E58DE6D" w:rsidR="00411062" w:rsidRPr="00CB0C57" w:rsidRDefault="00411062" w:rsidP="00411062">
      <w:pPr>
        <w:ind w:left="630" w:hangingChars="300" w:hanging="630"/>
        <w:rPr>
          <w:rFonts w:ascii="Times New Roman" w:hAnsi="Times New Roman" w:cs="Times New Roman"/>
          <w:color w:val="833C0B" w:themeColor="accent2" w:themeShade="80"/>
        </w:rPr>
      </w:pPr>
      <w:r w:rsidRPr="00411062">
        <w:rPr>
          <w:rFonts w:ascii="Times New Roman" w:hAnsi="Times New Roman" w:cs="Times New Roman"/>
        </w:rPr>
        <w:t xml:space="preserve">     </w:t>
      </w:r>
      <w:r w:rsidRPr="00CB0C57">
        <w:rPr>
          <w:rFonts w:ascii="Times New Roman" w:hAnsi="Times New Roman" w:cs="Times New Roman"/>
          <w:color w:val="833C0B" w:themeColor="accent2" w:themeShade="80"/>
        </w:rPr>
        <w:t xml:space="preserve"> (v) a method for selecting one of the (presumably, infinitely many) hypotheses that are allowed by (iii) and are compatible with the given primary linguistic data</w:t>
      </w:r>
    </w:p>
    <w:p w14:paraId="3259E71F" w14:textId="77777777" w:rsidR="00411062" w:rsidRPr="00CB0C57" w:rsidRDefault="00411062" w:rsidP="00411062">
      <w:pPr>
        <w:ind w:left="630" w:hangingChars="300" w:hanging="630"/>
        <w:rPr>
          <w:rFonts w:ascii="Times New Roman" w:hAnsi="Times New Roman" w:cs="Times New Roman"/>
        </w:rPr>
      </w:pPr>
    </w:p>
    <w:p w14:paraId="7BEB3060" w14:textId="65557F07" w:rsidR="00411062" w:rsidRPr="00411062" w:rsidRDefault="00411062" w:rsidP="00411062">
      <w:pPr>
        <w:ind w:left="630" w:hangingChars="300" w:hanging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(13)   (i) a universal phonetic theory that defines the notion “ possible sentence ”</w:t>
      </w:r>
    </w:p>
    <w:p w14:paraId="6F7A82E9" w14:textId="420CCA4C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 xml:space="preserve">(ii) a definition of “ structural description ” </w:t>
      </w:r>
    </w:p>
    <w:p w14:paraId="0ADB1FDD" w14:textId="28A44C38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 xml:space="preserve">(iii) a definition of “generative grammar ” </w:t>
      </w:r>
    </w:p>
    <w:p w14:paraId="08ABCEA9" w14:textId="49FD05FA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(iv) a method for determining the structural description of a sentence, given a grammar</w:t>
      </w:r>
    </w:p>
    <w:p w14:paraId="626CB61B" w14:textId="4517973B" w:rsidR="00411062" w:rsidRPr="00CB0C57" w:rsidRDefault="00411062" w:rsidP="00411062">
      <w:pPr>
        <w:ind w:leftChars="300" w:left="630"/>
        <w:rPr>
          <w:rFonts w:ascii="Times New Roman" w:hAnsi="Times New Roman" w:cs="Times New Roman"/>
          <w:color w:val="833C0B" w:themeColor="accent2" w:themeShade="80"/>
        </w:rPr>
      </w:pPr>
      <w:r w:rsidRPr="00CB0C57">
        <w:rPr>
          <w:rFonts w:ascii="Times New Roman" w:hAnsi="Times New Roman" w:cs="Times New Roman"/>
          <w:color w:val="833C0B" w:themeColor="accent2" w:themeShade="80"/>
        </w:rPr>
        <w:t>(v) a way of evaluating alternative proposed grammars</w:t>
      </w:r>
    </w:p>
    <w:p w14:paraId="3511939E" w14:textId="77777777" w:rsidR="00411062" w:rsidRPr="00CB0C57" w:rsidRDefault="00411062" w:rsidP="00411062">
      <w:pPr>
        <w:ind w:leftChars="300" w:left="630"/>
        <w:rPr>
          <w:rFonts w:ascii="Times New Roman" w:hAnsi="Times New Roman" w:cs="Times New Roman"/>
        </w:rPr>
      </w:pPr>
    </w:p>
    <w:p w14:paraId="497ACCA4" w14:textId="085CCC0B" w:rsidR="00411062" w:rsidRPr="00411062" w:rsidRDefault="00411062" w:rsidP="00411062">
      <w:pPr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(14)   (i) an enumeration of the class of possible sentences s</w:t>
      </w:r>
      <w:r w:rsidRPr="00411062">
        <w:rPr>
          <w:rFonts w:ascii="Times New Roman" w:hAnsi="Times New Roman" w:cs="Times New Roman"/>
          <w:vertAlign w:val="subscript"/>
        </w:rPr>
        <w:t xml:space="preserve">1 </w:t>
      </w:r>
      <w:r w:rsidRPr="00411062">
        <w:rPr>
          <w:rFonts w:ascii="Times New Roman" w:hAnsi="Times New Roman" w:cs="Times New Roman"/>
        </w:rPr>
        <w:t>, s</w:t>
      </w:r>
      <w:r w:rsidRPr="00411062">
        <w:rPr>
          <w:rFonts w:ascii="Times New Roman" w:hAnsi="Times New Roman" w:cs="Times New Roman"/>
          <w:vertAlign w:val="subscript"/>
        </w:rPr>
        <w:t>2</w:t>
      </w:r>
      <w:r w:rsidRPr="00411062">
        <w:rPr>
          <w:rFonts w:ascii="Times New Roman" w:hAnsi="Times New Roman" w:cs="Times New Roman"/>
        </w:rPr>
        <w:t xml:space="preserve"> , … </w:t>
      </w:r>
    </w:p>
    <w:p w14:paraId="129F0E6B" w14:textId="519465F0" w:rsidR="00411062" w:rsidRPr="00411062" w:rsidRDefault="00411062" w:rsidP="00411062">
      <w:pPr>
        <w:ind w:firstLineChars="300" w:firstLine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(ii) an enumeration of the class of possible structural descriptions</w:t>
      </w:r>
      <w:r>
        <w:rPr>
          <w:rFonts w:ascii="Times New Roman" w:hAnsi="Times New Roman" w:cs="Times New Roman"/>
        </w:rPr>
        <w:t xml:space="preserve"> </w:t>
      </w:r>
      <w:r w:rsidRPr="00411062">
        <w:rPr>
          <w:rFonts w:ascii="Times New Roman" w:hAnsi="Times New Roman" w:cs="Times New Roman"/>
        </w:rPr>
        <w:t>SD</w:t>
      </w:r>
      <w:r w:rsidRPr="00411062">
        <w:rPr>
          <w:rFonts w:ascii="Times New Roman" w:hAnsi="Times New Roman" w:cs="Times New Roman"/>
          <w:vertAlign w:val="subscript"/>
        </w:rPr>
        <w:t>1</w:t>
      </w:r>
      <w:r w:rsidRPr="004110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11062">
        <w:rPr>
          <w:rFonts w:ascii="Times New Roman" w:hAnsi="Times New Roman" w:cs="Times New Roman"/>
        </w:rPr>
        <w:t>SD</w:t>
      </w:r>
      <w:r w:rsidRPr="00411062">
        <w:rPr>
          <w:rFonts w:ascii="Times New Roman" w:hAnsi="Times New Roman" w:cs="Times New Roman"/>
          <w:vertAlign w:val="subscript"/>
        </w:rPr>
        <w:t>2</w:t>
      </w:r>
      <w:r w:rsidRPr="00411062">
        <w:rPr>
          <w:rFonts w:ascii="Times New Roman" w:hAnsi="Times New Roman" w:cs="Times New Roman"/>
        </w:rPr>
        <w:t>, …</w:t>
      </w:r>
    </w:p>
    <w:p w14:paraId="38A17B5F" w14:textId="48DC96DD" w:rsidR="00411062" w:rsidRPr="00411062" w:rsidRDefault="00411062" w:rsidP="00411062">
      <w:pPr>
        <w:ind w:firstLineChars="300" w:firstLine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(iii) an enumeration of the class of possible generative grammars</w:t>
      </w:r>
      <w:r>
        <w:rPr>
          <w:rFonts w:ascii="Times New Roman" w:hAnsi="Times New Roman" w:cs="Times New Roman"/>
        </w:rPr>
        <w:t xml:space="preserve"> </w:t>
      </w:r>
      <w:r w:rsidRPr="00411062">
        <w:rPr>
          <w:rFonts w:ascii="Times New Roman" w:hAnsi="Times New Roman" w:cs="Times New Roman"/>
        </w:rPr>
        <w:t>G</w:t>
      </w:r>
      <w:r w:rsidRPr="00411062">
        <w:rPr>
          <w:rFonts w:ascii="Times New Roman" w:hAnsi="Times New Roman" w:cs="Times New Roman"/>
          <w:vertAlign w:val="subscript"/>
        </w:rPr>
        <w:t>1</w:t>
      </w:r>
      <w:r w:rsidRPr="00411062">
        <w:rPr>
          <w:rFonts w:ascii="Times New Roman" w:hAnsi="Times New Roman" w:cs="Times New Roman"/>
        </w:rPr>
        <w:t>, G</w:t>
      </w:r>
      <w:r w:rsidRPr="00411062">
        <w:rPr>
          <w:rFonts w:ascii="Times New Roman" w:hAnsi="Times New Roman" w:cs="Times New Roman"/>
          <w:vertAlign w:val="subscript"/>
        </w:rPr>
        <w:t>2</w:t>
      </w:r>
      <w:r w:rsidRPr="00411062">
        <w:rPr>
          <w:rFonts w:ascii="Times New Roman" w:hAnsi="Times New Roman" w:cs="Times New Roman"/>
        </w:rPr>
        <w:t>, …</w:t>
      </w:r>
    </w:p>
    <w:p w14:paraId="6DE792B1" w14:textId="6C926FEC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(iv) specification of a function f such that SD</w:t>
      </w:r>
      <w:r w:rsidRPr="00411062">
        <w:rPr>
          <w:rFonts w:ascii="Times New Roman" w:hAnsi="Times New Roman" w:cs="Times New Roman"/>
          <w:vertAlign w:val="subscript"/>
        </w:rPr>
        <w:t>f(i ,j)</w:t>
      </w:r>
      <w:r w:rsidRPr="00411062">
        <w:rPr>
          <w:rFonts w:ascii="Times New Roman" w:hAnsi="Times New Roman" w:cs="Times New Roman"/>
        </w:rPr>
        <w:t xml:space="preserve"> is the structural description assigned to sentence s</w:t>
      </w:r>
      <w:r w:rsidRPr="00411062">
        <w:rPr>
          <w:rFonts w:ascii="Times New Roman" w:hAnsi="Times New Roman" w:cs="Times New Roman"/>
          <w:vertAlign w:val="subscript"/>
        </w:rPr>
        <w:t>i</w:t>
      </w:r>
      <w:r w:rsidRPr="00411062">
        <w:rPr>
          <w:rFonts w:ascii="Times New Roman" w:hAnsi="Times New Roman" w:cs="Times New Roman"/>
        </w:rPr>
        <w:t xml:space="preserve"> by grammar G</w:t>
      </w:r>
      <w:r w:rsidRPr="00411062">
        <w:rPr>
          <w:rFonts w:ascii="Times New Roman" w:hAnsi="Times New Roman" w:cs="Times New Roman"/>
          <w:vertAlign w:val="subscript"/>
        </w:rPr>
        <w:t>j</w:t>
      </w:r>
      <w:r w:rsidRPr="00411062">
        <w:rPr>
          <w:rFonts w:ascii="Times New Roman" w:hAnsi="Times New Roman" w:cs="Times New Roman"/>
        </w:rPr>
        <w:t>, for arbitrary i , j</w:t>
      </w:r>
    </w:p>
    <w:p w14:paraId="10C1DDF5" w14:textId="627DA99A" w:rsidR="00411062" w:rsidRPr="00CB0C57" w:rsidRDefault="00411062" w:rsidP="00411062">
      <w:pPr>
        <w:ind w:leftChars="300" w:left="630"/>
        <w:rPr>
          <w:rFonts w:ascii="Times New Roman" w:hAnsi="Times New Roman" w:cs="Times New Roman"/>
          <w:color w:val="833C0B" w:themeColor="accent2" w:themeShade="80"/>
        </w:rPr>
      </w:pPr>
      <w:r w:rsidRPr="00CB0C57">
        <w:rPr>
          <w:rFonts w:ascii="Times New Roman" w:hAnsi="Times New Roman" w:cs="Times New Roman"/>
          <w:color w:val="833C0B" w:themeColor="accent2" w:themeShade="80"/>
        </w:rPr>
        <w:t>(v) specification of a function m such that m(i) is an integer associated with the grammar G</w:t>
      </w:r>
      <w:r w:rsidRPr="00CB0C57">
        <w:rPr>
          <w:rFonts w:ascii="Times New Roman" w:hAnsi="Times New Roman" w:cs="Times New Roman"/>
          <w:color w:val="833C0B" w:themeColor="accent2" w:themeShade="80"/>
          <w:vertAlign w:val="subscript"/>
        </w:rPr>
        <w:t xml:space="preserve">i </w:t>
      </w:r>
      <w:r w:rsidRPr="00CB0C57">
        <w:rPr>
          <w:rFonts w:ascii="Times New Roman" w:hAnsi="Times New Roman" w:cs="Times New Roman"/>
          <w:color w:val="833C0B" w:themeColor="accent2" w:themeShade="80"/>
        </w:rPr>
        <w:t>as its value (with, let us say, lower value indicated by higher number)</w:t>
      </w:r>
    </w:p>
    <w:p w14:paraId="4C58CC37" w14:textId="77777777" w:rsidR="00D913CC" w:rsidRPr="00F86A7A" w:rsidRDefault="00D913CC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</w:p>
    <w:p w14:paraId="09E05F60" w14:textId="70F3999B" w:rsidR="00CB0C57" w:rsidRPr="00F86A7A" w:rsidRDefault="00CB0C57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首先，這樣的評估程序并非先天的，任何</w:t>
      </w:r>
      <w:r w:rsidR="00682194" w:rsidRPr="00F86A7A">
        <w:rPr>
          <w:rFonts w:ascii="Times New Roman" w:hAnsi="Times New Roman" w:cs="Times New Roman" w:hint="eastAsia"/>
          <w:color w:val="2F5496" w:themeColor="accent1" w:themeShade="BF"/>
        </w:rPr>
        <w:t>關於此程序的方案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都是關於語言本質的經驗假設</w:t>
      </w:r>
      <w:r w:rsidR="00682194" w:rsidRPr="00F86A7A">
        <w:rPr>
          <w:rFonts w:ascii="Times New Roman" w:hAnsi="Times New Roman" w:cs="Times New Roman" w:hint="eastAsia"/>
          <w:color w:val="2F5496" w:themeColor="accent1" w:themeShade="BF"/>
        </w:rPr>
        <w:t>（工作假設</w:t>
      </w:r>
      <w:r w:rsidR="00682194" w:rsidRPr="00F86A7A">
        <w:rPr>
          <w:rStyle w:val="a7"/>
          <w:rFonts w:ascii="Times New Roman" w:hAnsi="Times New Roman" w:cs="Times New Roman"/>
          <w:color w:val="2F5496" w:themeColor="accent1" w:themeShade="BF"/>
        </w:rPr>
        <w:footnoteReference w:id="1"/>
      </w:r>
      <w:r w:rsidR="00682194" w:rsidRPr="00F86A7A">
        <w:rPr>
          <w:rFonts w:ascii="Times New Roman" w:hAnsi="Times New Roman" w:cs="Times New Roman" w:hint="eastAsia"/>
          <w:color w:val="2F5496" w:themeColor="accent1" w:themeShade="BF"/>
        </w:rPr>
        <w:t>）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。</w:t>
      </w:r>
    </w:p>
    <w:p w14:paraId="3EC8361D" w14:textId="0F785982" w:rsidR="00682194" w:rsidRPr="00F86A7A" w:rsidRDefault="00682194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簡易性量度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 xml:space="preserve"> =</w:t>
      </w:r>
      <w:r w:rsidRPr="00F86A7A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評估量度</w:t>
      </w:r>
    </w:p>
    <w:p w14:paraId="3F4D157A" w14:textId="059F2C08" w:rsidR="00682194" w:rsidRPr="00F86A7A" w:rsidRDefault="00682194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初始語言數據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（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PLD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）</w:t>
      </w:r>
      <w:r w:rsidRPr="00F86A7A">
        <w:rPr>
          <w:rFonts w:ascii="Times New Roman" w:hAnsi="Times New Roman" w:cs="Times New Roman"/>
          <w:color w:val="2F5496" w:themeColor="accent1" w:themeShade="BF"/>
        </w:rPr>
        <w:sym w:font="Wingdings" w:char="F0E0"/>
      </w:r>
      <w:r w:rsidRPr="00F86A7A">
        <w:rPr>
          <w:rFonts w:ascii="Times New Roman" w:hAnsi="Times New Roman" w:cs="Times New Roman"/>
          <w:color w:val="2F5496" w:themeColor="accent1" w:themeShade="BF"/>
        </w:rPr>
        <w:t>(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如何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決定</w:t>
      </w:r>
      <w:r w:rsidRPr="00F86A7A">
        <w:rPr>
          <w:rFonts w:ascii="Times New Roman" w:hAnsi="Times New Roman" w:cs="Times New Roman"/>
          <w:color w:val="2F5496" w:themeColor="accent1" w:themeShade="BF"/>
        </w:rPr>
        <w:t xml:space="preserve">) </w:t>
      </w:r>
      <w:r w:rsidRPr="00F86A7A">
        <w:rPr>
          <w:rFonts w:ascii="Times New Roman" w:hAnsi="Times New Roman" w:cs="Times New Roman"/>
          <w:color w:val="2F5496" w:themeColor="accent1" w:themeShade="BF"/>
        </w:rPr>
        <w:sym w:font="Wingdings" w:char="F0E0"/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描寫充分語法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（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DG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），定義簡易性即定義如何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PLD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決定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DG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。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 xml:space="preserve"> </w:t>
      </w:r>
    </w:p>
    <w:p w14:paraId="4668DE69" w14:textId="5CE01490" w:rsidR="00D913CC" w:rsidRPr="00F86A7A" w:rsidRDefault="00D913CC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簡易性量度是不能用來比較不同的語法理論的。【筆記】該評估程序是用來評估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特定語言學理論之下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哪一部語法更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充分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。</w:t>
      </w:r>
      <w:r w:rsidR="00E660D0" w:rsidRPr="00F86A7A">
        <w:rPr>
          <w:rFonts w:ascii="Times New Roman" w:hAnsi="Times New Roman" w:cs="Times New Roman"/>
          <w:color w:val="2F5496" w:themeColor="accent1" w:themeShade="BF"/>
        </w:rPr>
        <w:t>T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heory</w:t>
      </w:r>
      <w:r w:rsidR="00E660D0" w:rsidRPr="00F86A7A">
        <w:rPr>
          <w:rFonts w:ascii="Times New Roman" w:hAnsi="Times New Roman" w:cs="Times New Roman"/>
          <w:color w:val="2F5496" w:themeColor="accent1" w:themeShade="BF"/>
        </w:rPr>
        <w:t xml:space="preserve"> of </w:t>
      </w:r>
      <w:r w:rsidR="00F86A7A">
        <w:rPr>
          <w:rFonts w:ascii="Times New Roman" w:hAnsi="Times New Roman" w:cs="Times New Roman"/>
          <w:color w:val="2F5496" w:themeColor="accent1" w:themeShade="BF"/>
        </w:rPr>
        <w:t xml:space="preserve">a </w:t>
      </w:r>
      <w:r w:rsidR="00E660D0" w:rsidRPr="00F86A7A">
        <w:rPr>
          <w:rFonts w:ascii="Times New Roman" w:hAnsi="Times New Roman" w:cs="Times New Roman"/>
          <w:color w:val="2F5496" w:themeColor="accent1" w:themeShade="BF"/>
        </w:rPr>
        <w:t>language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指的是語法；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Theory</w:t>
      </w:r>
      <w:r w:rsidR="00E660D0" w:rsidRPr="00F86A7A">
        <w:rPr>
          <w:rFonts w:ascii="Times New Roman" w:hAnsi="Times New Roman" w:cs="Times New Roman"/>
          <w:color w:val="2F5496" w:themeColor="accent1" w:themeShade="BF"/>
        </w:rPr>
        <w:t xml:space="preserve"> of Grammars</w:t>
      </w:r>
      <w:r w:rsidR="00F86A7A">
        <w:rPr>
          <w:rFonts w:ascii="Times New Roman" w:hAnsi="Times New Roman" w:cs="Times New Roman"/>
          <w:color w:val="2F5496" w:themeColor="accent1" w:themeShade="BF"/>
        </w:rPr>
        <w:t>/language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指的是語言學理論。</w:t>
      </w:r>
    </w:p>
    <w:p w14:paraId="70CD95A1" w14:textId="2DC3A2CA" w:rsidR="00E660D0" w:rsidRPr="00F86A7A" w:rsidRDefault="00E660D0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</w:p>
    <w:p w14:paraId="4548D7F4" w14:textId="02F8288D" w:rsidR="00F86A7A" w:rsidRPr="00F86A7A" w:rsidRDefault="00F86A7A" w:rsidP="00682194">
      <w:pPr>
        <w:ind w:firstLineChars="200" w:firstLine="42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86A7A">
        <w:rPr>
          <w:rFonts w:ascii="Times New Roman" w:hAnsi="Times New Roman" w:cs="Times New Roman" w:hint="eastAsia"/>
          <w:b/>
          <w:bCs/>
          <w:color w:val="833C0B" w:themeColor="accent2" w:themeShade="80"/>
        </w:rPr>
        <w:t>語言學與語言學習</w:t>
      </w:r>
    </w:p>
    <w:p w14:paraId="1B93B5F0" w14:textId="77777777" w:rsidR="009564B8" w:rsidRDefault="00F86A7A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知識習得的兩個一般路徑：經驗主義路徑和理性主義路徑。</w:t>
      </w:r>
    </w:p>
    <w:p w14:paraId="05384E9E" w14:textId="64BB3C43" w:rsidR="00F86A7A" w:rsidRPr="00F86A7A" w:rsidRDefault="00F86A7A" w:rsidP="00816BA9">
      <w:pPr>
        <w:rPr>
          <w:rFonts w:ascii="Times New Roman" w:hAnsi="Times New Roman" w:cs="Times New Roman" w:hint="eastAsia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【筆記】</w:t>
      </w:r>
      <w:r w:rsidR="009564B8">
        <w:rPr>
          <w:rFonts w:ascii="Times New Roman" w:hAnsi="Times New Roman" w:cs="Times New Roman" w:hint="eastAsia"/>
          <w:color w:val="2F5496" w:themeColor="accent1" w:themeShade="BF"/>
        </w:rPr>
        <w:t>Quine</w:t>
      </w:r>
      <w:r w:rsidR="009564B8">
        <w:rPr>
          <w:rFonts w:ascii="Times New Roman" w:hAnsi="Times New Roman" w:cs="Times New Roman"/>
          <w:color w:val="2F5496" w:themeColor="accent1" w:themeShade="BF"/>
        </w:rPr>
        <w:t xml:space="preserve">, 1960, </w:t>
      </w:r>
      <w:r w:rsidR="009564B8">
        <w:rPr>
          <w:rFonts w:ascii="Times New Roman" w:hAnsi="Times New Roman" w:cs="Times New Roman" w:hint="eastAsia"/>
          <w:color w:val="2F5496" w:themeColor="accent1" w:themeShade="BF"/>
        </w:rPr>
        <w:t>p</w:t>
      </w:r>
      <w:r w:rsidR="009564B8">
        <w:rPr>
          <w:rFonts w:ascii="Times New Roman" w:hAnsi="Times New Roman" w:cs="Times New Roman"/>
          <w:color w:val="2F5496" w:themeColor="accent1" w:themeShade="BF"/>
        </w:rPr>
        <w:t xml:space="preserve">83 || 2013, p75: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There is no reason to suppose that the stimulations for which the child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thus eventually learns his uniform verbal response were originally unified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for him under any one idea, whatever that might mean</w:t>
      </w:r>
      <w:r w:rsidR="00816BA9">
        <w:rPr>
          <w:rFonts w:ascii="Times New Roman" w:hAnsi="Times New Roman" w:cs="Times New Roman"/>
          <w:color w:val="2F5496" w:themeColor="accent1" w:themeShade="BF"/>
        </w:rPr>
        <w:t>(</w:t>
      </w:r>
      <w:r w:rsidR="00816BA9">
        <w:rPr>
          <w:rFonts w:ascii="Times New Roman" w:hAnsi="Times New Roman" w:cs="Times New Roman" w:hint="eastAsia"/>
          <w:color w:val="2F5496" w:themeColor="accent1" w:themeShade="BF"/>
        </w:rPr>
        <w:t>促使兒童習得的統一言語行爲的刺激起初對兒童而言并非統一的</w:t>
      </w:r>
      <w:r w:rsidR="00816BA9">
        <w:rPr>
          <w:rFonts w:ascii="Times New Roman" w:hAnsi="Times New Roman" w:cs="Times New Roman"/>
          <w:color w:val="2F5496" w:themeColor="accent1" w:themeShade="BF"/>
        </w:rPr>
        <w:t>)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. If the child is to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be amenable to such training, however, what he must have is a prior tendency to weight qualitative differences unequally</w:t>
      </w:r>
      <w:r w:rsidR="00816BA9">
        <w:rPr>
          <w:rFonts w:ascii="Times New Roman" w:hAnsi="Times New Roman" w:cs="Times New Roman" w:hint="eastAsia"/>
          <w:color w:val="2F5496" w:themeColor="accent1" w:themeShade="BF"/>
        </w:rPr>
        <w:t>（不均匀地權重質的差異的先天取向）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 xml:space="preserve">. He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lastRenderedPageBreak/>
        <w:t>must, so to speak,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sense more resemblance between some stimulations than between others</w:t>
      </w:r>
      <w:r w:rsidR="00816BA9">
        <w:rPr>
          <w:rFonts w:ascii="Times New Roman" w:hAnsi="Times New Roman" w:cs="Times New Roman" w:hint="eastAsia"/>
          <w:color w:val="2F5496" w:themeColor="accent1" w:themeShade="BF"/>
        </w:rPr>
        <w:t>（相對於另外一些刺激，有些刺激更相似</w:t>
      </w:r>
      <w:r w:rsidR="00F94A44">
        <w:rPr>
          <w:rFonts w:ascii="Times New Roman" w:hAnsi="Times New Roman" w:cs="Times New Roman" w:hint="eastAsia"/>
          <w:color w:val="2F5496" w:themeColor="accent1" w:themeShade="BF"/>
        </w:rPr>
        <w:t>）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.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Otherwise</w:t>
      </w:r>
      <w:r w:rsidR="00F94A44">
        <w:rPr>
          <w:rFonts w:ascii="Times New Roman" w:hAnsi="Times New Roman" w:cs="Times New Roman" w:hint="eastAsia"/>
          <w:color w:val="2F5496" w:themeColor="accent1" w:themeShade="BF"/>
        </w:rPr>
        <w:t>,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 xml:space="preserve"> a dozen reinforcements of his response ‘Red’ , on occasions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where red things were presented, would no more encourage the same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response to a thirteenth red thing than to a blue one</w:t>
      </w:r>
      <w:r w:rsidR="006155AC">
        <w:rPr>
          <w:rFonts w:ascii="Times New Roman" w:hAnsi="Times New Roman" w:cs="Times New Roman" w:hint="eastAsia"/>
          <w:color w:val="2F5496" w:themeColor="accent1" w:themeShade="BF"/>
        </w:rPr>
        <w:t>(</w:t>
      </w:r>
      <w:r w:rsidR="006155AC">
        <w:rPr>
          <w:rFonts w:ascii="Times New Roman" w:hAnsi="Times New Roman" w:cs="Times New Roman" w:hint="eastAsia"/>
          <w:color w:val="2F5496" w:themeColor="accent1" w:themeShade="BF"/>
        </w:rPr>
        <w:t>否則，</w:t>
      </w:r>
      <w:r w:rsidR="00F94A44">
        <w:rPr>
          <w:rFonts w:ascii="Times New Roman" w:hAnsi="Times New Roman" w:cs="Times New Roman"/>
          <w:color w:val="2F5496" w:themeColor="accent1" w:themeShade="BF"/>
        </w:rPr>
        <w:t>)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; and a dozen reinforcements of his response ‘Mama’ , on occasions dominated by the mother’s face at various angles, would be just as inconsequential.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In effect therefore we must credit the child with a sort of prelinguistic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quality space. We may estimate relative distances in his quality space by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observing how he learns. If we reinforce his response of ‘Red’ in the presence of crimson and discourage it in the presence of yellow, and then find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that he makes the response to pink and not to orange, we can infer that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the shades of crimson and pink used are nearer each other, in his quality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space, than the crimson and orange. Supplementary clues to spacing are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available in the child’s hesitation, or reaction time.</w:t>
      </w:r>
    </w:p>
    <w:sectPr w:rsidR="00F86A7A" w:rsidRPr="00F8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0817" w14:textId="77777777" w:rsidR="00883BC2" w:rsidRDefault="00883BC2" w:rsidP="00682194">
      <w:r>
        <w:separator/>
      </w:r>
    </w:p>
  </w:endnote>
  <w:endnote w:type="continuationSeparator" w:id="0">
    <w:p w14:paraId="1CC7A4AB" w14:textId="77777777" w:rsidR="00883BC2" w:rsidRDefault="00883BC2" w:rsidP="0068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E0499" w14:textId="77777777" w:rsidR="00883BC2" w:rsidRDefault="00883BC2" w:rsidP="00682194">
      <w:r>
        <w:separator/>
      </w:r>
    </w:p>
  </w:footnote>
  <w:footnote w:type="continuationSeparator" w:id="0">
    <w:p w14:paraId="7856580D" w14:textId="77777777" w:rsidR="00883BC2" w:rsidRDefault="00883BC2" w:rsidP="00682194">
      <w:r>
        <w:continuationSeparator/>
      </w:r>
    </w:p>
  </w:footnote>
  <w:footnote w:id="1">
    <w:p w14:paraId="01E147F5" w14:textId="0B0EB4C4" w:rsidR="00682194" w:rsidRDefault="00682194">
      <w:pPr>
        <w:pStyle w:val="a5"/>
      </w:pPr>
      <w:r>
        <w:rPr>
          <w:rStyle w:val="a7"/>
        </w:rPr>
        <w:footnoteRef/>
      </w:r>
      <w:r>
        <w:t xml:space="preserve"> </w:t>
      </w:r>
      <w:hyperlink r:id="rId1" w:history="1">
        <w:r w:rsidRPr="00CE5782">
          <w:rPr>
            <w:rStyle w:val="a8"/>
          </w:rPr>
          <w:t>https://helpfulprofessor.com/types-of-hypothesis/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E"/>
    <w:rsid w:val="00411062"/>
    <w:rsid w:val="00576A7C"/>
    <w:rsid w:val="006155AC"/>
    <w:rsid w:val="00682194"/>
    <w:rsid w:val="006F175D"/>
    <w:rsid w:val="00816BA9"/>
    <w:rsid w:val="00883BC2"/>
    <w:rsid w:val="009564B8"/>
    <w:rsid w:val="00B25E59"/>
    <w:rsid w:val="00C2368E"/>
    <w:rsid w:val="00CB0C57"/>
    <w:rsid w:val="00CB2813"/>
    <w:rsid w:val="00D913CC"/>
    <w:rsid w:val="00E660D0"/>
    <w:rsid w:val="00F86A7A"/>
    <w:rsid w:val="00F9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D9DED"/>
  <w15:chartTrackingRefBased/>
  <w15:docId w15:val="{050240AA-7F26-46F7-8A08-B7EE13DE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1106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11062"/>
    <w:rPr>
      <w:b/>
      <w:bCs/>
      <w:kern w:val="28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682194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682194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82194"/>
    <w:rPr>
      <w:vertAlign w:val="superscript"/>
    </w:rPr>
  </w:style>
  <w:style w:type="character" w:styleId="a8">
    <w:name w:val="Hyperlink"/>
    <w:basedOn w:val="a0"/>
    <w:uiPriority w:val="99"/>
    <w:unhideWhenUsed/>
    <w:rsid w:val="0068219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82194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F86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86A7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86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86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elpfulprofessor.com/types-of-hypothesi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DCB8-8F2D-4CF2-82BB-87DB29A9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gang</dc:creator>
  <cp:keywords/>
  <dc:description/>
  <cp:lastModifiedBy>han gang</cp:lastModifiedBy>
  <cp:revision>3</cp:revision>
  <dcterms:created xsi:type="dcterms:W3CDTF">2023-11-07T01:26:00Z</dcterms:created>
  <dcterms:modified xsi:type="dcterms:W3CDTF">2023-11-09T10:08:00Z</dcterms:modified>
</cp:coreProperties>
</file>