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I. Giới thiệu.</w:t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do chọn đề tài: AI đang phát triển mạnh, đặc biệt trong lĩnh vực học tập trực tuyến và tự học.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  <w:tab/>
        <w:t xml:space="preserve">Câu hỏi nghiên cứu: AI đang thay đổi cách học tập và giảng dạy như thế nào?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 Tổng quan về AI trong giáo dục.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Khái niệm “AI trong giáo dục” – phân biệt giữa công cụ hỗ trợ (support tool) và công cụ thay thế (automation).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  <w:tab/>
        <w:t xml:space="preserve">Các loại công cụ phổ biến: trợ lý học tập (ChatGPT, Gemini), tạo nội dung (Quizizz AI, Copilot), chấm bài tự động (Gradescope).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III. Tác động tích cực của AI trong giáo dục.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 nhân hóa học tập (ví dụ: Khanmigo – AI của Khan Academy).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  <w:tab/>
        <w:t xml:space="preserve">Tăng cường khả năng sáng tạo và hỗ trợ người học yếu.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  <w:tab/>
        <w:t xml:space="preserve">Hỗ trợ giáo viên trong soạn bài và đánh giá.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IV. Thách thức và rủi ro.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 cơ đạo văn và lệ thuộc vào AI.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  <w:tab/>
        <w:t xml:space="preserve">Sai lệch thông tin và thiếu kỹ năng tư duy phản biện.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  <w:tab/>
        <w:t xml:space="preserve">Vấn đề quyền riêng tư dữ liệu học sinh/sinh viên.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V. Định hướng và khuyến nghị.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Đào tạo kỹ năng “AI literacy” (hiểu biết về AI) cho sinh viên và giáo viên.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  <w:tab/>
        <w:t xml:space="preserve">Thiết lập quy tắc sử dụng AI trong học tập.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  <w:tab/>
        <w:t xml:space="preserve">Tận dụng AI để bổ trợ, không thay thế con người.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VI. Kết luận.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 là công cụ mạnh mẽ giúp học tập linh hoạt, nhưng cần sử dụng có đạo đức và kiểm soát.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VII. Tài liệu tham khảo.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1650"/>
        <w:gridCol w:w="1365"/>
        <w:gridCol w:w="5280"/>
        <w:tblGridChange w:id="0">
          <w:tblGrid>
            <w:gridCol w:w="465"/>
            <w:gridCol w:w="1650"/>
            <w:gridCol w:w="1365"/>
            <w:gridCol w:w="528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Tên nguồn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Tóm tắt nội dung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Trích dẫn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UNESCO (2023).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Guidance for Generative AI in Education and Research.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Báo cáo của UNESCO về việc tích hợp AI trong giảng dạy, đề xuất quy tắc đạo đức và chính sách toàn cầu.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UNESCO. (2023).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Guidance for generative AI in education and research.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Paris: UNESCO.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4"/>
                  <w:szCs w:val="24"/>
                  <w:u w:val="single"/>
                  <w:rtl w:val="0"/>
                </w:rPr>
                <w:t xml:space="preserve">https://unesdoc.unesco.org/ark:/48223/pf0000386168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OECD (2023).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AI and the Future of Education.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Phân tích cách AI thay đổi kỹ năng giảng dạy, học tập suốt đời, và hệ thống đánh giá.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OECD. (2023).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AI and the Future of Education.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OECD Publishing, Paris.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4"/>
                  <w:szCs w:val="24"/>
                  <w:u w:val="single"/>
                  <w:rtl w:val="0"/>
                </w:rPr>
                <w:t xml:space="preserve">https://doi.org/10.1787/9789264989873-en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Holmes, W., et al. (2022).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Artificial Intelligence in Education: Promises and Implications for Teaching and Learning.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Bài nghiên cứu của đại học Oxford bàn về lợi ích và giới hạn của AI trong giáo dục đại học.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Holmes, W., et al. (2022).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Artificial Intelligence in Education.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University of Oxford.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Khan Academy (2024).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Introducing Khanmigo: AI-powered tutor.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Trang chính thức giới thiệu trợ lý học tập Khanmigo, minh họa rõ ứng dụng thực tế của AI trong lớp học.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Khan Academy. (2024).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Introducing Khanmigo.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4"/>
                  <w:szCs w:val="24"/>
                  <w:u w:val="single"/>
                  <w:rtl w:val="0"/>
                </w:rPr>
                <w:t xml:space="preserve">https://blog.khanacademy.org/khanmigo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2.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EDUCAUSE Review (2024).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ChatGPT and the Future of Higher Education.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Phân tích chuyên sâu về tác động của ChatGPT đến cách sinh viên viết bài và học tập.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EDUCAUSE Review. (2024).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ChatGPT and the Future of Higher Education.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4"/>
                  <w:szCs w:val="24"/>
                  <w:u w:val="single"/>
                  <w:rtl w:val="0"/>
                </w:rPr>
                <w:t xml:space="preserve">https://er.educause.edu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VIII. Tiêu chí CRAAP. </w:t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080"/>
        <w:gridCol w:w="1215"/>
        <w:gridCol w:w="1095"/>
        <w:gridCol w:w="1080"/>
        <w:gridCol w:w="960"/>
        <w:gridCol w:w="570"/>
        <w:gridCol w:w="1200"/>
        <w:tblGridChange w:id="0">
          <w:tblGrid>
            <w:gridCol w:w="1440"/>
            <w:gridCol w:w="1080"/>
            <w:gridCol w:w="1215"/>
            <w:gridCol w:w="1095"/>
            <w:gridCol w:w="1080"/>
            <w:gridCol w:w="960"/>
            <w:gridCol w:w="570"/>
            <w:gridCol w:w="120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Nguồn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Currency (1–5)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Relevance (1–5)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Authority (1–5)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Accuracy (1–5)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 (1–5)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Tổng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Nhận xét</w:t>
            </w:r>
          </w:p>
        </w:tc>
      </w:tr>
      <w:tr>
        <w:trPr>
          <w:cantSplit w:val="0"/>
          <w:trHeight w:val="1706.894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UNESCO (2023)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25/25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Báo cáo quốc tế, độ tin cậy cao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OECD (2023)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24/25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Phân tích sâu, có dữ liệu thực tế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Holmes et al. (2022)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23/25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Nghiên cứu học thuật từ Oxford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Khan Academy (2024)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21/25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Nguồn thực tiễn, minh họa dễ hiểu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EDUCAUSE (2024)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23/25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Trang uy tín về giáo dục đại học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first"/>
      <w:footerReference r:id="rId18" w:type="even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center"/>
      <w:rPr>
        <w:rFonts w:ascii="Times New Roman" w:cs="Times New Roman" w:eastAsia="Times New Roman" w:hAnsi="Times New Roman"/>
        <w:b w:val="1"/>
        <w:bCs w:val="1"/>
        <w:sz w:val="30"/>
        <w:szCs w:val="3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center"/>
      <w:rPr>
        <w:rFonts w:ascii="Times New Roman" w:cs="Times New Roman" w:eastAsia="Times New Roman" w:hAnsi="Times New Roman"/>
        <w:sz w:val="30"/>
        <w:szCs w:val="30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sz w:val="30"/>
        <w:szCs w:val="30"/>
        <w:u w:val="single"/>
        <w:rtl w:val="0"/>
      </w:rPr>
      <w:t xml:space="preserve">NGHIÊN CỨU VÀ KẾ HOẠCH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log.khanacademy.org/khanmigo" TargetMode="External"/><Relationship Id="rId10" Type="http://schemas.openxmlformats.org/officeDocument/2006/relationships/hyperlink" Target="https://blog.khanacademy.org/khanmigo" TargetMode="External"/><Relationship Id="rId13" Type="http://schemas.openxmlformats.org/officeDocument/2006/relationships/hyperlink" Target="https://er.educause.edu/" TargetMode="External"/><Relationship Id="rId12" Type="http://schemas.openxmlformats.org/officeDocument/2006/relationships/hyperlink" Target="https://er.educause.ed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787/9789264989873-en" TargetMode="External"/><Relationship Id="rId15" Type="http://schemas.openxmlformats.org/officeDocument/2006/relationships/header" Target="header3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unesdoc.unesco.org/ark:/48223/pf0000386168" TargetMode="External"/><Relationship Id="rId18" Type="http://schemas.openxmlformats.org/officeDocument/2006/relationships/footer" Target="footer1.xml"/><Relationship Id="rId7" Type="http://schemas.openxmlformats.org/officeDocument/2006/relationships/hyperlink" Target="https://unesdoc.unesco.org/ark:/48223/pf0000386168" TargetMode="External"/><Relationship Id="rId8" Type="http://schemas.openxmlformats.org/officeDocument/2006/relationships/hyperlink" Target="https://doi.org/10.1787/9789264989873-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