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P(θ|D)</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0B93D716"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r w:rsidR="00EE2B56">
        <w:rPr>
          <w:rFonts w:ascii="Arial" w:hAnsi="Arial" w:cs="Arial"/>
        </w:rPr>
        <w:t xml:space="preserve"> (find citation)</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724B85A2"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w:t>
      </w:r>
      <w:r w:rsidR="003D5370">
        <w:rPr>
          <w:rFonts w:ascii="Arial" w:hAnsi="Arial" w:cs="Arial"/>
        </w:rPr>
        <w:t xml:space="preserve">posterior distributions and the </w:t>
      </w:r>
      <w:r w:rsidRPr="00AE1595">
        <w:rPr>
          <w:rFonts w:ascii="Arial" w:hAnsi="Arial" w:cs="Arial"/>
        </w:rPr>
        <w:t xml:space="preserve">parameters for the next round of simulation. </w:t>
      </w:r>
      <w:r w:rsidR="003D5370">
        <w:rPr>
          <w:rFonts w:ascii="Arial" w:hAnsi="Arial" w:cs="Arial"/>
        </w:rPr>
        <w:t xml:space="preserve">For </w:t>
      </w:r>
      <w:r w:rsidR="003D5370">
        <w:rPr>
          <w:rFonts w:ascii="Arial" w:hAnsi="Arial" w:cs="Arial"/>
        </w:rPr>
        <w:lastRenderedPageBreak/>
        <w:t>the inference to be carried out sequentially</w:t>
      </w:r>
      <w:r w:rsidRPr="00AE1595">
        <w:rPr>
          <w:rFonts w:ascii="Arial" w:hAnsi="Arial" w:cs="Arial"/>
        </w:rPr>
        <w:t xml:space="preserve">, </w:t>
      </w:r>
      <w:r w:rsidR="003D5370">
        <w:rPr>
          <w:rFonts w:ascii="Arial" w:hAnsi="Arial" w:cs="Arial"/>
        </w:rPr>
        <w:t>it was necessary to serialise</w:t>
      </w:r>
      <w:r w:rsidR="00061C58">
        <w:rPr>
          <w:rFonts w:ascii="Arial" w:hAnsi="Arial" w:cs="Arial"/>
        </w:rPr>
        <w:t xml:space="preserve">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003D5370">
        <w:rPr>
          <w:rFonts w:ascii="Arial" w:hAnsi="Arial" w:cs="Arial"/>
        </w:rPr>
        <w:t xml:space="preserve"> </w:t>
      </w:r>
      <w:r w:rsidR="008D3C62">
        <w:rPr>
          <w:rFonts w:ascii="Arial" w:hAnsi="Arial" w:cs="Arial"/>
        </w:rPr>
        <w:t xml:space="preserve">retaining information from previous rounds and </w:t>
      </w:r>
      <w:r w:rsidRPr="00AE1595">
        <w:rPr>
          <w:rFonts w:ascii="Arial" w:hAnsi="Arial" w:cs="Arial"/>
        </w:rPr>
        <w:t>prevent</w:t>
      </w:r>
      <w:r w:rsidR="003D5370">
        <w:rPr>
          <w:rFonts w:ascii="Arial" w:hAnsi="Arial" w:cs="Arial"/>
        </w:rPr>
        <w:t>ing</w:t>
      </w:r>
      <w:r w:rsidRPr="00AE1595">
        <w:rPr>
          <w:rFonts w:ascii="Arial" w:hAnsi="Arial" w:cs="Arial"/>
        </w:rPr>
        <w:t xml:space="preserve"> SNPE from overconfidently estimating a new posterior based on resampled data. The basic outline of this approach is illustrated in Figure 2.</w:t>
      </w:r>
      <w:r w:rsidR="002144D7">
        <w:rPr>
          <w:rFonts w:ascii="Arial" w:hAnsi="Arial" w:cs="Arial"/>
        </w:rPr>
        <w:t xml:space="preserve"> Posterior predictive checks were carried out to assess whether sequential inference was feasible.</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lastRenderedPageBreak/>
        <w:t>Removal of summary statistics with &gt;0.99 correlation.</w:t>
      </w:r>
      <w:r>
        <w:rPr>
          <w:rFonts w:ascii="Arial" w:hAnsi="Arial" w:cs="Arial"/>
        </w:rPr>
        <w:t xml:space="preserve"> Pairwise correlations were calculated and one of the correlated stats were removed to limit the maximum 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11270064"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 xml:space="preserve">Iterative improvement of </w:t>
      </w:r>
      <w:r w:rsidR="0034681D">
        <w:rPr>
          <w:rFonts w:ascii="Arial" w:hAnsi="Arial" w:cs="Arial"/>
          <w:b/>
          <w:bCs/>
        </w:rPr>
        <w:t>HDR (highest density region)</w:t>
      </w:r>
      <w:r>
        <w:rPr>
          <w:rFonts w:ascii="Arial" w:hAnsi="Arial" w:cs="Arial"/>
          <w:b/>
          <w:bCs/>
        </w:rPr>
        <w:t xml:space="preserv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w:t>
      </w:r>
      <w:r w:rsidR="0034681D">
        <w:rPr>
          <w:rFonts w:ascii="Arial" w:hAnsi="Arial" w:cs="Arial"/>
        </w:rPr>
        <w:t>HDR</w:t>
      </w:r>
      <w:r>
        <w:rPr>
          <w:rFonts w:ascii="Arial" w:hAnsi="Arial" w:cs="Arial"/>
        </w:rPr>
        <w:t xml:space="preserve"> of the observed data</w:t>
      </w:r>
      <w:r w:rsidR="0034681D">
        <w:rPr>
          <w:rFonts w:ascii="Arial" w:hAnsi="Arial" w:cs="Arial"/>
        </w:rPr>
        <w:t xml:space="preserve"> (between 0 and 1)</w:t>
      </w:r>
      <w:r>
        <w:rPr>
          <w:rFonts w:ascii="Arial" w:hAnsi="Arial" w:cs="Arial"/>
        </w:rPr>
        <w:t>.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r w:rsidR="0034681D">
        <w:rPr>
          <w:rFonts w:ascii="Arial" w:hAnsi="Arial" w:cs="Arial"/>
        </w:rPr>
        <w:t xml:space="preserve"> This method for evaluating the HDR of the observed data was also used as a posterior predictive check to evaluate the viability of SNPE </w:t>
      </w:r>
      <w:r w:rsidR="003A6CA6">
        <w:rPr>
          <w:rFonts w:ascii="Arial" w:hAnsi="Arial" w:cs="Arial"/>
        </w:rPr>
        <w:fldChar w:fldCharType="begin"/>
      </w:r>
      <w:r w:rsidR="003A6CA6">
        <w:rPr>
          <w:rFonts w:ascii="Arial" w:hAnsi="Arial" w:cs="Arial"/>
        </w:rPr>
        <w:instrText xml:space="preserve"> ADDIN ZOTERO_ITEM CSL_CITATION {"citationID":"U3MINke0","properties":{"formattedCitation":"(Gabry et al., 2019)","plainCitation":"(Gabry et al., 2019)","noteIndex":0},"citationItems":[{"id":11741,"uris":["http://zotero.org/users/14220656/items/IWXZKIQD"],"itemData":{"id":11741,"type":"article-journal","abstract":"Bayesian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 dimensional models that are used by applied researchers.","container-title":"Journal of the Royal Statistical Society Series A: Statistics in Society","DOI":"10.1111/rssa.12378","ISSN":"0964-1998","issue":"2","journalAbbreviation":"Journal of the Royal Statistical Society Series A: Statistics in Society","page":"389-402","title":"Visualization in Bayesian Workflow","volume":"182","author":[{"family":"Gabry","given":"Jonah"},{"family":"Simpson","given":"Daniel"},{"family":"Vehtari","given":"Aki"},{"family":"Betancourt","given":"Michael"},{"family":"Gelman","given":"Andrew"}],"issued":{"date-parts":[["2019",2,1]]}}}],"schema":"https://github.com/citation-style-language/schema/raw/master/csl-citation.json"} </w:instrText>
      </w:r>
      <w:r w:rsidR="003A6CA6">
        <w:rPr>
          <w:rFonts w:ascii="Arial" w:hAnsi="Arial" w:cs="Arial"/>
        </w:rPr>
        <w:fldChar w:fldCharType="separate"/>
      </w:r>
      <w:r w:rsidR="003A6CA6" w:rsidRPr="003A6CA6">
        <w:rPr>
          <w:rFonts w:ascii="Arial" w:hAnsi="Arial" w:cs="Arial"/>
        </w:rPr>
        <w:t>(Gabry et al., 2019)</w:t>
      </w:r>
      <w:r w:rsidR="003A6CA6">
        <w:rPr>
          <w:rFonts w:ascii="Arial" w:hAnsi="Arial" w:cs="Arial"/>
        </w:rPr>
        <w:fldChar w:fldCharType="end"/>
      </w:r>
      <w:r w:rsidR="0034681D">
        <w:rPr>
          <w:rFonts w:ascii="Arial" w:hAnsi="Arial" w:cs="Arial"/>
        </w:rPr>
        <w:t>.</w:t>
      </w:r>
    </w:p>
    <w:bookmarkEnd w:id="0"/>
    <w:p w14:paraId="7DD8C601" w14:textId="574C1436" w:rsidR="000E1E47" w:rsidRPr="007231A2" w:rsidRDefault="007231A2" w:rsidP="00D62DCF">
      <w:pPr>
        <w:spacing w:line="480" w:lineRule="auto"/>
        <w:rPr>
          <w:rFonts w:ascii="Arial" w:hAnsi="Arial" w:cs="Arial"/>
        </w:rPr>
      </w:pPr>
      <w:r w:rsidRPr="007231A2">
        <w:rPr>
          <w:rFonts w:ascii="Arial" w:hAnsi="Arial" w:cs="Arial"/>
        </w:rPr>
        <w:lastRenderedPageBreak/>
        <w:t xml:space="preserve">This multi-faceted approach reduced our initial set of 134 summary statistics down to </w:t>
      </w:r>
      <w:r w:rsidR="007D033A">
        <w:rPr>
          <w:rFonts w:ascii="Arial" w:hAnsi="Arial" w:cs="Arial"/>
        </w:rPr>
        <w:t>93</w:t>
      </w:r>
      <w:r w:rsidR="002C4446">
        <w:rPr>
          <w:rFonts w:ascii="Arial" w:hAnsi="Arial" w:cs="Arial"/>
        </w:rPr>
        <w:t xml:space="preserve"> </w:t>
      </w:r>
      <w:r w:rsidR="0010369F">
        <w:rPr>
          <w:rFonts w:ascii="Arial" w:hAnsi="Arial" w:cs="Arial"/>
        </w:rPr>
        <w:t>statistics</w:t>
      </w:r>
      <w:r w:rsidR="002C4446">
        <w:rPr>
          <w:rFonts w:ascii="Arial" w:hAnsi="Arial" w:cs="Arial"/>
        </w:rPr>
        <w:t>,</w:t>
      </w:r>
      <w:r w:rsidR="0010369F">
        <w:rPr>
          <w:rFonts w:ascii="Arial" w:hAnsi="Arial" w:cs="Arial"/>
        </w:rPr>
        <w:t xml:space="preserve">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5A9340F" w14:textId="77777777" w:rsidR="00CA30E6"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kya)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.5 kya)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kya) (</w:t>
      </w:r>
      <w:r w:rsidR="00B05F19">
        <w:rPr>
          <w:rFonts w:ascii="Arial" w:hAnsi="Arial" w:cs="Arial"/>
          <w:i/>
          <w:iCs/>
        </w:rPr>
        <w:t>Fig. 3d</w:t>
      </w:r>
      <w:r w:rsidR="00B05F19">
        <w:rPr>
          <w:rFonts w:ascii="Arial" w:hAnsi="Arial" w:cs="Arial"/>
        </w:rPr>
        <w:t>).</w:t>
      </w:r>
    </w:p>
    <w:p w14:paraId="14446647" w14:textId="77777777" w:rsidR="00CA30E6" w:rsidRDefault="00CA30E6" w:rsidP="00C177DF">
      <w:pPr>
        <w:spacing w:line="480" w:lineRule="auto"/>
        <w:jc w:val="both"/>
        <w:rPr>
          <w:rFonts w:ascii="Arial" w:hAnsi="Arial" w:cs="Arial"/>
        </w:rPr>
      </w:pPr>
    </w:p>
    <w:p w14:paraId="3CD14F17" w14:textId="77777777" w:rsidR="00CA30E6" w:rsidRDefault="00B05F19" w:rsidP="00C177DF">
      <w:pPr>
        <w:spacing w:line="480" w:lineRule="auto"/>
        <w:jc w:val="both"/>
        <w:rPr>
          <w:rFonts w:ascii="Arial" w:hAnsi="Arial" w:cs="Arial"/>
        </w:rPr>
      </w:pPr>
      <w:r>
        <w:rPr>
          <w:rFonts w:ascii="Arial" w:hAnsi="Arial" w:cs="Arial"/>
        </w:rPr>
        <w:t xml:space="preserve">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 xml:space="preserve">living to captive Scottish wildcats, were </w:t>
      </w:r>
      <w:r w:rsidR="005944D4">
        <w:rPr>
          <w:rFonts w:ascii="Arial" w:hAnsi="Arial" w:cs="Arial"/>
        </w:rPr>
        <w:lastRenderedPageBreak/>
        <w:t>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0.0464 migrants per generation respectively, and the length of migration from domestics to wild-living Scottish wildcats was centred around a mean of 14.2 generations (42.6 years).</w:t>
      </w:r>
      <w:r w:rsidR="00CA30E6">
        <w:rPr>
          <w:rFonts w:ascii="Arial" w:hAnsi="Arial" w:cs="Arial"/>
        </w:rPr>
        <w:t xml:space="preserve"> </w:t>
      </w:r>
    </w:p>
    <w:p w14:paraId="7DF817F9" w14:textId="77777777" w:rsidR="00CA30E6" w:rsidRDefault="003C384B" w:rsidP="00C177DF">
      <w:pPr>
        <w:spacing w:line="480" w:lineRule="auto"/>
        <w:jc w:val="both"/>
        <w:rPr>
          <w:rFonts w:ascii="Arial" w:hAnsi="Arial" w:cs="Arial"/>
        </w:rPr>
      </w:pPr>
      <w:r>
        <w:rPr>
          <w:rFonts w:ascii="Arial" w:hAnsi="Arial" w:cs="Arial"/>
        </w:rPr>
        <w:t>The posterior for the effective population size of the captive population of Scottish wildcats was only slightly narrower than our prior, and was centred around 113 individuals (</w:t>
      </w:r>
      <w:r>
        <w:rPr>
          <w:rFonts w:ascii="Arial" w:hAnsi="Arial" w:cs="Arial"/>
          <w:i/>
          <w:iCs/>
        </w:rPr>
        <w:t>Fig. 3h</w:t>
      </w:r>
      <w:r>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Pr>
          <w:rFonts w:ascii="Arial" w:hAnsi="Arial" w:cs="Arial"/>
        </w:rPr>
        <w:t>The posterior for domestic cat population size was the only parameter with a posterior that was wider than our prior (</w:t>
      </w:r>
      <w:r>
        <w:rPr>
          <w:rFonts w:ascii="Arial" w:hAnsi="Arial" w:cs="Arial"/>
          <w:i/>
          <w:iCs/>
        </w:rPr>
        <w:t>Fig. 3i</w:t>
      </w:r>
      <w:r>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w:t>
      </w:r>
    </w:p>
    <w:p w14:paraId="2D71EBE9" w14:textId="77777777" w:rsidR="00CA30E6" w:rsidRDefault="00CA30E6" w:rsidP="00C177DF">
      <w:pPr>
        <w:spacing w:line="480" w:lineRule="auto"/>
        <w:jc w:val="both"/>
        <w:rPr>
          <w:rFonts w:ascii="Arial" w:hAnsi="Arial" w:cs="Arial"/>
        </w:rPr>
      </w:pPr>
    </w:p>
    <w:p w14:paraId="5E2FB7BC" w14:textId="18B05CE3" w:rsidR="007110C2" w:rsidRDefault="007110C2" w:rsidP="00C177DF">
      <w:pPr>
        <w:spacing w:line="480" w:lineRule="auto"/>
        <w:jc w:val="both"/>
        <w:rPr>
          <w:rFonts w:ascii="Arial" w:hAnsi="Arial" w:cs="Arial"/>
        </w:rPr>
      </w:pPr>
      <w:r>
        <w:rPr>
          <w:rFonts w:ascii="Arial" w:hAnsi="Arial" w:cs="Arial"/>
        </w:rPr>
        <w:t>Finally, our posteriors for mutation and recombination rates were both narrower than our priors, and had posterior means of 1.03e-8</w:t>
      </w:r>
      <w:r w:rsidR="00BC79EE">
        <w:rPr>
          <w:rFonts w:ascii="Arial" w:hAnsi="Arial" w:cs="Arial"/>
        </w:rPr>
        <w:t xml:space="preserve"> mutations per site per generation</w:t>
      </w:r>
      <w:r>
        <w:rPr>
          <w:rFonts w:ascii="Arial" w:hAnsi="Arial" w:cs="Arial"/>
        </w:rPr>
        <w:t xml:space="preserve"> and 1.39e-8 </w:t>
      </w:r>
      <w:r w:rsidR="00BC79EE">
        <w:rPr>
          <w:rFonts w:ascii="Arial" w:hAnsi="Arial" w:cs="Arial"/>
        </w:rPr>
        <w:t xml:space="preserve">centimorgans </w:t>
      </w:r>
      <w:r>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r w:rsidR="00CA30E6">
        <w:rPr>
          <w:rFonts w:ascii="Arial" w:hAnsi="Arial" w:cs="Arial"/>
        </w:rPr>
        <w:t xml:space="preserve"> There was correlation in the posterior density between some pairs of parameters, indicated by linear relationships in joint distributions; These parameters have been plotted as a pairplot (</w:t>
      </w:r>
      <w:r w:rsidR="00CA30E6">
        <w:rPr>
          <w:rFonts w:ascii="Arial" w:hAnsi="Arial" w:cs="Arial"/>
          <w:i/>
          <w:iCs/>
        </w:rPr>
        <w:t>Fig</w:t>
      </w:r>
      <w:r w:rsidR="00D42DD6">
        <w:rPr>
          <w:rFonts w:ascii="Arial" w:hAnsi="Arial" w:cs="Arial"/>
          <w:i/>
          <w:iCs/>
        </w:rPr>
        <w:t xml:space="preserve"> 4</w:t>
      </w:r>
      <w:r w:rsidR="00D42DD6">
        <w:rPr>
          <w:rFonts w:ascii="Arial" w:hAnsi="Arial" w:cs="Arial"/>
        </w:rPr>
        <w:t>).</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6C08B4A4" w14:textId="543EF234" w:rsidR="00340E41" w:rsidRPr="0086216A" w:rsidRDefault="003C274D" w:rsidP="00C177DF">
      <w:pPr>
        <w:spacing w:line="480" w:lineRule="auto"/>
        <w:jc w:val="both"/>
        <w:rPr>
          <w:rFonts w:ascii="Arial" w:hAnsi="Arial" w:cs="Arial"/>
        </w:rPr>
      </w:pPr>
      <w:r>
        <w:rPr>
          <w:rFonts w:ascii="Arial" w:hAnsi="Arial" w:cs="Arial"/>
        </w:rPr>
        <w:lastRenderedPageBreak/>
        <w:t>The means were evaluated for all marginal parameter posteriors, and this posterior mean model of evolution was simulated. PCA was carried out on the resulting genotype matrix and that of the observed data, and principal components 1 and 2 were plotted for comparison</w:t>
      </w:r>
      <w:r w:rsidR="00414363">
        <w:rPr>
          <w:rFonts w:ascii="Arial" w:hAnsi="Arial" w:cs="Arial"/>
        </w:rPr>
        <w:t xml:space="preserve"> as part of a posterior predictive check</w:t>
      </w:r>
      <w:r w:rsidR="003D5370">
        <w:rPr>
          <w:rFonts w:ascii="Arial" w:hAnsi="Arial" w:cs="Arial"/>
        </w:rPr>
        <w:t xml:space="preserve"> </w:t>
      </w:r>
      <w:r>
        <w:rPr>
          <w:rFonts w:ascii="Arial" w:hAnsi="Arial" w:cs="Arial"/>
        </w:rPr>
        <w:t xml:space="preserve">. Procrustes rotation was applied to the simulation to </w:t>
      </w:r>
      <w:r w:rsidR="00F3343E">
        <w:rPr>
          <w:rFonts w:ascii="Arial" w:hAnsi="Arial" w:cs="Arial"/>
        </w:rPr>
        <w:t xml:space="preserve">provide a better comparison between the simulated and observed populations. (&lt;- should this bit be in methods?) </w:t>
      </w:r>
      <w:r w:rsidR="0086216A">
        <w:rPr>
          <w:rFonts w:ascii="Arial" w:hAnsi="Arial" w:cs="Arial"/>
        </w:rPr>
        <w:t xml:space="preserve">Overall, there is very good </w:t>
      </w:r>
      <w:r w:rsidR="005F71DD">
        <w:rPr>
          <w:rFonts w:ascii="Arial" w:hAnsi="Arial" w:cs="Arial"/>
        </w:rPr>
        <w:t>concordance</w:t>
      </w:r>
      <w:r w:rsidR="0086216A">
        <w:rPr>
          <w:rFonts w:ascii="Arial" w:hAnsi="Arial" w:cs="Arial"/>
        </w:rPr>
        <w:t xml:space="preserve"> between the simulated and observed populations. </w:t>
      </w:r>
      <w:r w:rsidR="0086216A" w:rsidRPr="00AE1595">
        <w:rPr>
          <w:rFonts w:ascii="Arial" w:hAnsi="Arial" w:cs="Arial"/>
        </w:rPr>
        <w:t xml:space="preserve">All populations show a </w:t>
      </w:r>
      <w:r w:rsidR="005F71DD">
        <w:rPr>
          <w:rFonts w:ascii="Arial" w:hAnsi="Arial" w:cs="Arial"/>
        </w:rPr>
        <w:t>very similar</w:t>
      </w:r>
      <w:r w:rsidR="0086216A">
        <w:rPr>
          <w:rFonts w:ascii="Arial" w:hAnsi="Arial" w:cs="Arial"/>
        </w:rPr>
        <w:t xml:space="preserve"> pattern</w:t>
      </w:r>
      <w:r w:rsidR="0086216A" w:rsidRPr="00AE1595">
        <w:rPr>
          <w:rFonts w:ascii="Arial" w:hAnsi="Arial" w:cs="Arial"/>
        </w:rPr>
        <w:t xml:space="preserve"> across PC1 and PC2, with the possible exception of the European </w:t>
      </w:r>
      <w:r w:rsidR="0086216A" w:rsidRPr="00AE1595">
        <w:rPr>
          <w:rFonts w:ascii="Arial" w:hAnsi="Arial" w:cs="Arial"/>
          <w:i/>
          <w:iCs/>
        </w:rPr>
        <w:t>F. silvestris</w:t>
      </w:r>
      <w:r w:rsidR="0086216A" w:rsidRPr="00AE1595">
        <w:rPr>
          <w:rFonts w:ascii="Arial" w:hAnsi="Arial" w:cs="Arial"/>
        </w:rPr>
        <w:t xml:space="preserve"> population, which is clustered </w:t>
      </w:r>
      <w:r w:rsidR="0086216A">
        <w:rPr>
          <w:rFonts w:ascii="Arial" w:hAnsi="Arial" w:cs="Arial"/>
        </w:rPr>
        <w:t xml:space="preserve">slightly </w:t>
      </w:r>
      <w:r w:rsidR="0086216A" w:rsidRPr="00AE1595">
        <w:rPr>
          <w:rFonts w:ascii="Arial" w:hAnsi="Arial" w:cs="Arial"/>
        </w:rPr>
        <w:t>further</w:t>
      </w:r>
      <w:r w:rsidR="0086216A">
        <w:rPr>
          <w:rFonts w:ascii="Arial" w:hAnsi="Arial" w:cs="Arial"/>
        </w:rPr>
        <w:t xml:space="preserve"> on both axes</w:t>
      </w:r>
      <w:r w:rsidR="0086216A" w:rsidRPr="00AE1595">
        <w:rPr>
          <w:rFonts w:ascii="Arial" w:hAnsi="Arial" w:cs="Arial"/>
        </w:rPr>
        <w:t xml:space="preserve"> from Scottish </w:t>
      </w:r>
      <w:r w:rsidR="0086216A" w:rsidRPr="00AE1595">
        <w:rPr>
          <w:rFonts w:ascii="Arial" w:hAnsi="Arial" w:cs="Arial"/>
          <w:i/>
          <w:iCs/>
        </w:rPr>
        <w:t>F. silvestris</w:t>
      </w:r>
      <w:r w:rsidR="0086216A" w:rsidRPr="00AE1595">
        <w:rPr>
          <w:rFonts w:ascii="Arial" w:hAnsi="Arial" w:cs="Arial"/>
        </w:rPr>
        <w:t xml:space="preserve"> in the MAP simulation than in the observed data PCA plot.</w:t>
      </w:r>
      <w:r w:rsidR="0086216A">
        <w:rPr>
          <w:rFonts w:ascii="Arial" w:hAnsi="Arial" w:cs="Arial"/>
        </w:rPr>
        <w:t xml:space="preserve"> </w:t>
      </w:r>
      <w:r w:rsidR="00E24CB4" w:rsidRPr="00AE1595">
        <w:rPr>
          <w:rFonts w:ascii="Arial" w:hAnsi="Arial" w:cs="Arial"/>
        </w:rPr>
        <w:t xml:space="preserve">Both plots show a ‘smear’ of increasingly hybridised individuals from the Captive population cluster towards the </w:t>
      </w:r>
      <w:r w:rsidR="00E24CB4">
        <w:rPr>
          <w:rFonts w:ascii="Arial" w:hAnsi="Arial" w:cs="Arial"/>
        </w:rPr>
        <w:t>domestic</w:t>
      </w:r>
      <w:r w:rsidR="00E24CB4" w:rsidRPr="00AE1595">
        <w:rPr>
          <w:rFonts w:ascii="Arial" w:hAnsi="Arial" w:cs="Arial"/>
        </w:rPr>
        <w:t xml:space="preserve"> cluster</w:t>
      </w:r>
      <w:r w:rsidR="005F71DD">
        <w:rPr>
          <w:rFonts w:ascii="Arial" w:hAnsi="Arial" w:cs="Arial"/>
        </w:rPr>
        <w:t>.</w:t>
      </w:r>
    </w:p>
    <w:p w14:paraId="5720B0B2" w14:textId="77777777" w:rsidR="00E010DB" w:rsidRPr="00AE1595" w:rsidRDefault="00E010DB" w:rsidP="00C177DF">
      <w:pPr>
        <w:spacing w:line="480" w:lineRule="auto"/>
        <w:jc w:val="both"/>
        <w:rPr>
          <w:rFonts w:ascii="Arial" w:hAnsi="Arial" w:cs="Arial"/>
          <w:u w:val="single"/>
        </w:rPr>
      </w:pPr>
    </w:p>
    <w:p w14:paraId="6D1D55FD" w14:textId="0CC903E7" w:rsidR="005F71DD" w:rsidRPr="00AE1595" w:rsidRDefault="00340E41" w:rsidP="00C177DF">
      <w:pPr>
        <w:spacing w:line="480" w:lineRule="auto"/>
        <w:jc w:val="both"/>
        <w:rPr>
          <w:rFonts w:ascii="Arial" w:hAnsi="Arial" w:cs="Arial"/>
          <w:b/>
          <w:bCs/>
        </w:rPr>
      </w:pPr>
      <w:r w:rsidRPr="00AE1595">
        <w:rPr>
          <w:rFonts w:ascii="Arial" w:hAnsi="Arial" w:cs="Arial"/>
          <w:b/>
          <w:bCs/>
        </w:rPr>
        <w:t>4. Discussion</w:t>
      </w:r>
    </w:p>
    <w:p w14:paraId="6CDBBFF9" w14:textId="4133213B" w:rsidR="00C3153C" w:rsidRDefault="00EE2B56" w:rsidP="00C177DF">
      <w:pPr>
        <w:spacing w:line="480" w:lineRule="auto"/>
        <w:jc w:val="both"/>
        <w:rPr>
          <w:rFonts w:ascii="Arial" w:hAnsi="Arial" w:cs="Arial"/>
        </w:rPr>
      </w:pPr>
      <w:r>
        <w:rPr>
          <w:rFonts w:ascii="Arial" w:hAnsi="Arial" w:cs="Arial"/>
        </w:rPr>
        <w:t>Plan</w:t>
      </w:r>
    </w:p>
    <w:p w14:paraId="67BB4D4C" w14:textId="1B747A4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NPE unable to make estimates outside of prior support</w:t>
      </w:r>
    </w:p>
    <w:p w14:paraId="67691774" w14:textId="6B2551FE"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posteriors and implications for evolution/conservation etc</w:t>
      </w:r>
      <w:r w:rsidR="00B300BF">
        <w:rPr>
          <w:rFonts w:ascii="Arial" w:hAnsi="Arial" w:cs="Arial"/>
        </w:rPr>
        <w:t>, widen prior for domestic pop size maybe</w:t>
      </w:r>
    </w:p>
    <w:p w14:paraId="521EA455" w14:textId="64A8CF49"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model misspecification and sensitivity to summary statistics, how to improve choice of summary statistics</w:t>
      </w:r>
    </w:p>
    <w:p w14:paraId="56997C9F" w14:textId="608E54C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 xml:space="preserve">Talk about possible sources, e.g. pca noise, low sample size, unrepresentative samples, missingness, population structure, </w:t>
      </w:r>
    </w:p>
    <w:p w14:paraId="6A0897C6" w14:textId="1D912DA9" w:rsidR="00C4111E" w:rsidRDefault="00C4111E" w:rsidP="00EE2B56">
      <w:pPr>
        <w:pStyle w:val="ListParagraph"/>
        <w:numPr>
          <w:ilvl w:val="0"/>
          <w:numId w:val="22"/>
        </w:numPr>
        <w:spacing w:line="480" w:lineRule="auto"/>
        <w:jc w:val="both"/>
        <w:rPr>
          <w:rFonts w:ascii="Arial" w:hAnsi="Arial" w:cs="Arial"/>
        </w:rPr>
      </w:pPr>
      <w:r>
        <w:rPr>
          <w:rFonts w:ascii="Arial" w:hAnsi="Arial" w:cs="Arial"/>
        </w:rPr>
        <w:t>Removing summary stats – all models are wrong but some are useful – George Box</w:t>
      </w:r>
    </w:p>
    <w:p w14:paraId="3341B458" w14:textId="64D64454"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methods to remove summary stats, how to improve</w:t>
      </w:r>
    </w:p>
    <w:p w14:paraId="6059D0C5" w14:textId="2D2265A5"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Talk about how posteriors improved with removal of summary stats</w:t>
      </w:r>
    </w:p>
    <w:p w14:paraId="03349515" w14:textId="579FCB23" w:rsidR="00EE2B56" w:rsidRDefault="00EE2B56" w:rsidP="00EE2B56">
      <w:pPr>
        <w:pStyle w:val="ListParagraph"/>
        <w:numPr>
          <w:ilvl w:val="0"/>
          <w:numId w:val="22"/>
        </w:numPr>
        <w:spacing w:line="480" w:lineRule="auto"/>
        <w:jc w:val="both"/>
        <w:rPr>
          <w:rFonts w:ascii="Arial" w:hAnsi="Arial" w:cs="Arial"/>
        </w:rPr>
      </w:pPr>
      <w:r>
        <w:rPr>
          <w:rFonts w:ascii="Arial" w:hAnsi="Arial" w:cs="Arial"/>
        </w:rPr>
        <w:t>Correlation of parameters</w:t>
      </w:r>
    </w:p>
    <w:p w14:paraId="64AFC68E" w14:textId="77777777" w:rsidR="00EE2B56" w:rsidRPr="00EE2B56" w:rsidRDefault="00EE2B56" w:rsidP="00EE2B56">
      <w:pPr>
        <w:pStyle w:val="ListParagraph"/>
        <w:numPr>
          <w:ilvl w:val="0"/>
          <w:numId w:val="22"/>
        </w:numPr>
        <w:spacing w:line="480" w:lineRule="auto"/>
        <w:jc w:val="both"/>
        <w:rPr>
          <w:rFonts w:ascii="Arial" w:hAnsi="Arial" w:cs="Arial"/>
        </w:rPr>
      </w:pPr>
    </w:p>
    <w:p w14:paraId="71C40E8F" w14:textId="502E9C29" w:rsidR="00C3153C" w:rsidRDefault="00C4111E" w:rsidP="00C177DF">
      <w:pPr>
        <w:spacing w:line="480" w:lineRule="auto"/>
        <w:jc w:val="both"/>
        <w:rPr>
          <w:rFonts w:ascii="Arial" w:hAnsi="Arial" w:cs="Arial"/>
        </w:rPr>
      </w:pPr>
      <w:r>
        <w:rPr>
          <w:rFonts w:ascii="Arial" w:hAnsi="Arial" w:cs="Arial"/>
        </w:rPr>
        <w:t xml:space="preserve">As the HDR of the observed data was evaluated </w:t>
      </w:r>
      <w:r w:rsidR="00D62DCF">
        <w:rPr>
          <w:rFonts w:ascii="Arial" w:hAnsi="Arial" w:cs="Arial"/>
        </w:rPr>
        <w:t>as</w:t>
      </w:r>
      <w:r>
        <w:rPr>
          <w:rFonts w:ascii="Arial" w:hAnsi="Arial" w:cs="Arial"/>
        </w:rPr>
        <w:t xml:space="preserve"> 1.00 after the first round of inference, </w:t>
      </w:r>
      <w:r w:rsidR="0034681D">
        <w:rPr>
          <w:rFonts w:ascii="Arial" w:hAnsi="Arial" w:cs="Arial"/>
        </w:rPr>
        <w:t xml:space="preserve">further rounds were not feasible given the apparent misspecification remaining and the poor </w:t>
      </w:r>
      <w:r w:rsidR="0034681D">
        <w:rPr>
          <w:rFonts w:ascii="Arial" w:hAnsi="Arial" w:cs="Arial"/>
        </w:rPr>
        <w:lastRenderedPageBreak/>
        <w:t>ability of neural density estimator</w:t>
      </w:r>
      <w:r w:rsidR="00F1798F">
        <w:rPr>
          <w:rFonts w:ascii="Arial" w:hAnsi="Arial" w:cs="Arial"/>
        </w:rPr>
        <w:t>s</w:t>
      </w:r>
      <w:r w:rsidR="0034681D">
        <w:rPr>
          <w:rFonts w:ascii="Arial" w:hAnsi="Arial" w:cs="Arial"/>
        </w:rPr>
        <w:t xml:space="preserve"> to condition the posterior towards an observation outside of prior support</w:t>
      </w:r>
      <w:r w:rsidR="00F1798F">
        <w:rPr>
          <w:rFonts w:ascii="Arial" w:hAnsi="Arial" w:cs="Arial"/>
        </w:rPr>
        <w:t xml:space="preserve"> (citation?) (maybe put this after main discussion of posteriors). However, after one round of inference, informative posteriors were recovered for all parameters in our model of wildcat evolution.</w:t>
      </w:r>
    </w:p>
    <w:p w14:paraId="1B38C4A5" w14:textId="77777777" w:rsidR="00C4111E" w:rsidRDefault="00C4111E" w:rsidP="00C177DF">
      <w:pPr>
        <w:spacing w:line="480" w:lineRule="auto"/>
        <w:jc w:val="both"/>
        <w:rPr>
          <w:rFonts w:ascii="Arial" w:hAnsi="Arial" w:cs="Arial"/>
        </w:rPr>
      </w:pPr>
    </w:p>
    <w:p w14:paraId="066A1D30" w14:textId="77777777" w:rsidR="00C4111E" w:rsidRDefault="00C4111E" w:rsidP="00C177DF">
      <w:pPr>
        <w:spacing w:line="480" w:lineRule="auto"/>
        <w:jc w:val="both"/>
        <w:rPr>
          <w:rFonts w:ascii="Arial" w:hAnsi="Arial" w:cs="Arial"/>
        </w:rPr>
      </w:pPr>
    </w:p>
    <w:p w14:paraId="0FDD6443" w14:textId="77777777" w:rsidR="00C4111E" w:rsidRDefault="00C4111E" w:rsidP="00C177DF">
      <w:pPr>
        <w:spacing w:line="480" w:lineRule="auto"/>
        <w:jc w:val="both"/>
        <w:rPr>
          <w:rFonts w:ascii="Arial" w:hAnsi="Arial" w:cs="Arial"/>
        </w:rPr>
      </w:pPr>
    </w:p>
    <w:p w14:paraId="15F255B3" w14:textId="40C21C4A" w:rsidR="00340E41" w:rsidRPr="00AE1595" w:rsidRDefault="00340E41" w:rsidP="00C177DF">
      <w:pPr>
        <w:spacing w:line="480" w:lineRule="auto"/>
        <w:jc w:val="both"/>
        <w:rPr>
          <w:rFonts w:ascii="Arial" w:hAnsi="Arial" w:cs="Arial"/>
        </w:rPr>
      </w:pPr>
      <w:r w:rsidRPr="00AE1595">
        <w:rPr>
          <w:rFonts w:ascii="Arial" w:hAnsi="Arial" w:cs="Arial"/>
        </w:rPr>
        <w:t xml:space="preserve">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sidRPr="00AE1595">
        <w:rPr>
          <w:rFonts w:ascii="Arial" w:hAnsi="Arial" w:cs="Arial"/>
        </w:rPr>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C177DF">
      <w:pPr>
        <w:spacing w:line="480" w:lineRule="auto"/>
        <w:jc w:val="both"/>
        <w:rPr>
          <w:rFonts w:ascii="Arial" w:hAnsi="Arial" w:cs="Arial"/>
        </w:rPr>
      </w:pPr>
    </w:p>
    <w:p w14:paraId="697342D9"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4.1. Conclusions for demography</w:t>
      </w:r>
    </w:p>
    <w:p w14:paraId="05D860B1" w14:textId="44903FE1" w:rsidR="00340E41" w:rsidRPr="00AE1595" w:rsidRDefault="00340E41" w:rsidP="00C177DF">
      <w:pPr>
        <w:spacing w:line="480" w:lineRule="auto"/>
        <w:jc w:val="both"/>
        <w:rPr>
          <w:rFonts w:ascii="Arial" w:hAnsi="Arial" w:cs="Arial"/>
        </w:rPr>
      </w:pPr>
      <w:r w:rsidRPr="00AE1595">
        <w:rPr>
          <w:rFonts w:ascii="Arial" w:hAnsi="Arial" w:cs="Arial"/>
        </w:rPr>
        <w:t xml:space="preserve">Firstly, the distributions for migration rate and the duration of migration of genetic material from </w:t>
      </w:r>
      <w:r w:rsidR="00F225F9">
        <w:rPr>
          <w:rFonts w:ascii="Arial" w:hAnsi="Arial" w:cs="Arial"/>
        </w:rPr>
        <w:t>domestic</w:t>
      </w:r>
      <w:r w:rsidRPr="00AE1595">
        <w:rPr>
          <w:rFonts w:ascii="Arial" w:hAnsi="Arial" w:cs="Arial"/>
        </w:rPr>
        <w:t xml:space="preserve">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w:t>
      </w:r>
      <w:r w:rsidRPr="00AE1595">
        <w:rPr>
          <w:rFonts w:ascii="Arial" w:hAnsi="Arial" w:cs="Arial"/>
        </w:rPr>
        <w:lastRenderedPageBreak/>
        <w:t>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t>
      </w:r>
      <w:r w:rsidR="00F225F9">
        <w:rPr>
          <w:rFonts w:ascii="Arial" w:hAnsi="Arial" w:cs="Arial"/>
        </w:rPr>
        <w:t>domestics</w:t>
      </w:r>
      <w:r w:rsidRPr="00AE1595">
        <w:rPr>
          <w:rFonts w:ascii="Arial" w:hAnsi="Arial" w:cs="Arial"/>
        </w:rPr>
        <w:t xml:space="preserve"> and </w:t>
      </w:r>
      <w:r w:rsidR="00AA5E1C">
        <w:rPr>
          <w:rFonts w:ascii="Arial" w:hAnsi="Arial" w:cs="Arial"/>
        </w:rPr>
        <w:t>wildcat</w:t>
      </w:r>
      <w:r w:rsidRPr="00AE1595">
        <w:rPr>
          <w:rFonts w:ascii="Arial" w:hAnsi="Arial" w:cs="Arial"/>
        </w:rPr>
        <w:t>s occurred, emphasizing the importance of this captive population as a resource for repopulation.</w:t>
      </w:r>
    </w:p>
    <w:p w14:paraId="59022251" w14:textId="77777777" w:rsidR="00340E41" w:rsidRPr="00AE1595" w:rsidRDefault="00340E41" w:rsidP="00C177DF">
      <w:pPr>
        <w:spacing w:line="480" w:lineRule="auto"/>
        <w:jc w:val="both"/>
        <w:rPr>
          <w:rFonts w:ascii="Arial" w:hAnsi="Arial" w:cs="Arial"/>
        </w:rPr>
      </w:pPr>
    </w:p>
    <w:p w14:paraId="41EB6A39" w14:textId="04ED2639" w:rsidR="00340E41" w:rsidRPr="00AE1595" w:rsidRDefault="00340E41" w:rsidP="00C177DF">
      <w:pPr>
        <w:spacing w:line="480" w:lineRule="auto"/>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xml:space="preserve">). This is far lower than the current census estimate of population size for </w:t>
      </w:r>
      <w:r w:rsidR="00F225F9">
        <w:rPr>
          <w:rFonts w:ascii="Arial" w:hAnsi="Arial" w:cs="Arial"/>
        </w:rPr>
        <w:t>domestic</w:t>
      </w:r>
      <w:r w:rsidRPr="00AE1595">
        <w:rPr>
          <w:rFonts w:ascii="Arial" w:hAnsi="Arial" w:cs="Arial"/>
        </w:rPr>
        <w:t xml:space="preserve">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w:t>
      </w:r>
      <w:r w:rsidR="00F225F9">
        <w:rPr>
          <w:rFonts w:ascii="Arial" w:hAnsi="Arial" w:cs="Arial"/>
        </w:rPr>
        <w:t>domestics</w:t>
      </w:r>
      <w:r w:rsidRPr="00AE1595">
        <w:rPr>
          <w:rFonts w:ascii="Arial" w:hAnsi="Arial" w:cs="Arial"/>
        </w:rPr>
        <w:t xml:space="preserve">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(CATS Report Scotland, 2021; Kaeuffer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t>
      </w:r>
      <w:r w:rsidR="00AA5E1C">
        <w:rPr>
          <w:rFonts w:ascii="Arial" w:hAnsi="Arial" w:cs="Arial"/>
        </w:rPr>
        <w:t>wildcat</w:t>
      </w:r>
      <w:r w:rsidRPr="00AE1595">
        <w:rPr>
          <w:rFonts w:ascii="Arial" w:hAnsi="Arial" w:cs="Arial"/>
        </w:rPr>
        <w: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C177DF">
      <w:pPr>
        <w:spacing w:line="480" w:lineRule="auto"/>
        <w:jc w:val="both"/>
        <w:rPr>
          <w:rFonts w:ascii="Arial" w:hAnsi="Arial" w:cs="Arial"/>
        </w:rPr>
      </w:pPr>
    </w:p>
    <w:p w14:paraId="425BEB9A" w14:textId="6C9B4C12" w:rsidR="00340E41" w:rsidRPr="00AE1595" w:rsidRDefault="00340E41" w:rsidP="00C177DF">
      <w:pPr>
        <w:spacing w:line="480" w:lineRule="auto"/>
        <w:jc w:val="both"/>
        <w:rPr>
          <w:rFonts w:ascii="Arial" w:hAnsi="Arial" w:cs="Arial"/>
        </w:rPr>
      </w:pPr>
      <w:r w:rsidRPr="00AE1595">
        <w:rPr>
          <w:rFonts w:ascii="Arial" w:hAnsi="Arial" w:cs="Arial"/>
        </w:rPr>
        <w:t xml:space="preserve">Our second round posteriors for the effective divergence times of </w:t>
      </w:r>
      <w:r w:rsidR="00F225F9">
        <w:rPr>
          <w:rFonts w:ascii="Arial" w:hAnsi="Arial" w:cs="Arial"/>
        </w:rPr>
        <w:t>domestic</w:t>
      </w:r>
      <w:r w:rsidRPr="00AE1595">
        <w:rPr>
          <w:rFonts w:ascii="Arial" w:hAnsi="Arial" w:cs="Arial"/>
        </w:rPr>
        <w:t xml:space="preserve">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xml:space="preserve">) were not estimated with any more density than our priors, </w:t>
      </w:r>
      <w:r w:rsidRPr="00AE1595">
        <w:rPr>
          <w:rFonts w:ascii="Arial" w:hAnsi="Arial" w:cs="Arial"/>
        </w:rPr>
        <w:lastRenderedPageBreak/>
        <w:t>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C177DF">
      <w:pPr>
        <w:spacing w:line="480" w:lineRule="auto"/>
        <w:jc w:val="both"/>
        <w:rPr>
          <w:rFonts w:ascii="Arial" w:hAnsi="Arial" w:cs="Arial"/>
        </w:rPr>
      </w:pPr>
    </w:p>
    <w:p w14:paraId="190D8150" w14:textId="77777777" w:rsidR="00340E41" w:rsidRPr="00AE1595" w:rsidRDefault="00340E41" w:rsidP="00C177DF">
      <w:pPr>
        <w:spacing w:line="480" w:lineRule="auto"/>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C177DF">
      <w:pPr>
        <w:spacing w:line="480" w:lineRule="auto"/>
        <w:jc w:val="both"/>
        <w:rPr>
          <w:rFonts w:ascii="Arial" w:hAnsi="Arial" w:cs="Arial"/>
        </w:rPr>
      </w:pPr>
      <w:r w:rsidRPr="00B50E30">
        <w:rPr>
          <w:rFonts w:ascii="Arial" w:hAnsi="Arial" w:cs="Arial"/>
          <w:highlight w:val="red"/>
        </w:rPr>
        <w:t xml:space="preserve">In traditional ABC approaches, much importance was placed on the selection and optimization of summary statistics. This was mainly due to </w:t>
      </w:r>
      <w:r w:rsidR="0095182B" w:rsidRPr="00B50E30">
        <w:rPr>
          <w:rFonts w:ascii="Arial" w:hAnsi="Arial" w:cs="Arial"/>
          <w:highlight w:val="red"/>
        </w:rPr>
        <w:t xml:space="preserve">the </w:t>
      </w:r>
      <w:r w:rsidR="00851926" w:rsidRPr="00B50E30">
        <w:rPr>
          <w:rFonts w:ascii="Arial" w:hAnsi="Arial" w:cs="Arial"/>
          <w:highlight w:val="red"/>
        </w:rPr>
        <w:t xml:space="preserve">unnecessary increase in dimensionality </w:t>
      </w:r>
      <w:r w:rsidR="00EA186B" w:rsidRPr="00B50E30">
        <w:rPr>
          <w:rFonts w:ascii="Arial" w:hAnsi="Arial" w:cs="Arial"/>
          <w:highlight w:val="red"/>
        </w:rPr>
        <w:t>caused</w:t>
      </w:r>
      <w:r w:rsidR="00851926" w:rsidRPr="00B50E30">
        <w:rPr>
          <w:rFonts w:ascii="Arial" w:hAnsi="Arial" w:cs="Arial"/>
          <w:highlight w:val="red"/>
        </w:rPr>
        <w:t xml:space="preserve"> by</w:t>
      </w:r>
      <w:r w:rsidRPr="00B50E30">
        <w:rPr>
          <w:rFonts w:ascii="Arial" w:hAnsi="Arial" w:cs="Arial"/>
          <w:highlight w:val="red"/>
        </w:rPr>
        <w:t xml:space="preserve"> uninformative summary statistics</w:t>
      </w:r>
      <w:r w:rsidR="00EA186B" w:rsidRPr="00B50E30">
        <w:rPr>
          <w:rFonts w:ascii="Arial" w:hAnsi="Arial" w:cs="Arial"/>
          <w:highlight w:val="red"/>
        </w:rPr>
        <w:t>, which resulted in less precise posterior estimates</w:t>
      </w:r>
      <w:r w:rsidRPr="00B50E30">
        <w:rPr>
          <w:rFonts w:ascii="Arial" w:hAnsi="Arial" w:cs="Arial"/>
          <w:highlight w:val="red"/>
        </w:rPr>
        <w:t xml:space="preserve">. As a result, much time and effort was taken to develop techniques to optimize the summary statistics used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(Aeschbacher et al., 2012)</w:t>
      </w:r>
      <w:r w:rsidR="00BC0C48" w:rsidRPr="00B50E30">
        <w:rPr>
          <w:rFonts w:ascii="Arial" w:hAnsi="Arial" w:cs="Arial"/>
          <w:highlight w:val="red"/>
        </w:rPr>
        <w:fldChar w:fldCharType="end"/>
      </w:r>
      <w:r w:rsidRPr="00B50E30">
        <w:rPr>
          <w:rFonts w:ascii="Arial" w:hAnsi="Arial" w:cs="Arial"/>
          <w:highlight w:val="red"/>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B50E30">
        <w:rPr>
          <w:rFonts w:ascii="Arial" w:hAnsi="Arial" w:cs="Arial"/>
          <w:highlight w:val="red"/>
        </w:rPr>
        <w:fldChar w:fldCharType="begin"/>
      </w:r>
      <w:r w:rsidR="00BC0C48" w:rsidRPr="00B50E30">
        <w:rPr>
          <w:rFonts w:ascii="Arial" w:hAnsi="Arial" w:cs="Arial"/>
          <w:highlight w:val="red"/>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B50E30">
        <w:rPr>
          <w:rFonts w:ascii="Arial" w:hAnsi="Arial" w:cs="Arial"/>
          <w:highlight w:val="red"/>
        </w:rPr>
        <w:fldChar w:fldCharType="separate"/>
      </w:r>
      <w:r w:rsidR="00BC0C48" w:rsidRPr="00B50E30">
        <w:rPr>
          <w:rFonts w:ascii="Arial" w:hAnsi="Arial" w:cs="Arial"/>
          <w:highlight w:val="red"/>
        </w:rPr>
        <w:t>(Greenberg et al., 2019)</w:t>
      </w:r>
      <w:r w:rsidR="00BC0C48" w:rsidRPr="00B50E30">
        <w:rPr>
          <w:rFonts w:ascii="Arial" w:hAnsi="Arial" w:cs="Arial"/>
          <w:highlight w:val="red"/>
        </w:rPr>
        <w:fldChar w:fldCharType="end"/>
      </w:r>
      <w:r w:rsidRPr="00B50E30">
        <w:rPr>
          <w:rFonts w:ascii="Arial" w:hAnsi="Arial" w:cs="Arial"/>
          <w:highlight w:val="red"/>
        </w:rPr>
        <w:t>. Consequently, one advantage of our approach is that the only drawback of using a very large number of summary statistics is the extra time and memory it takes to calculate and handle these statistics</w:t>
      </w:r>
      <w:r w:rsidRPr="00AE1595">
        <w:rPr>
          <w:rFonts w:ascii="Arial" w:hAnsi="Arial" w:cs="Arial"/>
        </w:rPr>
        <w:t>.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C177DF">
      <w:pPr>
        <w:spacing w:line="480" w:lineRule="auto"/>
        <w:jc w:val="both"/>
        <w:rPr>
          <w:rFonts w:ascii="Arial" w:hAnsi="Arial" w:cs="Arial"/>
        </w:rPr>
      </w:pPr>
    </w:p>
    <w:p w14:paraId="490A381E" w14:textId="62DCFBB6" w:rsidR="00BC0C48" w:rsidRPr="00AE1595" w:rsidRDefault="00BC0C48" w:rsidP="00C177DF">
      <w:pPr>
        <w:pStyle w:val="ListParagraph"/>
        <w:numPr>
          <w:ilvl w:val="0"/>
          <w:numId w:val="19"/>
        </w:numPr>
        <w:spacing w:line="480" w:lineRule="auto"/>
        <w:jc w:val="both"/>
        <w:rPr>
          <w:rFonts w:ascii="Arial" w:hAnsi="Arial" w:cs="Arial"/>
        </w:rPr>
      </w:pPr>
      <w:r w:rsidRPr="00AE1595">
        <w:rPr>
          <w:rFonts w:ascii="Arial" w:hAnsi="Arial" w:cs="Arial"/>
        </w:rPr>
        <w:lastRenderedPageBreak/>
        <w:t>Rewrite this paragraph</w:t>
      </w:r>
    </w:p>
    <w:p w14:paraId="03245560" w14:textId="77777777" w:rsidR="00340E41" w:rsidRPr="00AE1595" w:rsidRDefault="00340E41" w:rsidP="00C177DF">
      <w:pPr>
        <w:spacing w:line="480" w:lineRule="auto"/>
        <w:jc w:val="both"/>
        <w:rPr>
          <w:rFonts w:ascii="Arial" w:hAnsi="Arial" w:cs="Arial"/>
        </w:rPr>
      </w:pPr>
    </w:p>
    <w:p w14:paraId="23EBE645"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 xml:space="preserve">4.3. Possible model improvements </w:t>
      </w:r>
    </w:p>
    <w:p w14:paraId="2BEDA6DB" w14:textId="5F4C6D73" w:rsidR="00340E41" w:rsidRPr="00AE1595" w:rsidRDefault="00340E41" w:rsidP="00C177DF">
      <w:pPr>
        <w:spacing w:line="480" w:lineRule="auto"/>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w:t>
      </w:r>
      <w:r w:rsidR="00F225F9">
        <w:rPr>
          <w:rFonts w:ascii="Arial" w:hAnsi="Arial" w:cs="Arial"/>
        </w:rPr>
        <w:t>domestics</w:t>
      </w:r>
      <w:r w:rsidRPr="00AE1595">
        <w:rPr>
          <w:rFonts w:ascii="Arial" w:hAnsi="Arial" w:cs="Arial"/>
        </w:rPr>
        <w:t xml:space="preserve">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C177DF">
      <w:pPr>
        <w:spacing w:line="480" w:lineRule="auto"/>
        <w:jc w:val="both"/>
        <w:rPr>
          <w:rFonts w:ascii="Arial" w:hAnsi="Arial" w:cs="Arial"/>
        </w:rPr>
      </w:pPr>
    </w:p>
    <w:p w14:paraId="184129E2" w14:textId="2AAFEC3C" w:rsidR="00FA2903" w:rsidRPr="00AE1595" w:rsidRDefault="00340E41" w:rsidP="00C177DF">
      <w:pPr>
        <w:spacing w:line="480" w:lineRule="auto"/>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w:t>
      </w:r>
      <w:r w:rsidRPr="00AE1595">
        <w:rPr>
          <w:rFonts w:ascii="Arial" w:hAnsi="Arial" w:cs="Arial"/>
        </w:rPr>
        <w:lastRenderedPageBreak/>
        <w:t xml:space="preserve">most accurate posterior estimates possible, future studies of </w:t>
      </w:r>
      <w:r w:rsidR="00AA5E1C">
        <w:rPr>
          <w:rFonts w:ascii="Arial" w:hAnsi="Arial" w:cs="Arial"/>
        </w:rPr>
        <w:t>wildcat</w:t>
      </w:r>
      <w:r w:rsidRPr="00AE1595">
        <w:rPr>
          <w:rFonts w:ascii="Arial" w:hAnsi="Arial" w:cs="Arial"/>
        </w:rPr>
        <w:t xml:space="preserve">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populations. In particular, it has been shown that Scottish </w:t>
      </w:r>
      <w:r w:rsidR="00AA5E1C">
        <w:rPr>
          <w:rFonts w:ascii="Arial" w:hAnsi="Arial" w:cs="Arial"/>
        </w:rPr>
        <w:t>wildcat</w:t>
      </w:r>
      <w:r w:rsidRPr="00AE1595">
        <w:rPr>
          <w:rFonts w:ascii="Arial" w:hAnsi="Arial" w:cs="Arial"/>
        </w:rPr>
        <w:t xml:space="preserve">s are most genetically similar to </w:t>
      </w:r>
      <w:r w:rsidR="00AA5E1C">
        <w:rPr>
          <w:rFonts w:ascii="Arial" w:hAnsi="Arial" w:cs="Arial"/>
        </w:rPr>
        <w:t>wildcat</w:t>
      </w:r>
      <w:r w:rsidRPr="00AE1595">
        <w:rPr>
          <w:rFonts w:ascii="Arial" w:hAnsi="Arial" w:cs="Arial"/>
        </w:rPr>
        <w:t xml:space="preserve">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(Beugin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C177DF">
      <w:pPr>
        <w:spacing w:line="480" w:lineRule="auto"/>
        <w:jc w:val="both"/>
        <w:rPr>
          <w:rFonts w:ascii="Arial" w:hAnsi="Arial" w:cs="Arial"/>
        </w:rPr>
      </w:pPr>
    </w:p>
    <w:p w14:paraId="5B12A2E8" w14:textId="767CF94F" w:rsidR="00340E41" w:rsidRDefault="00340E41" w:rsidP="00C177DF">
      <w:pPr>
        <w:spacing w:line="480" w:lineRule="auto"/>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xml:space="preserve">. Although the PCA for our first round MAP model implies to some extent a good fit of our model to the observed </w:t>
      </w:r>
      <w:r w:rsidRPr="00AE1595">
        <w:rPr>
          <w:rFonts w:ascii="Arial" w:hAnsi="Arial" w:cs="Arial"/>
        </w:rPr>
        <w:lastRenderedPageBreak/>
        <w:t>data (</w:t>
      </w:r>
      <w:r w:rsidRPr="00AE1595">
        <w:rPr>
          <w:rFonts w:ascii="Arial" w:hAnsi="Arial" w:cs="Arial"/>
          <w:i/>
          <w:iCs/>
        </w:rPr>
        <w:t xml:space="preserve">Fig. </w:t>
      </w:r>
      <w:r w:rsidR="00281A3A">
        <w:rPr>
          <w:rFonts w:ascii="Arial" w:hAnsi="Arial" w:cs="Arial"/>
          <w:i/>
          <w:iCs/>
        </w:rPr>
        <w:t>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44B506B4" w14:textId="77777777" w:rsidR="00CA30E6" w:rsidRDefault="00CA30E6" w:rsidP="00C177DF">
      <w:pPr>
        <w:spacing w:line="480" w:lineRule="auto"/>
        <w:jc w:val="both"/>
        <w:rPr>
          <w:rFonts w:ascii="Arial" w:hAnsi="Arial" w:cs="Arial"/>
        </w:rPr>
      </w:pPr>
    </w:p>
    <w:p w14:paraId="19594993" w14:textId="3539C6E6" w:rsidR="00CA30E6" w:rsidRDefault="00CA30E6" w:rsidP="00C177DF">
      <w:pPr>
        <w:spacing w:line="480" w:lineRule="auto"/>
        <w:jc w:val="both"/>
        <w:rPr>
          <w:rFonts w:ascii="Arial" w:hAnsi="Arial" w:cs="Arial"/>
        </w:rPr>
      </w:pPr>
      <w:r w:rsidRPr="007110C2">
        <w:rPr>
          <w:rFonts w:ascii="Arial" w:hAnsi="Arial" w:cs="Arial"/>
          <w:highlight w:val="yellow"/>
        </w:rPr>
        <w:t xml:space="preserve">Correlation of these parameters indicates that the data may lack features that </w:t>
      </w:r>
      <w:r w:rsidR="00EE2B56">
        <w:rPr>
          <w:rFonts w:ascii="Arial" w:hAnsi="Arial" w:cs="Arial"/>
          <w:highlight w:val="yellow"/>
        </w:rPr>
        <w:t>uniquely</w:t>
      </w:r>
      <w:r w:rsidRPr="007110C2">
        <w:rPr>
          <w:rFonts w:ascii="Arial" w:hAnsi="Arial" w:cs="Arial"/>
          <w:highlight w:val="yellow"/>
        </w:rPr>
        <w:t xml:space="preserve"> describe these parameters, and features determining one parameter will also determine the other </w:t>
      </w:r>
      <w:r w:rsidRPr="007110C2">
        <w:rPr>
          <w:rFonts w:ascii="Arial" w:hAnsi="Arial" w:cs="Arial"/>
          <w:highlight w:val="yellow"/>
        </w:rPr>
        <w:fldChar w:fldCharType="begin"/>
      </w:r>
      <w:r w:rsidRPr="007110C2">
        <w:rPr>
          <w:rFonts w:ascii="Arial" w:hAnsi="Arial" w:cs="Arial"/>
          <w:highlight w:val="yellow"/>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Pr="007110C2">
        <w:rPr>
          <w:rFonts w:ascii="Arial" w:hAnsi="Arial" w:cs="Arial"/>
          <w:highlight w:val="yellow"/>
        </w:rPr>
        <w:fldChar w:fldCharType="separate"/>
      </w:r>
      <w:r w:rsidRPr="007110C2">
        <w:rPr>
          <w:rFonts w:ascii="Arial" w:hAnsi="Arial" w:cs="Arial"/>
          <w:highlight w:val="yellow"/>
        </w:rPr>
        <w:t>(Li &amp; Vu, 2013)</w:t>
      </w:r>
      <w:r w:rsidRPr="007110C2">
        <w:rPr>
          <w:rFonts w:ascii="Arial" w:hAnsi="Arial" w:cs="Arial"/>
          <w:highlight w:val="yellow"/>
        </w:rPr>
        <w:fldChar w:fldCharType="end"/>
      </w:r>
      <w:r w:rsidRPr="007110C2">
        <w:rPr>
          <w:rFonts w:ascii="Arial" w:hAnsi="Arial" w:cs="Arial"/>
          <w:highlight w:val="yellow"/>
        </w:rPr>
        <w:t>.</w:t>
      </w:r>
      <w:r w:rsidRPr="00AE1595">
        <w:rPr>
          <w:rFonts w:ascii="Arial" w:hAnsi="Arial" w:cs="Arial"/>
        </w:rPr>
        <w:t xml:space="preserve"> </w:t>
      </w:r>
    </w:p>
    <w:p w14:paraId="3F2B204E" w14:textId="77777777" w:rsidR="00CA66B4" w:rsidRDefault="00CA66B4" w:rsidP="00C177DF">
      <w:pPr>
        <w:spacing w:line="480" w:lineRule="auto"/>
        <w:jc w:val="both"/>
        <w:rPr>
          <w:rFonts w:ascii="Arial" w:hAnsi="Arial" w:cs="Arial"/>
        </w:rPr>
      </w:pPr>
    </w:p>
    <w:p w14:paraId="2CB799E6" w14:textId="1186147B" w:rsidR="00CA66B4" w:rsidRPr="00AE1595" w:rsidRDefault="00CA66B4" w:rsidP="00C177DF">
      <w:pPr>
        <w:spacing w:line="480" w:lineRule="auto"/>
        <w:jc w:val="both"/>
        <w:rPr>
          <w:rFonts w:ascii="Arial" w:hAnsi="Arial" w:cs="Arial"/>
        </w:rPr>
      </w:pPr>
      <w:r>
        <w:rPr>
          <w:rFonts w:ascii="Arial" w:hAnsi="Arial" w:cs="Arial"/>
        </w:rPr>
        <w:t>Use Procrustes rotation on PCA for pca based stats to reduce noise.</w:t>
      </w:r>
    </w:p>
    <w:p w14:paraId="75007319" w14:textId="77777777" w:rsidR="00340E41" w:rsidRPr="00AE1595" w:rsidRDefault="00340E41" w:rsidP="00C177DF">
      <w:pPr>
        <w:spacing w:line="480" w:lineRule="auto"/>
        <w:jc w:val="both"/>
        <w:rPr>
          <w:rFonts w:ascii="Arial" w:hAnsi="Arial" w:cs="Arial"/>
        </w:rPr>
      </w:pPr>
    </w:p>
    <w:p w14:paraId="2D4C779A" w14:textId="77777777" w:rsidR="00340E41" w:rsidRPr="00AE1595" w:rsidRDefault="00340E41" w:rsidP="00C177DF">
      <w:pPr>
        <w:spacing w:line="480" w:lineRule="auto"/>
        <w:jc w:val="both"/>
        <w:rPr>
          <w:rFonts w:ascii="Arial" w:hAnsi="Arial" w:cs="Arial"/>
        </w:rPr>
      </w:pPr>
      <w:r w:rsidRPr="00AE1595">
        <w:rPr>
          <w:rFonts w:ascii="Arial" w:hAnsi="Arial" w:cs="Arial"/>
          <w:i/>
          <w:iCs/>
        </w:rPr>
        <w:t>4.4. Genomic data</w:t>
      </w:r>
    </w:p>
    <w:p w14:paraId="6995099D" w14:textId="0CC925F6" w:rsidR="00340E41" w:rsidRDefault="00340E41" w:rsidP="00C177DF">
      <w:pPr>
        <w:spacing w:line="480" w:lineRule="auto"/>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t>
      </w:r>
      <w:r w:rsidRPr="00B50E30">
        <w:rPr>
          <w:rFonts w:ascii="Arial" w:hAnsi="Arial" w:cs="Arial"/>
          <w:highlight w:val="red"/>
        </w:rPr>
        <w:t>which could represent a significant loss of statistical power and present issues of model misspecification with regard to the ‘segregating sites’ summary statistic.</w:t>
      </w:r>
      <w:r w:rsidRPr="00AE1595">
        <w:rPr>
          <w:rFonts w:ascii="Arial" w:hAnsi="Arial" w:cs="Arial"/>
        </w:rPr>
        <w:t xml:space="preserve">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w:t>
      </w:r>
      <w:r w:rsidRPr="00B50E30">
        <w:rPr>
          <w:rFonts w:ascii="Arial" w:hAnsi="Arial" w:cs="Arial"/>
          <w:highlight w:val="red"/>
        </w:rPr>
        <w:t xml:space="preserve">and recovering multiallelic sites to multiple biallelic sites </w:t>
      </w:r>
      <w:r w:rsidR="00A62D39" w:rsidRPr="00B50E30">
        <w:rPr>
          <w:rFonts w:ascii="Arial" w:hAnsi="Arial" w:cs="Arial"/>
          <w:highlight w:val="red"/>
        </w:rPr>
        <w:t>that</w:t>
      </w:r>
      <w:r w:rsidRPr="00B50E30">
        <w:rPr>
          <w:rFonts w:ascii="Arial" w:hAnsi="Arial" w:cs="Arial"/>
          <w:highlight w:val="red"/>
        </w:rPr>
        <w:t xml:space="preserve"> match the simulated data</w:t>
      </w:r>
      <w:r w:rsidR="00B50E30">
        <w:rPr>
          <w:rFonts w:ascii="Arial" w:hAnsi="Arial" w:cs="Arial"/>
        </w:rPr>
        <w:t xml:space="preserve"> and implementing a multiallelic alleles into the simulations to best match the observed data</w:t>
      </w:r>
      <w:r w:rsidRPr="00AE1595">
        <w:rPr>
          <w:rFonts w:ascii="Arial" w:hAnsi="Arial" w:cs="Arial"/>
        </w:rPr>
        <w:t xml:space="preserve">.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xml:space="preserve">. Finally, as for any study using genetic data, obtaining greater numbers of samples for each population would give a </w:t>
      </w:r>
      <w:r w:rsidRPr="00AE1595">
        <w:rPr>
          <w:rFonts w:ascii="Arial" w:hAnsi="Arial" w:cs="Arial"/>
        </w:rPr>
        <w:lastRenderedPageBreak/>
        <w:t>more representative data set and improve the accuracy of summary statistics calculated, therefore providing better inferences.</w:t>
      </w:r>
    </w:p>
    <w:p w14:paraId="446CD5BE" w14:textId="77777777" w:rsidR="00FA2903" w:rsidRDefault="00FA2903" w:rsidP="00C177DF">
      <w:pPr>
        <w:spacing w:line="480" w:lineRule="auto"/>
        <w:jc w:val="both"/>
        <w:rPr>
          <w:rFonts w:ascii="Arial" w:hAnsi="Arial" w:cs="Arial"/>
        </w:rPr>
      </w:pPr>
    </w:p>
    <w:p w14:paraId="71D198F9" w14:textId="2375997B" w:rsidR="00FA2903" w:rsidRDefault="00FA2903" w:rsidP="00C177DF">
      <w:pPr>
        <w:spacing w:line="480" w:lineRule="auto"/>
        <w:jc w:val="both"/>
        <w:rPr>
          <w:rFonts w:ascii="Arial" w:hAnsi="Arial" w:cs="Arial"/>
        </w:rPr>
      </w:pPr>
      <w:r w:rsidRPr="00FA2903">
        <w:rPr>
          <w:rFonts w:ascii="Arial" w:hAnsi="Arial" w:cs="Arial"/>
          <w:highlight w:val="yellow"/>
        </w:rPr>
        <w:t>Interestingly, the posteriors for the divergence and population size of the captive Scottish wildcats were both very similar to our priors and only marginally narrower. Given that this was the population for which we had the most samples (65) ….</w:t>
      </w:r>
      <w:r>
        <w:rPr>
          <w:rFonts w:ascii="Arial" w:hAnsi="Arial" w:cs="Arial"/>
        </w:rPr>
        <w:t xml:space="preserve"> </w:t>
      </w:r>
    </w:p>
    <w:p w14:paraId="3C15571D" w14:textId="77777777" w:rsidR="00FA2903" w:rsidRPr="00AE1595" w:rsidRDefault="00FA2903" w:rsidP="00C177DF">
      <w:pPr>
        <w:spacing w:line="480" w:lineRule="auto"/>
        <w:jc w:val="both"/>
        <w:rPr>
          <w:rFonts w:ascii="Arial" w:hAnsi="Arial" w:cs="Arial"/>
        </w:rPr>
      </w:pPr>
    </w:p>
    <w:p w14:paraId="159EAE7E" w14:textId="77777777" w:rsidR="00340E41" w:rsidRPr="00AE1595" w:rsidRDefault="00340E41" w:rsidP="00C177DF">
      <w:pPr>
        <w:spacing w:line="480" w:lineRule="auto"/>
        <w:jc w:val="both"/>
        <w:rPr>
          <w:rFonts w:ascii="Arial" w:hAnsi="Arial" w:cs="Arial"/>
        </w:rPr>
      </w:pPr>
    </w:p>
    <w:p w14:paraId="0398E52E"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4.5. Simulation approach limitations</w:t>
      </w:r>
    </w:p>
    <w:p w14:paraId="1B9CBB2D" w14:textId="34AD1CE2" w:rsidR="00340E41" w:rsidRPr="00AE1595" w:rsidRDefault="00340E41" w:rsidP="00C177DF">
      <w:pPr>
        <w:spacing w:line="480" w:lineRule="auto"/>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00595C60">
        <w:rPr>
          <w:rFonts w:ascii="Arial" w:hAnsi="Arial" w:cs="Arial"/>
        </w:rPr>
        <w:t xml:space="preserve"> </w:t>
      </w:r>
      <w:r w:rsidR="00595C60">
        <w:rPr>
          <w:rFonts w:ascii="Arial" w:hAnsi="Arial" w:cs="Arial"/>
        </w:rPr>
        <w:fldChar w:fldCharType="begin"/>
      </w:r>
      <w:r w:rsidR="00595C60">
        <w:rPr>
          <w:rFonts w:ascii="Arial" w:hAnsi="Arial" w:cs="Arial"/>
        </w:rPr>
        <w:instrText xml:space="preserve"> ADDIN ZOTERO_ITEM CSL_CITATION {"citationID":"chbPNH7l","properties":{"formattedCitation":"(Howard-McCombe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595C60">
        <w:rPr>
          <w:rFonts w:ascii="Arial" w:hAnsi="Arial" w:cs="Arial"/>
        </w:rPr>
        <w:fldChar w:fldCharType="separate"/>
      </w:r>
      <w:r w:rsidR="00595C60" w:rsidRPr="00595C60">
        <w:rPr>
          <w:rFonts w:ascii="Arial" w:hAnsi="Arial" w:cs="Arial"/>
        </w:rPr>
        <w:t>(Howard-McCombe et al., 2021)</w:t>
      </w:r>
      <w:r w:rsidR="00595C60">
        <w:rPr>
          <w:rFonts w:ascii="Arial" w:hAnsi="Arial" w:cs="Arial"/>
        </w:rPr>
        <w:fldChar w:fldCharType="end"/>
      </w:r>
      <w:r w:rsidRPr="00AE1595">
        <w:rPr>
          <w:rFonts w:ascii="Arial" w:hAnsi="Arial" w:cs="Arial"/>
        </w:rPr>
        <w:t xml:space="preserve">.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w:t>
      </w:r>
      <w:r w:rsidRPr="00AE1595">
        <w:rPr>
          <w:rFonts w:ascii="Arial" w:hAnsi="Arial" w:cs="Arial"/>
        </w:rPr>
        <w:lastRenderedPageBreak/>
        <w:t>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C177DF">
      <w:pPr>
        <w:spacing w:line="480" w:lineRule="auto"/>
        <w:jc w:val="both"/>
        <w:rPr>
          <w:rFonts w:ascii="Arial" w:hAnsi="Arial" w:cs="Arial"/>
        </w:rPr>
      </w:pPr>
    </w:p>
    <w:p w14:paraId="41D79A02" w14:textId="77777777" w:rsidR="00340E41" w:rsidRPr="00AE1595" w:rsidRDefault="00340E41" w:rsidP="00C177DF">
      <w:pPr>
        <w:spacing w:line="480" w:lineRule="auto"/>
        <w:jc w:val="both"/>
        <w:rPr>
          <w:rFonts w:ascii="Arial" w:hAnsi="Arial" w:cs="Arial"/>
        </w:rPr>
      </w:pPr>
      <w:r w:rsidRPr="00AE1595">
        <w:rPr>
          <w:rFonts w:ascii="Arial" w:hAnsi="Arial" w:cs="Arial"/>
          <w:i/>
          <w:iCs/>
        </w:rPr>
        <w:t>4.6. Final Conclusions</w:t>
      </w:r>
    </w:p>
    <w:p w14:paraId="073C13A0" w14:textId="1E9CDB4F" w:rsidR="00340E41" w:rsidRPr="00AE1595" w:rsidRDefault="00340E41" w:rsidP="00C177DF">
      <w:pPr>
        <w:spacing w:line="480" w:lineRule="auto"/>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t>
      </w:r>
      <w:r w:rsidR="00AA5E1C">
        <w:rPr>
          <w:rFonts w:ascii="Arial" w:hAnsi="Arial" w:cs="Arial"/>
        </w:rPr>
        <w:t>wildcat</w:t>
      </w:r>
      <w:r w:rsidRPr="00AE1595">
        <w:rPr>
          <w:rFonts w:ascii="Arial" w:hAnsi="Arial" w:cs="Arial"/>
        </w:rPr>
        <w:t xml:space="preserve">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should treat these as point parameters, and aim to obtain a good fit for their data through parametrisation of demographic events. Future efforts to investigate hybridisation in Scottish </w:t>
      </w:r>
      <w:r w:rsidR="00AA5E1C">
        <w:rPr>
          <w:rFonts w:ascii="Arial" w:hAnsi="Arial" w:cs="Arial"/>
        </w:rPr>
        <w:t>wildcat</w:t>
      </w:r>
      <w:r w:rsidRPr="00AE1595">
        <w:rPr>
          <w:rFonts w:ascii="Arial" w:hAnsi="Arial" w:cs="Arial"/>
        </w:rPr>
        <w:t>s should also explore the incorporation of spatial aspects to models of demography to investigate and model the effect of fragmentation in the Scottish population.</w:t>
      </w:r>
    </w:p>
    <w:p w14:paraId="26C98CE3" w14:textId="77777777" w:rsidR="00340E41" w:rsidRPr="00AE1595" w:rsidRDefault="00340E41" w:rsidP="00C177DF">
      <w:pPr>
        <w:spacing w:line="480" w:lineRule="auto"/>
        <w:jc w:val="both"/>
        <w:rPr>
          <w:rFonts w:ascii="Arial" w:hAnsi="Arial" w:cs="Arial"/>
        </w:rPr>
      </w:pPr>
    </w:p>
    <w:p w14:paraId="1D2E96F1" w14:textId="696F4D34" w:rsidR="00340E41" w:rsidRDefault="00340E41" w:rsidP="00C177DF">
      <w:pPr>
        <w:spacing w:line="480" w:lineRule="auto"/>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35DF0B1" w14:textId="77777777" w:rsidR="00602A05" w:rsidRDefault="00602A05" w:rsidP="00C177DF">
      <w:pPr>
        <w:spacing w:line="480" w:lineRule="auto"/>
        <w:jc w:val="both"/>
        <w:rPr>
          <w:rFonts w:ascii="Arial" w:hAnsi="Arial" w:cs="Arial"/>
        </w:rPr>
      </w:pPr>
    </w:p>
    <w:p w14:paraId="2401196B" w14:textId="154B0016" w:rsidR="00602A05" w:rsidRPr="00602A05" w:rsidRDefault="00602A05" w:rsidP="00C177DF">
      <w:pPr>
        <w:pStyle w:val="ListParagraph"/>
        <w:numPr>
          <w:ilvl w:val="0"/>
          <w:numId w:val="19"/>
        </w:numPr>
        <w:spacing w:line="480" w:lineRule="auto"/>
        <w:jc w:val="both"/>
        <w:rPr>
          <w:rFonts w:ascii="Arial" w:hAnsi="Arial" w:cs="Arial"/>
        </w:rPr>
      </w:pPr>
      <w:r>
        <w:rPr>
          <w:rFonts w:ascii="Arial" w:hAnsi="Arial" w:cs="Arial"/>
        </w:rPr>
        <w:lastRenderedPageBreak/>
        <w:t>Future studies should try identifying samples that might be contributin</w:t>
      </w:r>
      <w:r w:rsidR="00F225F9">
        <w:rPr>
          <w:rFonts w:ascii="Arial" w:hAnsi="Arial" w:cs="Arial"/>
        </w:rPr>
        <w:t>g</w:t>
      </w:r>
      <w:r>
        <w:rPr>
          <w:rFonts w:ascii="Arial" w:hAnsi="Arial" w:cs="Arial"/>
        </w:rPr>
        <w:t xml:space="preserve"> to model misspecification. </w:t>
      </w:r>
    </w:p>
    <w:p w14:paraId="0DBC34C3" w14:textId="1F61510D" w:rsidR="005E1FCB" w:rsidRPr="00AE1595" w:rsidRDefault="005E1FCB" w:rsidP="00C177DF">
      <w:pPr>
        <w:spacing w:line="480" w:lineRule="auto"/>
        <w:jc w:val="both"/>
        <w:rPr>
          <w:rFonts w:ascii="Arial" w:hAnsi="Arial" w:cs="Arial"/>
        </w:rPr>
      </w:pP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43FF7D46" w14:textId="77777777" w:rsidR="00595C60" w:rsidRDefault="00AE1595" w:rsidP="00595C60">
      <w:pPr>
        <w:pStyle w:val="Bibliography"/>
      </w:pPr>
      <w:r w:rsidRPr="00AE1595">
        <w:rPr>
          <w:rFonts w:ascii="Arial" w:hAnsi="Arial" w:cs="Arial"/>
        </w:rPr>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595C60" w:rsidRPr="00595C60">
        <w:rPr>
          <w:lang w:val="de-DE"/>
        </w:rPr>
        <w:t xml:space="preserve">Aeschbacher, S., Beaumont, M. A., &amp; Futschik, A. (2012). </w:t>
      </w:r>
      <w:r w:rsidR="00595C60">
        <w:t xml:space="preserve">A novel approach for choosing summary statistics in approximate Bayesian computation. In </w:t>
      </w:r>
      <w:r w:rsidR="00595C60">
        <w:rPr>
          <w:i/>
          <w:iCs/>
        </w:rPr>
        <w:t>Genetics</w:t>
      </w:r>
      <w:r w:rsidR="00595C60">
        <w:t xml:space="preserve"> (Vol. 192, Issue 3, pp. 1027–1047).</w:t>
      </w:r>
    </w:p>
    <w:p w14:paraId="3B75CF2E" w14:textId="77777777" w:rsidR="00595C60" w:rsidRDefault="00595C60" w:rsidP="00595C60">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3199EF01" w14:textId="77777777" w:rsidR="00595C60" w:rsidRDefault="00595C60" w:rsidP="00595C6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7972C44A" w14:textId="77777777" w:rsidR="00595C60" w:rsidRDefault="00595C60" w:rsidP="00595C6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42E13D4C" w14:textId="77777777" w:rsidR="00595C60" w:rsidRDefault="00595C60" w:rsidP="00595C6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55F97489" w14:textId="77777777" w:rsidR="00595C60" w:rsidRDefault="00595C60" w:rsidP="00595C60">
      <w:pPr>
        <w:pStyle w:val="Bibliography"/>
      </w:pPr>
      <w:r>
        <w:t xml:space="preserve">Beaumont, M., &amp; Rannala, B. (2004). The Bayesian revolution in genetics. In </w:t>
      </w:r>
      <w:r>
        <w:rPr>
          <w:i/>
          <w:iCs/>
        </w:rPr>
        <w:t>Nature Reviews Genetics</w:t>
      </w:r>
      <w:r>
        <w:t xml:space="preserve"> (Vol. 5, Issue 4, pp. 251–261). https://doi.org/10.1038/nrg1318</w:t>
      </w:r>
    </w:p>
    <w:p w14:paraId="5DF88322" w14:textId="77777777" w:rsidR="00595C60" w:rsidRDefault="00595C60" w:rsidP="00595C60">
      <w:pPr>
        <w:pStyle w:val="Bibliography"/>
      </w:pPr>
      <w:r>
        <w:lastRenderedPageBreak/>
        <w:t xml:space="preserve">Beaumont, M., Zhang, W., &amp; Balding, D. J. (2002). Approximate Bayesian computation in population genetics. In </w:t>
      </w:r>
      <w:r>
        <w:rPr>
          <w:i/>
          <w:iCs/>
        </w:rPr>
        <w:t>Genetics</w:t>
      </w:r>
      <w:r>
        <w:t xml:space="preserve"> (Vol. 162, Issue 4, pp. 2025–2035).</w:t>
      </w:r>
    </w:p>
    <w:p w14:paraId="21CBA79D" w14:textId="77777777" w:rsidR="00595C60" w:rsidRDefault="00595C60" w:rsidP="00595C6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1CE9F9F8" w14:textId="77777777" w:rsidR="00595C60" w:rsidRDefault="00595C60" w:rsidP="00595C6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572760F4" w14:textId="77777777" w:rsidR="00595C60" w:rsidRDefault="00595C60" w:rsidP="00595C60">
      <w:pPr>
        <w:pStyle w:val="Bibliography"/>
      </w:pPr>
      <w:r>
        <w:t xml:space="preserve">Cannon, P., Ward, D., &amp; Schmon, S. M. (2022). Investigating the impact of model misspecification in neural simulation-based inference. In </w:t>
      </w:r>
      <w:r>
        <w:rPr>
          <w:i/>
          <w:iCs/>
        </w:rPr>
        <w:t>arXiv preprint arXiv:2209.01845</w:t>
      </w:r>
      <w:r>
        <w:t>.</w:t>
      </w:r>
    </w:p>
    <w:p w14:paraId="1CBF63E2" w14:textId="77777777" w:rsidR="00595C60" w:rsidRDefault="00595C60" w:rsidP="00595C60">
      <w:pPr>
        <w:pStyle w:val="Bibliography"/>
      </w:pPr>
      <w:r>
        <w:rPr>
          <w:i/>
          <w:iCs/>
        </w:rPr>
        <w:t>CATS Report Scotland</w:t>
      </w:r>
      <w:r>
        <w:t>. (2021). [Report]. Cats Protection.</w:t>
      </w:r>
    </w:p>
    <w:p w14:paraId="75679683" w14:textId="77777777" w:rsidR="00595C60" w:rsidRDefault="00595C60" w:rsidP="00595C60">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22060F63" w14:textId="77777777" w:rsidR="00595C60" w:rsidRDefault="00595C60" w:rsidP="00595C6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5D88FCBD" w14:textId="77777777" w:rsidR="00595C60" w:rsidRDefault="00595C60" w:rsidP="00595C60">
      <w:pPr>
        <w:pStyle w:val="Bibliography"/>
      </w:pPr>
      <w:r>
        <w:t xml:space="preserve">Durkan, C., Papamakarios, G., &amp; Murray, I. (2018). Sequential neural methods for likelihood-free inference. </w:t>
      </w:r>
      <w:r>
        <w:rPr>
          <w:i/>
          <w:iCs/>
        </w:rPr>
        <w:t>arXiv Preprint arXiv:1811.08723</w:t>
      </w:r>
      <w:r>
        <w:t>.</w:t>
      </w:r>
    </w:p>
    <w:p w14:paraId="6B54CC34" w14:textId="77777777" w:rsidR="00595C60" w:rsidRDefault="00595C60" w:rsidP="00595C60">
      <w:pPr>
        <w:pStyle w:val="Bibliography"/>
      </w:pPr>
      <w:r w:rsidRPr="00595C6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2F2AD629" w14:textId="77777777" w:rsidR="00595C60" w:rsidRDefault="00595C60" w:rsidP="00595C60">
      <w:pPr>
        <w:pStyle w:val="Bibliography"/>
      </w:pPr>
      <w:r>
        <w:t xml:space="preserve">Furia, C. S., &amp; Churchill, R. M. (2022). Normalizing flows for likelihood-free inference with fusion simulations. In </w:t>
      </w:r>
      <w:r>
        <w:rPr>
          <w:i/>
          <w:iCs/>
        </w:rPr>
        <w:t>Plasma Physics and Controlled Fusion</w:t>
      </w:r>
      <w:r>
        <w:t xml:space="preserve"> (Vol. 64, Issue 10, p. 104003).</w:t>
      </w:r>
    </w:p>
    <w:p w14:paraId="1966B2B2" w14:textId="77777777" w:rsidR="00595C60" w:rsidRDefault="00595C60" w:rsidP="00595C60">
      <w:pPr>
        <w:pStyle w:val="Bibliography"/>
      </w:pPr>
      <w:r>
        <w:lastRenderedPageBreak/>
        <w:t xml:space="preserve">Gabry, J., Simpson, D., Vehtari, A., Betancourt, M., &amp; Gelman, A. (2019). Visualization in Bayesian Workflow. </w:t>
      </w:r>
      <w:r>
        <w:rPr>
          <w:i/>
          <w:iCs/>
        </w:rPr>
        <w:t>Journal of the Royal Statistical Society Series A: Statistics in Society</w:t>
      </w:r>
      <w:r>
        <w:t xml:space="preserve">, </w:t>
      </w:r>
      <w:r>
        <w:rPr>
          <w:i/>
          <w:iCs/>
        </w:rPr>
        <w:t>182</w:t>
      </w:r>
      <w:r>
        <w:t>(2), 389–402. https://doi.org/10.1111/rssa.12378</w:t>
      </w:r>
    </w:p>
    <w:p w14:paraId="13E21B4D" w14:textId="77777777" w:rsidR="00595C60" w:rsidRPr="00595C60" w:rsidRDefault="00595C60" w:rsidP="00595C6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595C60">
        <w:rPr>
          <w:lang w:val="de-DE"/>
        </w:rPr>
        <w:t xml:space="preserve">In </w:t>
      </w:r>
      <w:r w:rsidRPr="00595C60">
        <w:rPr>
          <w:i/>
          <w:iCs/>
          <w:lang w:val="de-DE"/>
        </w:rPr>
        <w:t>eLife</w:t>
      </w:r>
      <w:r w:rsidRPr="00595C60">
        <w:rPr>
          <w:lang w:val="de-DE"/>
        </w:rPr>
        <w:t xml:space="preserve"> (Vol. 9, p. e56261). https://doi.org/10.7554/eLife.56261</w:t>
      </w:r>
    </w:p>
    <w:p w14:paraId="643E1B22" w14:textId="77777777" w:rsidR="00595C60" w:rsidRDefault="00595C60" w:rsidP="00595C60">
      <w:pPr>
        <w:pStyle w:val="Bibliography"/>
      </w:pPr>
      <w:r w:rsidRPr="00595C60">
        <w:rPr>
          <w:lang w:val="de-DE"/>
        </w:rPr>
        <w:t xml:space="preserve">Greenberg, D., Nonnenmacher, M., &amp; Macke, J. (2019). </w:t>
      </w:r>
      <w:r>
        <w:rPr>
          <w:i/>
          <w:iCs/>
        </w:rPr>
        <w:t>Automatic posterior transformation for likelihood-free inference</w:t>
      </w:r>
      <w:r>
        <w:t xml:space="preserve"> (pp. 2404–2414). PMLR.</w:t>
      </w:r>
    </w:p>
    <w:p w14:paraId="3DA3D01A" w14:textId="77777777" w:rsidR="00595C60" w:rsidRDefault="00595C60" w:rsidP="00595C60">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50734CBC" w14:textId="77777777" w:rsidR="00595C60" w:rsidRDefault="00595C60" w:rsidP="00595C6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7253B996" w14:textId="77777777" w:rsidR="00595C60" w:rsidRDefault="00595C60" w:rsidP="00595C60">
      <w:pPr>
        <w:pStyle w:val="Bibliography"/>
      </w:pPr>
      <w:r w:rsidRPr="00595C60">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1103A1E9" w14:textId="77777777" w:rsidR="00595C60" w:rsidRDefault="00595C60" w:rsidP="00595C6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53672935" w14:textId="77777777" w:rsidR="00595C60" w:rsidRDefault="00595C60" w:rsidP="00595C6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37A4AD9F" w14:textId="77777777" w:rsidR="00595C60" w:rsidRDefault="00595C60" w:rsidP="00595C6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43A57EA9" w14:textId="77777777" w:rsidR="00595C60" w:rsidRDefault="00595C60" w:rsidP="00595C60">
      <w:pPr>
        <w:pStyle w:val="Bibliography"/>
      </w:pPr>
      <w:r>
        <w:t xml:space="preserve">Howard-McCombe, J., Ward, D., Kitchener, A. C., Lawson, D., Senn, H. V., &amp; Beaumont, M. (2021). On the use of genome-wide data to model and date the time of anthropogenic hybridisation: An </w:t>
      </w:r>
      <w:r>
        <w:lastRenderedPageBreak/>
        <w:t xml:space="preserve">example from the Scottish wildcat. In </w:t>
      </w:r>
      <w:r>
        <w:rPr>
          <w:i/>
          <w:iCs/>
        </w:rPr>
        <w:t>Molecular Ecology</w:t>
      </w:r>
      <w:r>
        <w:t xml:space="preserve"> (Vol. 30, Issue 15, pp. 3688–3702). https://doi.org/10.1111/mec.16000</w:t>
      </w:r>
    </w:p>
    <w:p w14:paraId="3EF8E153" w14:textId="77777777" w:rsidR="00595C60" w:rsidRDefault="00595C60" w:rsidP="00595C60">
      <w:pPr>
        <w:pStyle w:val="Bibliography"/>
      </w:pPr>
      <w:r w:rsidRPr="00595C60">
        <w:rPr>
          <w:lang w:val="de-DE"/>
        </w:rPr>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6CE91560" w14:textId="77777777" w:rsidR="00595C60" w:rsidRDefault="00595C60" w:rsidP="00595C6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4E5F71D" w14:textId="77777777" w:rsidR="00595C60" w:rsidRDefault="00595C60" w:rsidP="00595C60">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4545FB76" w14:textId="77777777" w:rsidR="00595C60" w:rsidRDefault="00595C60" w:rsidP="00595C6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admixture between European wildcats and domestic cats. </w:t>
      </w:r>
      <w:r>
        <w:rPr>
          <w:i/>
          <w:iCs/>
        </w:rPr>
        <w:t>Current Biology</w:t>
      </w:r>
      <w:r>
        <w:t xml:space="preserve">, </w:t>
      </w:r>
      <w:r>
        <w:rPr>
          <w:i/>
          <w:iCs/>
        </w:rPr>
        <w:t>33</w:t>
      </w:r>
      <w:r>
        <w:t>(21), 4751-4760.e14. https://doi.org/10.1016/j.cub.2023.08.031</w:t>
      </w:r>
    </w:p>
    <w:p w14:paraId="28CCB53C" w14:textId="77777777" w:rsidR="00595C60" w:rsidRDefault="00595C60" w:rsidP="00595C6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505190B1" w14:textId="77777777" w:rsidR="00595C60" w:rsidRDefault="00595C60" w:rsidP="00595C6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6428C498" w14:textId="77777777" w:rsidR="00595C60" w:rsidRDefault="00595C60" w:rsidP="00595C6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0B0AE373" w14:textId="77777777" w:rsidR="00595C60" w:rsidRDefault="00595C60" w:rsidP="00595C60">
      <w:pPr>
        <w:pStyle w:val="Bibliography"/>
      </w:pPr>
      <w:r w:rsidRPr="00595C60">
        <w:rPr>
          <w:lang w:val="de-DE"/>
        </w:rPr>
        <w:lastRenderedPageBreak/>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3BC4594B" w14:textId="77777777" w:rsidR="00595C60" w:rsidRDefault="00595C60" w:rsidP="00595C60">
      <w:pPr>
        <w:pStyle w:val="Bibliography"/>
      </w:pPr>
      <w:r>
        <w:t xml:space="preserve">Kidger, P., &amp; Garcia, C. (2021). Equinox: Neural networks in JAX via callable PyTrees and filtered transformations. </w:t>
      </w:r>
      <w:r>
        <w:rPr>
          <w:i/>
          <w:iCs/>
        </w:rPr>
        <w:t>arXiv Preprint arXiv:2111.00254</w:t>
      </w:r>
      <w:r>
        <w:t>.</w:t>
      </w:r>
    </w:p>
    <w:p w14:paraId="76A253A8" w14:textId="77777777" w:rsidR="00595C60" w:rsidRDefault="00595C60" w:rsidP="00595C60">
      <w:pPr>
        <w:pStyle w:val="Bibliography"/>
      </w:pPr>
      <w:r>
        <w:t xml:space="preserve">Kingman, J. F. C. (1982). The coalescent. In </w:t>
      </w:r>
      <w:r>
        <w:rPr>
          <w:i/>
          <w:iCs/>
        </w:rPr>
        <w:t>Stochastic Processes and their Applications</w:t>
      </w:r>
      <w:r>
        <w:t xml:space="preserve"> (Vol. 13, Issue 3, pp. 235–248). https://doi.org/10.1016/0304-4149(82)90011-4</w:t>
      </w:r>
    </w:p>
    <w:p w14:paraId="4C7043D3" w14:textId="77777777" w:rsidR="00595C60" w:rsidRDefault="00595C60" w:rsidP="00595C60">
      <w:pPr>
        <w:pStyle w:val="Bibliography"/>
      </w:pPr>
      <w:r w:rsidRPr="00595C60">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09E6CFCB" w14:textId="77777777" w:rsidR="00595C60" w:rsidRDefault="00595C60" w:rsidP="00595C6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76BE65ED" w14:textId="77777777" w:rsidR="00595C60" w:rsidRDefault="00595C60" w:rsidP="00595C60">
      <w:pPr>
        <w:pStyle w:val="Bibliography"/>
      </w:pPr>
      <w:r>
        <w:t xml:space="preserve">Lueckmann, J.-M., Goncalves, P. J., Bassetto, G., Öcal, K., Nonnenmacher, M., &amp; Macke, J. H. (2017). Flexible statistical inference for mechanistic models of neural dynamics. In I. Guyon, U. V. 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0159245F" w14:textId="77777777" w:rsidR="00595C60" w:rsidRDefault="00595C60" w:rsidP="00595C6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3D4F9F2" w14:textId="77777777" w:rsidR="00595C60" w:rsidRDefault="00595C60" w:rsidP="00595C60">
      <w:pPr>
        <w:pStyle w:val="Bibliography"/>
      </w:pPr>
      <w:r>
        <w:t xml:space="preserve">Neaves, L. E., &amp; Hollingsworth, P. M. (2013). </w:t>
      </w:r>
      <w:r>
        <w:rPr>
          <w:i/>
          <w:iCs/>
        </w:rPr>
        <w:t>The Scottish wildcat (Felis sylvestris): A review of genetic information and its implications for management</w:t>
      </w:r>
      <w:r>
        <w:t>.</w:t>
      </w:r>
    </w:p>
    <w:p w14:paraId="2C85A3EA" w14:textId="77777777" w:rsidR="00595C60" w:rsidRDefault="00595C60" w:rsidP="00595C60">
      <w:pPr>
        <w:pStyle w:val="Bibliography"/>
      </w:pPr>
      <w:r>
        <w:lastRenderedPageBreak/>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1DEE15A3" w14:textId="77777777" w:rsidR="00595C60" w:rsidRDefault="00595C60" w:rsidP="00595C6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51C0C895" w14:textId="77777777" w:rsidR="00595C60" w:rsidRDefault="00595C60" w:rsidP="00595C60">
      <w:pPr>
        <w:pStyle w:val="Bibliography"/>
      </w:pPr>
      <w:r>
        <w:t xml:space="preserve">Papamakarios, G., Sterratt, D., &amp; Murray, I. (2019). Sequential Neural Likelihood: Fast Likelihood-free Inference with Autoregressive Flows. In K. Chaudhuri &amp; M. Sugiyama (Eds.), </w:t>
      </w:r>
      <w:r>
        <w:rPr>
          <w:i/>
          <w:iCs/>
        </w:rPr>
        <w:t>Proceedings of the Twenty-Second International Conference on Artificial Intelligence and Statistics</w:t>
      </w:r>
      <w:r>
        <w:t xml:space="preserve"> (Vol. 89, pp. 837–848). PMLR. https://proceedings.mlr.press/v89/papamakarios19a.html</w:t>
      </w:r>
    </w:p>
    <w:p w14:paraId="6BDBE913" w14:textId="77777777" w:rsidR="00595C60" w:rsidRDefault="00595C60" w:rsidP="00595C6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6E895BC9" w14:textId="77777777" w:rsidR="00595C60" w:rsidRDefault="00595C60" w:rsidP="00595C6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6931ECA" w14:textId="77777777" w:rsidR="00595C60" w:rsidRDefault="00595C60" w:rsidP="00595C60">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7510ED18" w14:textId="77777777" w:rsidR="00595C60" w:rsidRDefault="00595C60" w:rsidP="00595C6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25649706" w14:textId="77777777" w:rsidR="00595C60" w:rsidRDefault="00595C60" w:rsidP="00595C60">
      <w:pPr>
        <w:pStyle w:val="Bibliography"/>
      </w:pPr>
      <w:r w:rsidRPr="00595C6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1F028AD6" w14:textId="77777777" w:rsidR="00595C60" w:rsidRDefault="00595C60" w:rsidP="00595C60">
      <w:pPr>
        <w:pStyle w:val="Bibliography"/>
      </w:pPr>
      <w:r>
        <w:lastRenderedPageBreak/>
        <w:t xml:space="preserve">Reich, D., Thangaraj, K., Patterson, N., Price, A. L., &amp; Singh, L. (2009). Reconstructing Indian population history. In </w:t>
      </w:r>
      <w:r>
        <w:rPr>
          <w:i/>
          <w:iCs/>
        </w:rPr>
        <w:t>Nature</w:t>
      </w:r>
      <w:r>
        <w:t xml:space="preserve"> (Vol. 461, Issue 7263, pp. 489–494). https://doi.org/10.1038/nature08365</w:t>
      </w:r>
    </w:p>
    <w:p w14:paraId="3F94FC6C" w14:textId="77777777" w:rsidR="00595C60" w:rsidRDefault="00595C60" w:rsidP="00595C6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51A49C6A" w14:textId="77777777" w:rsidR="00595C60" w:rsidRDefault="00595C60" w:rsidP="00595C60">
      <w:pPr>
        <w:pStyle w:val="Bibliography"/>
      </w:pPr>
      <w:r w:rsidRPr="00595C6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33117EE7" w14:textId="77777777" w:rsidR="00595C60" w:rsidRDefault="00595C60" w:rsidP="00595C60">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413E2914" w14:textId="77777777" w:rsidR="00595C60" w:rsidRDefault="00595C60" w:rsidP="00595C6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08BAB0D9" w14:textId="77777777" w:rsidR="00595C60" w:rsidRDefault="00595C60" w:rsidP="00595C60">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7D1F1A5E" w14:textId="77777777" w:rsidR="00595C60" w:rsidRDefault="00595C60" w:rsidP="00595C6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2D43886D" w14:textId="77777777" w:rsidR="00595C60" w:rsidRDefault="00595C60" w:rsidP="00595C60">
      <w:pPr>
        <w:pStyle w:val="Bibliography"/>
      </w:pPr>
      <w:r>
        <w:t xml:space="preserve">Ward, D. (2024). </w:t>
      </w:r>
      <w:r>
        <w:rPr>
          <w:i/>
          <w:iCs/>
        </w:rPr>
        <w:t>FlowJAX: Distributions and Normalizing Flows in Jax</w:t>
      </w:r>
      <w:r>
        <w:t xml:space="preserve"> (Version 12.0.1) [Computer software]. https://doi.org/10.5281/zenodo.10402073</w:t>
      </w:r>
    </w:p>
    <w:p w14:paraId="26F1776E" w14:textId="77777777" w:rsidR="00595C60" w:rsidRDefault="00595C60" w:rsidP="00595C60">
      <w:pPr>
        <w:pStyle w:val="Bibliography"/>
      </w:pPr>
      <w:r w:rsidRPr="00595C60">
        <w:rPr>
          <w:lang w:val="de-DE"/>
        </w:rPr>
        <w:t xml:space="preserve">Yamaguchi, N., Kitchener, A., Driscoll, C., &amp; Nussberger, B. (2015). </w:t>
      </w:r>
      <w:r>
        <w:rPr>
          <w:i/>
          <w:iCs/>
        </w:rPr>
        <w:t>Felis silvestris. The IUCN red list of threatened species 2015: E. T60354712A50652361</w:t>
      </w:r>
      <w:r>
        <w:t>. URL: http://dx. doi. org/10.2305/IUCN. UK.</w:t>
      </w:r>
    </w:p>
    <w:p w14:paraId="4AA6F3FE" w14:textId="2C958B3C"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Default="005E1FCB" w:rsidP="00C177DF">
      <w:pPr>
        <w:spacing w:line="480" w:lineRule="auto"/>
        <w:rPr>
          <w:rFonts w:ascii="Arial" w:hAnsi="Arial" w:cs="Arial"/>
        </w:rPr>
      </w:pPr>
    </w:p>
    <w:p w14:paraId="785E670F" w14:textId="77777777" w:rsidR="00D42DD6" w:rsidRDefault="00D42DD6" w:rsidP="00C177DF">
      <w:pPr>
        <w:spacing w:line="480" w:lineRule="auto"/>
        <w:rPr>
          <w:rFonts w:ascii="Arial" w:hAnsi="Arial" w:cs="Arial"/>
        </w:rPr>
      </w:pPr>
    </w:p>
    <w:p w14:paraId="4237C135" w14:textId="77777777" w:rsidR="00D42DD6" w:rsidRDefault="00D42DD6" w:rsidP="00C177DF">
      <w:pPr>
        <w:spacing w:line="480" w:lineRule="auto"/>
        <w:rPr>
          <w:rFonts w:ascii="Arial" w:hAnsi="Arial" w:cs="Arial"/>
        </w:rPr>
      </w:pPr>
    </w:p>
    <w:p w14:paraId="569FD3CB" w14:textId="77777777" w:rsidR="00D42DD6" w:rsidRDefault="00D42DD6" w:rsidP="00C177DF">
      <w:pPr>
        <w:spacing w:line="480" w:lineRule="auto"/>
        <w:rPr>
          <w:rFonts w:ascii="Arial" w:hAnsi="Arial" w:cs="Arial"/>
        </w:rPr>
      </w:pPr>
    </w:p>
    <w:p w14:paraId="51D2B254" w14:textId="77777777" w:rsidR="00D42DD6" w:rsidRDefault="00D42DD6" w:rsidP="00C177DF">
      <w:pPr>
        <w:spacing w:line="480" w:lineRule="auto"/>
        <w:rPr>
          <w:rFonts w:ascii="Arial" w:hAnsi="Arial" w:cs="Arial"/>
        </w:rPr>
      </w:pPr>
    </w:p>
    <w:p w14:paraId="4BA0D914" w14:textId="77777777" w:rsidR="00D42DD6" w:rsidRDefault="00D42DD6" w:rsidP="00C177DF">
      <w:pPr>
        <w:spacing w:line="480" w:lineRule="auto"/>
        <w:rPr>
          <w:rFonts w:ascii="Arial" w:hAnsi="Arial" w:cs="Arial"/>
        </w:rPr>
      </w:pPr>
    </w:p>
    <w:p w14:paraId="445B7C9A" w14:textId="77777777" w:rsidR="00D42DD6" w:rsidRDefault="00D42DD6" w:rsidP="00C177DF">
      <w:pPr>
        <w:spacing w:line="480" w:lineRule="auto"/>
        <w:rPr>
          <w:rFonts w:ascii="Arial" w:hAnsi="Arial" w:cs="Arial"/>
        </w:rPr>
      </w:pPr>
    </w:p>
    <w:p w14:paraId="394DA51C" w14:textId="77777777" w:rsidR="00D42DD6" w:rsidRDefault="00D42DD6" w:rsidP="00C177DF">
      <w:pPr>
        <w:spacing w:line="480" w:lineRule="auto"/>
        <w:rPr>
          <w:rFonts w:ascii="Arial" w:hAnsi="Arial" w:cs="Arial"/>
        </w:rPr>
      </w:pPr>
    </w:p>
    <w:p w14:paraId="351F73F6" w14:textId="77777777" w:rsidR="00D42DD6" w:rsidRDefault="00D42DD6" w:rsidP="00C177DF">
      <w:pPr>
        <w:spacing w:line="480" w:lineRule="auto"/>
        <w:rPr>
          <w:rFonts w:ascii="Arial" w:hAnsi="Arial" w:cs="Arial"/>
        </w:rPr>
      </w:pPr>
    </w:p>
    <w:p w14:paraId="67F65A17" w14:textId="77777777" w:rsidR="00D42DD6" w:rsidRDefault="00D42DD6" w:rsidP="00C177DF">
      <w:pPr>
        <w:spacing w:line="480" w:lineRule="auto"/>
        <w:rPr>
          <w:rFonts w:ascii="Arial" w:hAnsi="Arial" w:cs="Arial"/>
        </w:rPr>
      </w:pPr>
    </w:p>
    <w:p w14:paraId="2DB93778" w14:textId="77777777" w:rsidR="00D42DD6" w:rsidRDefault="00D42DD6" w:rsidP="00C177DF">
      <w:pPr>
        <w:spacing w:line="480" w:lineRule="auto"/>
        <w:rPr>
          <w:rFonts w:ascii="Arial" w:hAnsi="Arial" w:cs="Arial"/>
        </w:rPr>
      </w:pPr>
    </w:p>
    <w:p w14:paraId="28E925C7" w14:textId="77777777" w:rsidR="00D42DD6" w:rsidRDefault="00D42DD6" w:rsidP="00C177DF">
      <w:pPr>
        <w:spacing w:line="480" w:lineRule="auto"/>
        <w:rPr>
          <w:rFonts w:ascii="Arial" w:hAnsi="Arial" w:cs="Arial"/>
        </w:rPr>
      </w:pPr>
    </w:p>
    <w:p w14:paraId="648AE6D9" w14:textId="77777777" w:rsidR="00D42DD6" w:rsidRDefault="00D42DD6" w:rsidP="00C177DF">
      <w:pPr>
        <w:spacing w:line="480" w:lineRule="auto"/>
        <w:rPr>
          <w:rFonts w:ascii="Arial" w:hAnsi="Arial" w:cs="Arial"/>
        </w:rPr>
      </w:pPr>
    </w:p>
    <w:p w14:paraId="3C3F5417" w14:textId="77777777" w:rsidR="00D42DD6" w:rsidRDefault="00D42DD6"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scipy package (v1.13.0).</w:t>
      </w:r>
    </w:p>
    <w:tbl>
      <w:tblPr>
        <w:tblStyle w:val="GridTable4-Accent3"/>
        <w:tblW w:w="0" w:type="auto"/>
        <w:tblLook w:val="06A0" w:firstRow="1" w:lastRow="0" w:firstColumn="1" w:lastColumn="0" w:noHBand="1" w:noVBand="1"/>
      </w:tblPr>
      <w:tblGrid>
        <w:gridCol w:w="2205"/>
        <w:gridCol w:w="2791"/>
        <w:gridCol w:w="4020"/>
      </w:tblGrid>
      <w:tr w:rsidR="005E1FCB" w:rsidRPr="00AE1595" w14:paraId="4F029A65" w14:textId="77777777" w:rsidTr="00C4111E">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w:r w:rsidRPr="00AE1595">
              <w:rPr>
                <w:rFonts w:ascii="Arial" w:hAnsi="Arial" w:cs="Arial"/>
              </w:rPr>
              <w:t>Source/Justification</w:t>
            </w:r>
          </w:p>
        </w:tc>
      </w:tr>
      <w:tr w:rsidR="005E1FCB" w:rsidRPr="00AE1595" w14:paraId="6E5E35AC"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3A6CA6">
              <w:rPr>
                <w:rFonts w:ascii="Arial" w:hAnsi="Arial" w:cs="Arial"/>
                <w:highlight w:val="red"/>
              </w:rPr>
              <w:t xml:space="preserve">Adapted from </w:t>
            </w:r>
            <w:r w:rsidR="00385CAE" w:rsidRPr="003A6CA6">
              <w:rPr>
                <w:rFonts w:ascii="Arial" w:hAnsi="Arial" w:cs="Arial"/>
                <w:highlight w:val="red"/>
              </w:rPr>
              <w:t>Ward (2021)</w:t>
            </w:r>
          </w:p>
        </w:tc>
      </w:tr>
      <w:tr w:rsidR="005E1FCB" w:rsidRPr="00AE1595" w14:paraId="6CCC1E46"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7A9E3A4E"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9517573"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E4539C8"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Very broad around mtDNA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Flooding of Doggerland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C4111E">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C4111E">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r – Recombination rate</w:t>
            </w:r>
          </w:p>
        </w:tc>
        <w:tc>
          <w:tcPr>
            <w:tcW w:w="2977" w:type="dxa"/>
          </w:tcPr>
          <w:p w14:paraId="1DD4B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Steinrϋcken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4F3A8E92" w14:textId="77777777" w:rsidR="005E1FCB" w:rsidRPr="00AE1595" w:rsidRDefault="005E1FCB" w:rsidP="00C177DF">
      <w:pPr>
        <w:spacing w:line="480" w:lineRule="auto"/>
        <w:jc w:val="both"/>
        <w:rPr>
          <w:rFonts w:ascii="Arial" w:hAnsi="Arial" w:cs="Arial"/>
          <w:u w:val="single"/>
        </w:rPr>
      </w:pPr>
    </w:p>
    <w:p w14:paraId="147C5394" w14:textId="77777777" w:rsidR="005E1FCB" w:rsidRPr="00AE1595" w:rsidRDefault="005E1FCB" w:rsidP="00C177DF">
      <w:pPr>
        <w:spacing w:line="480" w:lineRule="auto"/>
        <w:jc w:val="both"/>
        <w:rPr>
          <w:rFonts w:ascii="Arial" w:hAnsi="Arial" w:cs="Arial"/>
          <w:u w:val="single"/>
        </w:rPr>
      </w:pPr>
    </w:p>
    <w:p w14:paraId="009F14C2" w14:textId="77777777" w:rsidR="005E1FCB" w:rsidRPr="00AE1595" w:rsidRDefault="005E1FCB" w:rsidP="00C177DF">
      <w:pPr>
        <w:spacing w:line="480" w:lineRule="auto"/>
        <w:jc w:val="both"/>
        <w:rPr>
          <w:rFonts w:ascii="Arial" w:hAnsi="Arial" w:cs="Arial"/>
          <w:u w:val="single"/>
        </w:rPr>
      </w:pPr>
    </w:p>
    <w:p w14:paraId="71EC0E98" w14:textId="77777777" w:rsidR="005E1FCB" w:rsidRPr="00AE1595" w:rsidRDefault="005E1FCB" w:rsidP="00C177DF">
      <w:pPr>
        <w:spacing w:line="480" w:lineRule="auto"/>
        <w:jc w:val="both"/>
        <w:rPr>
          <w:rFonts w:ascii="Arial" w:hAnsi="Arial" w:cs="Arial"/>
          <w:u w:val="single"/>
        </w:rPr>
      </w:pPr>
    </w:p>
    <w:p w14:paraId="07F8DF4D" w14:textId="77777777" w:rsidR="005E1FCB" w:rsidRPr="00AE1595" w:rsidRDefault="005E1FCB" w:rsidP="00C177DF">
      <w:pPr>
        <w:spacing w:line="480" w:lineRule="auto"/>
        <w:jc w:val="both"/>
        <w:rPr>
          <w:rFonts w:ascii="Arial" w:hAnsi="Arial" w:cs="Arial"/>
          <w:u w:val="single"/>
        </w:rPr>
      </w:pPr>
    </w:p>
    <w:p w14:paraId="719B3236" w14:textId="77777777" w:rsidR="005E1FCB" w:rsidRPr="00AE1595" w:rsidRDefault="005E1FCB" w:rsidP="00C177DF">
      <w:pPr>
        <w:spacing w:line="480" w:lineRule="auto"/>
        <w:jc w:val="both"/>
        <w:rPr>
          <w:rFonts w:ascii="Arial" w:hAnsi="Arial" w:cs="Arial"/>
          <w:u w:val="single"/>
        </w:rPr>
      </w:pPr>
    </w:p>
    <w:p w14:paraId="69E22605" w14:textId="77777777" w:rsidR="005E1FCB" w:rsidRPr="00AE1595" w:rsidRDefault="005E1FCB" w:rsidP="00C177DF">
      <w:pPr>
        <w:spacing w:line="480" w:lineRule="auto"/>
        <w:jc w:val="both"/>
        <w:rPr>
          <w:rFonts w:ascii="Arial" w:hAnsi="Arial" w:cs="Arial"/>
          <w:u w:val="single"/>
        </w:rPr>
      </w:pPr>
    </w:p>
    <w:p w14:paraId="52AF6B3F" w14:textId="77777777" w:rsidR="005E1FCB" w:rsidRPr="00AE1595" w:rsidRDefault="005E1FCB" w:rsidP="00C177DF">
      <w:pPr>
        <w:spacing w:line="480" w:lineRule="auto"/>
        <w:jc w:val="both"/>
        <w:rPr>
          <w:rFonts w:ascii="Arial" w:hAnsi="Arial" w:cs="Arial"/>
          <w:u w:val="single"/>
        </w:rPr>
      </w:pPr>
    </w:p>
    <w:p w14:paraId="39D624C1" w14:textId="77777777" w:rsidR="00177F97" w:rsidRPr="00AE1595" w:rsidRDefault="00177F97" w:rsidP="00C177DF">
      <w:pPr>
        <w:spacing w:line="480" w:lineRule="auto"/>
        <w:jc w:val="both"/>
        <w:rPr>
          <w:rFonts w:ascii="Arial" w:hAnsi="Arial" w:cs="Arial"/>
          <w:u w:val="single"/>
        </w:rPr>
      </w:pPr>
    </w:p>
    <w:p w14:paraId="0BBF1D1A" w14:textId="77777777" w:rsidR="002E2640" w:rsidRPr="00AE1595" w:rsidRDefault="002E2640" w:rsidP="00C177DF">
      <w:pPr>
        <w:spacing w:line="480" w:lineRule="auto"/>
        <w:jc w:val="both"/>
        <w:rPr>
          <w:rFonts w:ascii="Arial" w:hAnsi="Arial" w:cs="Arial"/>
          <w:u w:val="single"/>
        </w:rPr>
      </w:pPr>
    </w:p>
    <w:p w14:paraId="1A28E8C1" w14:textId="2B66CCD0" w:rsidR="00F310CF" w:rsidRPr="00AE1595" w:rsidRDefault="005E1FCB" w:rsidP="00C177DF">
      <w:pPr>
        <w:spacing w:line="480" w:lineRule="auto"/>
        <w:jc w:val="both"/>
        <w:rPr>
          <w:rFonts w:ascii="Arial" w:hAnsi="Arial" w:cs="Arial"/>
        </w:rPr>
      </w:pPr>
      <w:r w:rsidRPr="00AE1595">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1D63CBD9">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889C2AC" id="Group 11" o:spid="_x0000_s1026" style="position:absolute;left:0;text-align:left;margin-left:-44.85pt;margin-top:0;width:554.65pt;height:356.35pt;z-index:251660288;mso-width-relative:margin"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w:t>
      </w:r>
      <w:r w:rsidR="003A6CA6">
        <w:rPr>
          <w:rFonts w:ascii="Arial" w:hAnsi="Arial" w:cs="Arial"/>
        </w:rPr>
        <w:t>a</w:t>
      </w:r>
      <w:r w:rsidRPr="00AE1595">
        <w:rPr>
          <w:rFonts w:ascii="Arial" w:hAnsi="Arial" w:cs="Arial"/>
        </w:rPr>
        <w:t xml:space="preserve"> previous stud</w:t>
      </w:r>
      <w:r w:rsidR="003A6CA6">
        <w:rPr>
          <w:rFonts w:ascii="Arial" w:hAnsi="Arial" w:cs="Arial"/>
        </w:rPr>
        <w:t>y</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792F679B"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56EBDB8B">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01668540" w:rsidR="007D033A" w:rsidRPr="00AE1595" w:rsidRDefault="00351D4D"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105DC1DA" wp14:editId="5CC8B3BA">
            <wp:extent cx="5731510" cy="5962650"/>
            <wp:effectExtent l="0" t="0" r="2540" b="0"/>
            <wp:docPr id="1850838994"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994" name="Picture 5"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14:paraId="6E9BBDC2" w14:textId="1E3972CC" w:rsidR="00CA30E6" w:rsidRDefault="005E1FCB" w:rsidP="00CA30E6">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xml:space="preserve">, </w:t>
      </w:r>
      <w:r w:rsidR="00ED4739">
        <w:rPr>
          <w:rFonts w:ascii="Arial" w:hAnsi="Arial" w:cs="Arial"/>
        </w:rPr>
        <w:t xml:space="preserve">and </w:t>
      </w:r>
      <w:r w:rsidRPr="00AE1595">
        <w:rPr>
          <w:rFonts w:ascii="Arial" w:hAnsi="Arial" w:cs="Arial"/>
        </w:rPr>
        <w:t>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w:t>
      </w:r>
      <w:r w:rsidR="00CA30E6">
        <w:rPr>
          <w:rFonts w:ascii="Arial" w:hAnsi="Arial" w:cs="Arial"/>
        </w:rPr>
        <w:t>ze.</w:t>
      </w:r>
    </w:p>
    <w:p w14:paraId="704E8664" w14:textId="111BAE3F" w:rsidR="00CA30E6" w:rsidRDefault="00CA30E6" w:rsidP="00CA30E6">
      <w:pPr>
        <w:spacing w:line="480" w:lineRule="auto"/>
        <w:jc w:val="both"/>
        <w:rPr>
          <w:rFonts w:ascii="Arial" w:hAnsi="Arial" w:cs="Arial"/>
        </w:rPr>
      </w:pPr>
      <w:r>
        <w:rPr>
          <w:rFonts w:ascii="Arial" w:hAnsi="Arial" w:cs="Arial"/>
          <w:noProof/>
          <w14:ligatures w14:val="standardContextual"/>
        </w:rPr>
        <w:lastRenderedPageBreak/>
        <w:drawing>
          <wp:anchor distT="0" distB="0" distL="114300" distR="114300" simplePos="0" relativeHeight="251661312" behindDoc="0" locked="0" layoutInCell="1" allowOverlap="1" wp14:anchorId="3BECF94B" wp14:editId="020CE515">
            <wp:simplePos x="0" y="0"/>
            <wp:positionH relativeFrom="column">
              <wp:posOffset>-259080</wp:posOffset>
            </wp:positionH>
            <wp:positionV relativeFrom="paragraph">
              <wp:posOffset>0</wp:posOffset>
            </wp:positionV>
            <wp:extent cx="6339840" cy="6273689"/>
            <wp:effectExtent l="0" t="0" r="3810" b="0"/>
            <wp:wrapTopAndBottom/>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840" cy="6273689"/>
                    </a:xfrm>
                    <a:prstGeom prst="rect">
                      <a:avLst/>
                    </a:prstGeom>
                  </pic:spPr>
                </pic:pic>
              </a:graphicData>
            </a:graphic>
            <wp14:sizeRelH relativeFrom="margin">
              <wp14:pctWidth>0</wp14:pctWidth>
            </wp14:sizeRelH>
            <wp14:sizeRelV relativeFrom="margin">
              <wp14:pctHeight>0</wp14:pctHeight>
            </wp14:sizeRelV>
          </wp:anchor>
        </w:drawing>
      </w:r>
      <w:r w:rsidR="00D42DD6" w:rsidRPr="00D42DD6">
        <w:rPr>
          <w:rFonts w:ascii="Arial" w:hAnsi="Arial" w:cs="Arial"/>
          <w:i/>
          <w:iCs/>
        </w:rPr>
        <w:t xml:space="preserve"> </w:t>
      </w:r>
      <w:r w:rsidR="00D42DD6" w:rsidRPr="00AE1595">
        <w:rPr>
          <w:rFonts w:ascii="Arial" w:hAnsi="Arial" w:cs="Arial"/>
          <w:i/>
          <w:iCs/>
        </w:rPr>
        <w:t xml:space="preserve">Figure </w:t>
      </w:r>
      <w:r w:rsidR="00D42DD6">
        <w:rPr>
          <w:rFonts w:ascii="Arial" w:hAnsi="Arial" w:cs="Arial"/>
          <w:i/>
          <w:iCs/>
        </w:rPr>
        <w:t>4</w:t>
      </w:r>
      <w:r w:rsidR="00D42DD6">
        <w:rPr>
          <w:rFonts w:ascii="Arial" w:hAnsi="Arial" w:cs="Arial"/>
        </w:rPr>
        <w:t>: Pairplot of joint</w:t>
      </w:r>
      <w:r w:rsidR="00A06D9C">
        <w:rPr>
          <w:rFonts w:ascii="Arial" w:hAnsi="Arial" w:cs="Arial"/>
        </w:rPr>
        <w:t xml:space="preserve"> posterior</w:t>
      </w:r>
      <w:r w:rsidR="00D42DD6">
        <w:rPr>
          <w:rFonts w:ascii="Arial" w:hAnsi="Arial" w:cs="Arial"/>
        </w:rPr>
        <w:t xml:space="preserve"> distributions between parameters that show correlation.</w:t>
      </w:r>
      <w:r w:rsidR="007F334B">
        <w:rPr>
          <w:rFonts w:ascii="Arial" w:hAnsi="Arial" w:cs="Arial"/>
        </w:rPr>
        <w:t xml:space="preserve"> (maybe should be in supplementary)</w:t>
      </w:r>
    </w:p>
    <w:p w14:paraId="397E7FDC" w14:textId="70E4AEE9" w:rsidR="00617CA5" w:rsidRPr="00281A3A" w:rsidRDefault="00CA30E6" w:rsidP="00C177DF">
      <w:pPr>
        <w:spacing w:line="480" w:lineRule="auto"/>
        <w:jc w:val="both"/>
        <w:rPr>
          <w:rFonts w:ascii="Arial" w:hAnsi="Arial" w:cs="Arial"/>
        </w:rPr>
      </w:pPr>
      <w:r>
        <w:rPr>
          <w:rFonts w:ascii="Arial" w:hAnsi="Arial" w:cs="Arial"/>
          <w:i/>
          <w:iCs/>
          <w:noProof/>
          <w14:ligatures w14:val="standardContextual"/>
        </w:rPr>
        <w:lastRenderedPageBreak/>
        <w:drawing>
          <wp:inline distT="0" distB="0" distL="0" distR="0" wp14:anchorId="52EC1C41" wp14:editId="171D100E">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53681F6F"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CA30E6">
        <w:rPr>
          <w:rFonts w:ascii="Arial" w:hAnsi="Arial" w:cs="Arial"/>
          <w:i/>
          <w:iCs/>
        </w:rPr>
        <w:t>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729EEB78" w:rsidR="000F464B" w:rsidRDefault="000F464B" w:rsidP="00C177DF">
      <w:pPr>
        <w:spacing w:line="480" w:lineRule="auto"/>
        <w:jc w:val="both"/>
        <w:rPr>
          <w:rFonts w:ascii="Arial" w:hAnsi="Arial" w:cs="Arial"/>
          <w:b/>
          <w:bCs/>
        </w:rPr>
      </w:pPr>
      <w:r w:rsidRPr="000F464B">
        <w:rPr>
          <w:rFonts w:ascii="Arial" w:hAnsi="Arial" w:cs="Arial"/>
          <w:b/>
          <w:bCs/>
        </w:rPr>
        <w:lastRenderedPageBreak/>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A06D9C"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divergence_domestic_eu</w:t>
            </w:r>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divergence_captive_lyb</w:t>
            </w:r>
          </w:p>
          <w:p w14:paraId="1ABC9EA5" w14:textId="77777777" w:rsidR="00A84E2A" w:rsidRPr="00A84E2A" w:rsidRDefault="00A84E2A" w:rsidP="00A84E2A">
            <w:pPr>
              <w:spacing w:line="240" w:lineRule="auto"/>
              <w:jc w:val="both"/>
              <w:rPr>
                <w:rFonts w:ascii="Arial" w:hAnsi="Arial" w:cs="Arial"/>
              </w:rPr>
            </w:pPr>
            <w:r w:rsidRPr="00A84E2A">
              <w:rPr>
                <w:rFonts w:ascii="Arial" w:hAnsi="Arial" w:cs="Arial"/>
              </w:rPr>
              <w:t>segregating_sites_lyb</w:t>
            </w:r>
          </w:p>
          <w:p w14:paraId="511EE600" w14:textId="77777777" w:rsidR="00A84E2A" w:rsidRPr="00A84E2A" w:rsidRDefault="00A84E2A" w:rsidP="00A84E2A">
            <w:pPr>
              <w:spacing w:line="240" w:lineRule="auto"/>
              <w:jc w:val="both"/>
              <w:rPr>
                <w:rFonts w:ascii="Arial" w:hAnsi="Arial" w:cs="Arial"/>
              </w:rPr>
            </w:pPr>
            <w:r w:rsidRPr="00A84E2A">
              <w:rPr>
                <w:rFonts w:ascii="Arial" w:hAnsi="Arial" w:cs="Arial"/>
              </w:rPr>
              <w:t>segregating_sites_eu</w:t>
            </w:r>
          </w:p>
          <w:p w14:paraId="296A6179" w14:textId="77777777" w:rsidR="00A84E2A" w:rsidRPr="00A84E2A" w:rsidRDefault="00A84E2A" w:rsidP="00A84E2A">
            <w:pPr>
              <w:spacing w:line="240" w:lineRule="auto"/>
              <w:jc w:val="both"/>
              <w:rPr>
                <w:rFonts w:ascii="Arial" w:hAnsi="Arial" w:cs="Arial"/>
              </w:rPr>
            </w:pPr>
            <w:r w:rsidRPr="00A84E2A">
              <w:rPr>
                <w:rFonts w:ascii="Arial" w:hAnsi="Arial" w:cs="Arial"/>
              </w:rPr>
              <w:t>divergence_scot_lyb</w:t>
            </w:r>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r w:rsidRPr="00A84E2A">
              <w:rPr>
                <w:rFonts w:ascii="Arial" w:hAnsi="Arial" w:cs="Arial"/>
              </w:rPr>
              <w:t>diversity_domestic</w:t>
            </w:r>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r>
              <w:rPr>
                <w:rFonts w:ascii="Arial" w:hAnsi="Arial" w:cs="Arial"/>
                <w:lang w:val="fr-FR"/>
              </w:rPr>
              <w:t>Outlier detection absolute noise &lt;0.8.</w:t>
            </w:r>
          </w:p>
        </w:tc>
        <w:tc>
          <w:tcPr>
            <w:tcW w:w="4638" w:type="dxa"/>
          </w:tcPr>
          <w:p w14:paraId="63AAD228" w14:textId="77777777" w:rsidR="00A84E2A" w:rsidRPr="00A84E2A" w:rsidRDefault="00A84E2A" w:rsidP="00A84E2A">
            <w:pPr>
              <w:spacing w:line="240" w:lineRule="auto"/>
              <w:jc w:val="both"/>
              <w:rPr>
                <w:rFonts w:ascii="Arial" w:hAnsi="Arial" w:cs="Arial"/>
              </w:rPr>
            </w:pPr>
            <w:r w:rsidRPr="00A84E2A">
              <w:rPr>
                <w:rFonts w:ascii="Arial" w:hAnsi="Arial" w:cs="Arial"/>
              </w:rPr>
              <w:t>tajimas_d_eu</w:t>
            </w:r>
          </w:p>
          <w:p w14:paraId="2B4D3794" w14:textId="77777777" w:rsidR="00A84E2A" w:rsidRPr="00A84E2A" w:rsidRDefault="00A84E2A" w:rsidP="00A84E2A">
            <w:pPr>
              <w:spacing w:line="240" w:lineRule="auto"/>
              <w:jc w:val="both"/>
              <w:rPr>
                <w:rFonts w:ascii="Arial" w:hAnsi="Arial" w:cs="Arial"/>
              </w:rPr>
            </w:pPr>
            <w:r w:rsidRPr="00A84E2A">
              <w:rPr>
                <w:rFonts w:ascii="Arial" w:hAnsi="Arial" w:cs="Arial"/>
              </w:rPr>
              <w:t>relatedness_domestic_lyb</w:t>
            </w:r>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r w:rsidRPr="00A84E2A">
              <w:rPr>
                <w:rFonts w:ascii="Arial" w:hAnsi="Arial" w:cs="Arial"/>
              </w:rPr>
              <w:t>relatedness_captive_lyb</w:t>
            </w:r>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A06D9C"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relatedness_domestic_eu</w:t>
            </w:r>
          </w:p>
          <w:p w14:paraId="3F773A44"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tajimas_d_lyb</w:t>
            </w:r>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r w:rsidRPr="00A84E2A">
              <w:rPr>
                <w:rFonts w:ascii="Arial" w:hAnsi="Arial" w:cs="Arial"/>
              </w:rPr>
              <w:t>fst_scot_lyb</w:t>
            </w:r>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0DF7A4FF" w14:textId="5E9238E7" w:rsidR="00281A3A" w:rsidRPr="00EE2B56" w:rsidRDefault="00281A3A" w:rsidP="00C177DF">
      <w:pPr>
        <w:spacing w:line="480" w:lineRule="auto"/>
        <w:jc w:val="both"/>
        <w:rPr>
          <w:rFonts w:ascii="Arial" w:hAnsi="Arial" w:cs="Arial"/>
          <w:lang w:val="fr-FR"/>
        </w:rPr>
      </w:pPr>
    </w:p>
    <w:sectPr w:rsidR="00281A3A" w:rsidRPr="00EE2B56"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F1AC8" w14:textId="77777777" w:rsidR="00890F28" w:rsidRDefault="00890F28" w:rsidP="00D951F6">
      <w:pPr>
        <w:spacing w:line="240" w:lineRule="auto"/>
      </w:pPr>
      <w:r>
        <w:separator/>
      </w:r>
    </w:p>
  </w:endnote>
  <w:endnote w:type="continuationSeparator" w:id="0">
    <w:p w14:paraId="7621BD96" w14:textId="77777777" w:rsidR="00890F28" w:rsidRDefault="00890F28"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038D6" w14:textId="77777777" w:rsidR="00890F28" w:rsidRDefault="00890F28" w:rsidP="00D951F6">
      <w:pPr>
        <w:spacing w:line="240" w:lineRule="auto"/>
      </w:pPr>
      <w:r>
        <w:separator/>
      </w:r>
    </w:p>
  </w:footnote>
  <w:footnote w:type="continuationSeparator" w:id="0">
    <w:p w14:paraId="46253970" w14:textId="77777777" w:rsidR="00890F28" w:rsidRDefault="00890F28"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257BA2"/>
    <w:multiLevelType w:val="hybridMultilevel"/>
    <w:tmpl w:val="3DA09356"/>
    <w:lvl w:ilvl="0" w:tplc="26C81BC2">
      <w:start w:val="4"/>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1"/>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20"/>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 w:numId="22" w16cid:durableId="151225917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033EB"/>
    <w:rsid w:val="000103E3"/>
    <w:rsid w:val="00021233"/>
    <w:rsid w:val="00023644"/>
    <w:rsid w:val="000244E8"/>
    <w:rsid w:val="00042834"/>
    <w:rsid w:val="0004516E"/>
    <w:rsid w:val="00061C58"/>
    <w:rsid w:val="0007627B"/>
    <w:rsid w:val="000A38BF"/>
    <w:rsid w:val="000A7157"/>
    <w:rsid w:val="000A78ED"/>
    <w:rsid w:val="000B210C"/>
    <w:rsid w:val="000C2147"/>
    <w:rsid w:val="000C774D"/>
    <w:rsid w:val="000D584A"/>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A2274"/>
    <w:rsid w:val="001B59A3"/>
    <w:rsid w:val="001B73DC"/>
    <w:rsid w:val="001C03DB"/>
    <w:rsid w:val="001C7A91"/>
    <w:rsid w:val="001C7FCE"/>
    <w:rsid w:val="001D5FEE"/>
    <w:rsid w:val="002061A2"/>
    <w:rsid w:val="00211472"/>
    <w:rsid w:val="002120B0"/>
    <w:rsid w:val="002144D7"/>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972"/>
    <w:rsid w:val="002B4659"/>
    <w:rsid w:val="002B4A62"/>
    <w:rsid w:val="002C082B"/>
    <w:rsid w:val="002C4446"/>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4681D"/>
    <w:rsid w:val="0035117D"/>
    <w:rsid w:val="00351D4D"/>
    <w:rsid w:val="003655FD"/>
    <w:rsid w:val="00367950"/>
    <w:rsid w:val="0037063E"/>
    <w:rsid w:val="00385CAE"/>
    <w:rsid w:val="003A0BE9"/>
    <w:rsid w:val="003A49FD"/>
    <w:rsid w:val="003A6B67"/>
    <w:rsid w:val="003A6CA6"/>
    <w:rsid w:val="003B14FD"/>
    <w:rsid w:val="003C274D"/>
    <w:rsid w:val="003C384B"/>
    <w:rsid w:val="003C6D05"/>
    <w:rsid w:val="003D5370"/>
    <w:rsid w:val="003E2064"/>
    <w:rsid w:val="003E5AB0"/>
    <w:rsid w:val="003F5A52"/>
    <w:rsid w:val="003F5EB2"/>
    <w:rsid w:val="00403F54"/>
    <w:rsid w:val="004064FF"/>
    <w:rsid w:val="00411B30"/>
    <w:rsid w:val="00412724"/>
    <w:rsid w:val="00414363"/>
    <w:rsid w:val="00421A5F"/>
    <w:rsid w:val="0043195E"/>
    <w:rsid w:val="00441A01"/>
    <w:rsid w:val="00461A2D"/>
    <w:rsid w:val="00472E2A"/>
    <w:rsid w:val="00474CF8"/>
    <w:rsid w:val="004815C9"/>
    <w:rsid w:val="00482B2B"/>
    <w:rsid w:val="00483F86"/>
    <w:rsid w:val="004928A6"/>
    <w:rsid w:val="00494BB9"/>
    <w:rsid w:val="004A0AF0"/>
    <w:rsid w:val="004A0D6E"/>
    <w:rsid w:val="004A6330"/>
    <w:rsid w:val="004C01CA"/>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211F"/>
    <w:rsid w:val="005677C5"/>
    <w:rsid w:val="0058328F"/>
    <w:rsid w:val="005944D4"/>
    <w:rsid w:val="00595C60"/>
    <w:rsid w:val="005B03F8"/>
    <w:rsid w:val="005D0A7F"/>
    <w:rsid w:val="005D1745"/>
    <w:rsid w:val="005D4533"/>
    <w:rsid w:val="005E1FCB"/>
    <w:rsid w:val="005F71DD"/>
    <w:rsid w:val="00602A05"/>
    <w:rsid w:val="00606251"/>
    <w:rsid w:val="00612D26"/>
    <w:rsid w:val="00617CA5"/>
    <w:rsid w:val="00626BDE"/>
    <w:rsid w:val="00650FE6"/>
    <w:rsid w:val="00652387"/>
    <w:rsid w:val="0067310E"/>
    <w:rsid w:val="006751D9"/>
    <w:rsid w:val="00675421"/>
    <w:rsid w:val="00681D34"/>
    <w:rsid w:val="006A45C1"/>
    <w:rsid w:val="006A7481"/>
    <w:rsid w:val="006B0FB7"/>
    <w:rsid w:val="006B373E"/>
    <w:rsid w:val="006B6B19"/>
    <w:rsid w:val="006B6BE1"/>
    <w:rsid w:val="006C0F5C"/>
    <w:rsid w:val="006C59C2"/>
    <w:rsid w:val="006C6276"/>
    <w:rsid w:val="006D236D"/>
    <w:rsid w:val="006D29DE"/>
    <w:rsid w:val="006D360A"/>
    <w:rsid w:val="006E4805"/>
    <w:rsid w:val="006E58EF"/>
    <w:rsid w:val="006F52DD"/>
    <w:rsid w:val="006F55CA"/>
    <w:rsid w:val="00706A0E"/>
    <w:rsid w:val="007076A3"/>
    <w:rsid w:val="007110C2"/>
    <w:rsid w:val="007121AC"/>
    <w:rsid w:val="007231A2"/>
    <w:rsid w:val="00733B83"/>
    <w:rsid w:val="00736068"/>
    <w:rsid w:val="00745DE5"/>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7F334B"/>
    <w:rsid w:val="00810ADF"/>
    <w:rsid w:val="0081152E"/>
    <w:rsid w:val="00827131"/>
    <w:rsid w:val="00831724"/>
    <w:rsid w:val="00831C39"/>
    <w:rsid w:val="008328E7"/>
    <w:rsid w:val="008368D0"/>
    <w:rsid w:val="008421F1"/>
    <w:rsid w:val="00851926"/>
    <w:rsid w:val="0085414E"/>
    <w:rsid w:val="00856069"/>
    <w:rsid w:val="0086216A"/>
    <w:rsid w:val="00863C71"/>
    <w:rsid w:val="00863D47"/>
    <w:rsid w:val="008664E1"/>
    <w:rsid w:val="0087596D"/>
    <w:rsid w:val="00890F28"/>
    <w:rsid w:val="00892742"/>
    <w:rsid w:val="00892D74"/>
    <w:rsid w:val="008B2BC6"/>
    <w:rsid w:val="008B4C10"/>
    <w:rsid w:val="008B5079"/>
    <w:rsid w:val="008C03C4"/>
    <w:rsid w:val="008C04AA"/>
    <w:rsid w:val="008C6971"/>
    <w:rsid w:val="008D3C62"/>
    <w:rsid w:val="008D4417"/>
    <w:rsid w:val="008E006F"/>
    <w:rsid w:val="008E279D"/>
    <w:rsid w:val="008E5BF3"/>
    <w:rsid w:val="008F47CF"/>
    <w:rsid w:val="00906501"/>
    <w:rsid w:val="009166C5"/>
    <w:rsid w:val="00917227"/>
    <w:rsid w:val="00917F4A"/>
    <w:rsid w:val="009263AA"/>
    <w:rsid w:val="0095182B"/>
    <w:rsid w:val="009521F8"/>
    <w:rsid w:val="00953BB6"/>
    <w:rsid w:val="00971BF9"/>
    <w:rsid w:val="009A622E"/>
    <w:rsid w:val="009C50DA"/>
    <w:rsid w:val="009D6A63"/>
    <w:rsid w:val="00A01BE9"/>
    <w:rsid w:val="00A06B32"/>
    <w:rsid w:val="00A06D9C"/>
    <w:rsid w:val="00A3061E"/>
    <w:rsid w:val="00A32915"/>
    <w:rsid w:val="00A573FE"/>
    <w:rsid w:val="00A57589"/>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5E6D"/>
    <w:rsid w:val="00B27CBA"/>
    <w:rsid w:val="00B300BF"/>
    <w:rsid w:val="00B30E40"/>
    <w:rsid w:val="00B3268A"/>
    <w:rsid w:val="00B41906"/>
    <w:rsid w:val="00B41D0F"/>
    <w:rsid w:val="00B433CE"/>
    <w:rsid w:val="00B50E30"/>
    <w:rsid w:val="00B52742"/>
    <w:rsid w:val="00B52E5B"/>
    <w:rsid w:val="00B5735A"/>
    <w:rsid w:val="00B6017F"/>
    <w:rsid w:val="00B63CF8"/>
    <w:rsid w:val="00B71C08"/>
    <w:rsid w:val="00B7222A"/>
    <w:rsid w:val="00B7319D"/>
    <w:rsid w:val="00B7333D"/>
    <w:rsid w:val="00B81AA5"/>
    <w:rsid w:val="00B91A4A"/>
    <w:rsid w:val="00B9242A"/>
    <w:rsid w:val="00BA5C9D"/>
    <w:rsid w:val="00BB1C31"/>
    <w:rsid w:val="00BB2B4F"/>
    <w:rsid w:val="00BB3EF7"/>
    <w:rsid w:val="00BB7C9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153C"/>
    <w:rsid w:val="00C35F39"/>
    <w:rsid w:val="00C3617C"/>
    <w:rsid w:val="00C40180"/>
    <w:rsid w:val="00C4111E"/>
    <w:rsid w:val="00C44F6C"/>
    <w:rsid w:val="00C52B68"/>
    <w:rsid w:val="00C6691A"/>
    <w:rsid w:val="00C66D1D"/>
    <w:rsid w:val="00C72ED7"/>
    <w:rsid w:val="00C924DD"/>
    <w:rsid w:val="00C97CDE"/>
    <w:rsid w:val="00CA30E6"/>
    <w:rsid w:val="00CA66B4"/>
    <w:rsid w:val="00CB128C"/>
    <w:rsid w:val="00CB1CC2"/>
    <w:rsid w:val="00CF1124"/>
    <w:rsid w:val="00CF3C56"/>
    <w:rsid w:val="00D000D7"/>
    <w:rsid w:val="00D14C4F"/>
    <w:rsid w:val="00D169DB"/>
    <w:rsid w:val="00D42DD6"/>
    <w:rsid w:val="00D44374"/>
    <w:rsid w:val="00D6118D"/>
    <w:rsid w:val="00D616CC"/>
    <w:rsid w:val="00D62DCF"/>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CB4"/>
    <w:rsid w:val="00E24EB4"/>
    <w:rsid w:val="00E24F43"/>
    <w:rsid w:val="00E46963"/>
    <w:rsid w:val="00E51DBD"/>
    <w:rsid w:val="00E6534C"/>
    <w:rsid w:val="00E7740C"/>
    <w:rsid w:val="00E824BD"/>
    <w:rsid w:val="00E82F30"/>
    <w:rsid w:val="00E8395C"/>
    <w:rsid w:val="00EA186B"/>
    <w:rsid w:val="00EA531A"/>
    <w:rsid w:val="00EB304B"/>
    <w:rsid w:val="00EB7A1F"/>
    <w:rsid w:val="00EC2D39"/>
    <w:rsid w:val="00ED2B41"/>
    <w:rsid w:val="00ED4739"/>
    <w:rsid w:val="00ED5F8D"/>
    <w:rsid w:val="00ED7962"/>
    <w:rsid w:val="00EE2B56"/>
    <w:rsid w:val="00F10E80"/>
    <w:rsid w:val="00F13DE0"/>
    <w:rsid w:val="00F1798F"/>
    <w:rsid w:val="00F225F9"/>
    <w:rsid w:val="00F26EC9"/>
    <w:rsid w:val="00F310CF"/>
    <w:rsid w:val="00F31995"/>
    <w:rsid w:val="00F3343E"/>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 w:type="table" w:styleId="GridTable5Dark-Accent1">
    <w:name w:val="Grid Table 5 Dark Accent 1"/>
    <w:basedOn w:val="TableNormal"/>
    <w:uiPriority w:val="50"/>
    <w:rsid w:val="00D42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3">
    <w:name w:val="Grid Table 4 Accent 3"/>
    <w:basedOn w:val="TableNormal"/>
    <w:uiPriority w:val="49"/>
    <w:rsid w:val="00C4111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29664</Words>
  <Characters>169089</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33</cp:revision>
  <cp:lastPrinted>2023-09-12T09:20:00Z</cp:lastPrinted>
  <dcterms:created xsi:type="dcterms:W3CDTF">2023-09-11T23:26:00Z</dcterms:created>
  <dcterms:modified xsi:type="dcterms:W3CDTF">2024-11-01T14:58:00Z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id="DoB4qlqy"/&gt;&lt;style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