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P(θ|D)</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2C24722D"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w:t>
      </w:r>
      <w:r w:rsidRPr="00AE1595">
        <w:rPr>
          <w:rFonts w:ascii="Arial" w:hAnsi="Arial" w:cs="Arial"/>
        </w:rPr>
        <w:lastRenderedPageBreak/>
        <w:t xml:space="preserve">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w:t>
      </w:r>
      <w:r>
        <w:rPr>
          <w:rFonts w:ascii="Arial" w:hAnsi="Arial" w:cs="Arial"/>
        </w:rPr>
        <w:lastRenderedPageBreak/>
        <w:t>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77777777"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14A89CBC" w14:textId="65C6AD45" w:rsidR="007231A2" w:rsidRPr="007231A2" w:rsidRDefault="007231A2" w:rsidP="00C177DF">
      <w:pPr>
        <w:spacing w:line="480" w:lineRule="auto"/>
        <w:rPr>
          <w:rFonts w:ascii="Arial" w:hAnsi="Arial" w:cs="Arial"/>
        </w:rPr>
      </w:pPr>
      <w:r w:rsidRPr="007231A2">
        <w:rPr>
          <w:rFonts w:ascii="Arial" w:hAnsi="Arial" w:cs="Arial"/>
        </w:rPr>
        <w:t xml:space="preserve">This multi-faceted approach reduced our initial set of 134 summary statistics down to </w:t>
      </w:r>
      <w:r w:rsidR="007D033A">
        <w:rPr>
          <w:rFonts w:ascii="Arial" w:hAnsi="Arial" w:cs="Arial"/>
        </w:rPr>
        <w:t>93</w:t>
      </w:r>
      <w:r w:rsidRPr="007231A2">
        <w:rPr>
          <w:rFonts w:ascii="Arial" w:hAnsi="Arial" w:cs="Arial"/>
        </w:rPr>
        <w:t xml:space="preserve"> of the </w:t>
      </w:r>
      <w:r w:rsidR="0010369F">
        <w:rPr>
          <w:rFonts w:ascii="Arial" w:hAnsi="Arial" w:cs="Arial"/>
        </w:rPr>
        <w:t>statistics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DD8C601" w14:textId="378D924D" w:rsidR="000E1E47" w:rsidRPr="007231A2" w:rsidRDefault="000E1E47" w:rsidP="00C177DF">
      <w:pPr>
        <w:spacing w:line="480" w:lineRule="auto"/>
        <w:jc w:val="both"/>
        <w:rPr>
          <w:rFonts w:ascii="Arial" w:hAnsi="Arial" w:cs="Arial"/>
        </w:rPr>
      </w:pPr>
      <w:r w:rsidRPr="007231A2">
        <w:rPr>
          <w:rFonts w:ascii="Arial" w:hAnsi="Arial" w:cs="Arial"/>
        </w:rPr>
        <w:t xml:space="preserve"> </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lastRenderedPageBreak/>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kya)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.5 kya)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kya)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living to captive Scottish wildcats, were 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lastRenderedPageBreak/>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pairplot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4C378098" w:rsidR="00340E41" w:rsidRPr="0086216A" w:rsidRDefault="003C274D" w:rsidP="00C177DF">
      <w:pPr>
        <w:spacing w:line="480" w:lineRule="auto"/>
        <w:jc w:val="both"/>
        <w:rPr>
          <w:rFonts w:ascii="Arial" w:hAnsi="Arial" w:cs="Arial"/>
        </w:rPr>
      </w:pPr>
      <w:r>
        <w:rPr>
          <w:rFonts w:ascii="Arial" w:hAnsi="Arial" w:cs="Arial"/>
        </w:rPr>
        <w:t xml:space="preserve">The means were evaluated for all marginal parameter posteriors, and this posterior mean model of evolution was simulated. PCA was carried out on the resulting genotype matrix and that of the observed data, and principal components 1 and 2 were plotted for comparison.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w:t>
      </w:r>
      <w:r w:rsidR="0086216A">
        <w:rPr>
          <w:rFonts w:ascii="Arial" w:hAnsi="Arial" w:cs="Arial"/>
        </w:rPr>
        <w:lastRenderedPageBreak/>
        <w:t xml:space="preserve">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5720B0B2" w14:textId="77777777" w:rsidR="00E010DB" w:rsidRPr="00AE1595" w:rsidRDefault="00E010DB" w:rsidP="00C177DF">
      <w:pPr>
        <w:spacing w:line="480" w:lineRule="auto"/>
        <w:jc w:val="both"/>
        <w:rPr>
          <w:rFonts w:ascii="Arial" w:hAnsi="Arial" w:cs="Arial"/>
          <w:u w:val="single"/>
        </w:rPr>
      </w:pPr>
    </w:p>
    <w:p w14:paraId="6D1D55FD" w14:textId="0CC903E7" w:rsidR="005F71DD"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6CDBBFF9" w14:textId="47BCA003" w:rsidR="00C3153C" w:rsidRDefault="00C3153C" w:rsidP="00C177DF">
      <w:pPr>
        <w:spacing w:line="480" w:lineRule="auto"/>
        <w:jc w:val="both"/>
        <w:rPr>
          <w:rFonts w:ascii="Arial" w:hAnsi="Arial" w:cs="Arial"/>
        </w:rPr>
      </w:pPr>
      <w:r>
        <w:rPr>
          <w:rFonts w:ascii="Arial" w:hAnsi="Arial" w:cs="Arial"/>
        </w:rPr>
        <w:t xml:space="preserve">Due to </w:t>
      </w:r>
    </w:p>
    <w:p w14:paraId="71C40E8F" w14:textId="77777777" w:rsidR="00C3153C" w:rsidRDefault="00C3153C" w:rsidP="00C177DF">
      <w:pPr>
        <w:spacing w:line="480" w:lineRule="auto"/>
        <w:jc w:val="both"/>
        <w:rPr>
          <w:rFonts w:ascii="Arial" w:hAnsi="Arial" w:cs="Arial"/>
        </w:rPr>
      </w:pPr>
    </w:p>
    <w:p w14:paraId="15F255B3" w14:textId="40C21C4A" w:rsidR="00340E41" w:rsidRPr="00AE1595" w:rsidRDefault="00340E41" w:rsidP="00C177DF">
      <w:pPr>
        <w:spacing w:line="480" w:lineRule="auto"/>
        <w:jc w:val="both"/>
        <w:rPr>
          <w:rFonts w:ascii="Arial" w:hAnsi="Arial" w:cs="Arial"/>
        </w:rPr>
      </w:pPr>
      <w:r w:rsidRPr="00AE1595">
        <w:rPr>
          <w:rFonts w:ascii="Arial" w:hAnsi="Arial" w:cs="Arial"/>
        </w:rPr>
        <w:t xml:space="preserve">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44903FE1"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w:t>
      </w:r>
      <w:r w:rsidR="00BC0C48" w:rsidRPr="00AE1595">
        <w:rPr>
          <w:rFonts w:ascii="Arial" w:hAnsi="Arial" w:cs="Arial"/>
        </w:rPr>
        <w:lastRenderedPageBreak/>
        <w:t>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w:t>
      </w:r>
      <w:r w:rsidRPr="00AE1595">
        <w:rPr>
          <w:rFonts w:ascii="Arial" w:hAnsi="Arial" w:cs="Arial"/>
        </w:rPr>
        <w:lastRenderedPageBreak/>
        <w:t xml:space="preserve">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w:t>
      </w:r>
      <w:r w:rsidRPr="00AE1595">
        <w:rPr>
          <w:rFonts w:ascii="Arial" w:hAnsi="Arial" w:cs="Arial"/>
        </w:rPr>
        <w:lastRenderedPageBreak/>
        <w:t xml:space="preserve">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t>
      </w:r>
      <w:r w:rsidRPr="00AE1595">
        <w:rPr>
          <w:rFonts w:ascii="Arial" w:hAnsi="Arial" w:cs="Arial"/>
        </w:rPr>
        <w:lastRenderedPageBreak/>
        <w:t>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t xml:space="preserve">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w:t>
      </w:r>
      <w:r w:rsidRPr="00AE1595">
        <w:rPr>
          <w:rFonts w:ascii="Arial" w:hAnsi="Arial" w:cs="Arial"/>
        </w:rPr>
        <w:lastRenderedPageBreak/>
        <w:t>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44B506B4" w14:textId="77777777" w:rsidR="00CA30E6" w:rsidRDefault="00CA30E6" w:rsidP="00C177DF">
      <w:pPr>
        <w:spacing w:line="480" w:lineRule="auto"/>
        <w:jc w:val="both"/>
        <w:rPr>
          <w:rFonts w:ascii="Arial" w:hAnsi="Arial" w:cs="Arial"/>
        </w:rPr>
      </w:pPr>
    </w:p>
    <w:p w14:paraId="19594993" w14:textId="6CCCE457" w:rsidR="00CA30E6" w:rsidRDefault="00CA30E6"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separately describe these parameters, and features determining one parameter will also determine the other </w:t>
      </w:r>
      <w:r w:rsidRPr="007110C2">
        <w:rPr>
          <w:rFonts w:ascii="Arial" w:hAnsi="Arial" w:cs="Arial"/>
          <w:highlight w:val="yellow"/>
        </w:rPr>
        <w:fldChar w:fldCharType="begin"/>
      </w:r>
      <w:r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Pr="007110C2">
        <w:rPr>
          <w:rFonts w:ascii="Arial" w:hAnsi="Arial" w:cs="Arial"/>
          <w:highlight w:val="yellow"/>
        </w:rPr>
        <w:fldChar w:fldCharType="separate"/>
      </w:r>
      <w:r w:rsidRPr="007110C2">
        <w:rPr>
          <w:rFonts w:ascii="Arial" w:hAnsi="Arial" w:cs="Arial"/>
          <w:highlight w:val="yellow"/>
        </w:rPr>
        <w:t>(Li &amp; Vu, 2013)</w:t>
      </w:r>
      <w:r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t>Use Procrustes rotation on PCA for pca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w:t>
      </w:r>
      <w:r w:rsidRPr="00AE1595">
        <w:rPr>
          <w:rFonts w:ascii="Arial" w:hAnsi="Arial" w:cs="Arial"/>
        </w:rPr>
        <w:lastRenderedPageBreak/>
        <w:t xml:space="preserve">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C177DF">
      <w:pPr>
        <w:spacing w:line="480" w:lineRule="auto"/>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xml:space="preserve">.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w:t>
      </w:r>
      <w:r w:rsidRPr="00AE1595">
        <w:rPr>
          <w:rFonts w:ascii="Arial" w:hAnsi="Arial" w:cs="Arial"/>
        </w:rPr>
        <w:lastRenderedPageBreak/>
        <w:t>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w:t>
      </w:r>
      <w:r w:rsidRPr="00AE1595">
        <w:rPr>
          <w:rFonts w:ascii="Arial" w:hAnsi="Arial" w:cs="Arial"/>
        </w:rPr>
        <w:lastRenderedPageBreak/>
        <w:t>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76330984" w14:textId="77777777" w:rsidR="00F13DE0" w:rsidRDefault="00AE1595" w:rsidP="00F13DE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F13DE0" w:rsidRPr="00F13DE0">
        <w:rPr>
          <w:lang w:val="de-DE"/>
        </w:rPr>
        <w:t xml:space="preserve">Aeschbacher, S., Beaumont, M. A., &amp; Futschik, A. (2012). </w:t>
      </w:r>
      <w:r w:rsidR="00F13DE0">
        <w:t xml:space="preserve">A novel approach for choosing summary statistics in approximate Bayesian computation. In </w:t>
      </w:r>
      <w:r w:rsidR="00F13DE0">
        <w:rPr>
          <w:i/>
          <w:iCs/>
        </w:rPr>
        <w:t>Genetics</w:t>
      </w:r>
      <w:r w:rsidR="00F13DE0">
        <w:t xml:space="preserve"> (Vol. 192, Issue 3, pp. 1027–1047).</w:t>
      </w:r>
    </w:p>
    <w:p w14:paraId="1F01139A" w14:textId="77777777" w:rsidR="00F13DE0" w:rsidRDefault="00F13DE0" w:rsidP="00F13DE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759BE29" w14:textId="77777777" w:rsidR="00F13DE0" w:rsidRDefault="00F13DE0" w:rsidP="00F13DE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18E0DBC0" w14:textId="77777777" w:rsidR="00F13DE0" w:rsidRDefault="00F13DE0" w:rsidP="00F13DE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055B18B7" w14:textId="77777777" w:rsidR="00F13DE0" w:rsidRDefault="00F13DE0" w:rsidP="00F13DE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12CFCE4B" w14:textId="77777777" w:rsidR="00F13DE0" w:rsidRDefault="00F13DE0" w:rsidP="00F13DE0">
      <w:pPr>
        <w:pStyle w:val="Bibliography"/>
      </w:pPr>
      <w:r>
        <w:lastRenderedPageBreak/>
        <w:t xml:space="preserve">Beaumont, M., &amp; Rannala, B. (2004). The Bayesian revolution in genetics. In </w:t>
      </w:r>
      <w:r>
        <w:rPr>
          <w:i/>
          <w:iCs/>
        </w:rPr>
        <w:t>Nature Reviews Genetics</w:t>
      </w:r>
      <w:r>
        <w:t xml:space="preserve"> (Vol. 5, Issue 4, pp. 251–261). https://doi.org/10.1038/nrg1318</w:t>
      </w:r>
    </w:p>
    <w:p w14:paraId="4929D45C" w14:textId="77777777" w:rsidR="00F13DE0" w:rsidRDefault="00F13DE0" w:rsidP="00F13DE0">
      <w:pPr>
        <w:pStyle w:val="Bibliography"/>
      </w:pPr>
      <w:r>
        <w:t xml:space="preserve">Beaumont, M., Zhang, W., &amp; Balding, D. J. (2002). Approximate Bayesian computation in population genetics. In </w:t>
      </w:r>
      <w:r>
        <w:rPr>
          <w:i/>
          <w:iCs/>
        </w:rPr>
        <w:t>Genetics</w:t>
      </w:r>
      <w:r>
        <w:t xml:space="preserve"> (Vol. 162, Issue 4, pp. 2025–2035).</w:t>
      </w:r>
    </w:p>
    <w:p w14:paraId="64C4A157" w14:textId="77777777" w:rsidR="00F13DE0" w:rsidRDefault="00F13DE0" w:rsidP="00F13DE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666E713A" w14:textId="77777777" w:rsidR="00F13DE0" w:rsidRDefault="00F13DE0" w:rsidP="00F13DE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5FAAA1E" w14:textId="77777777" w:rsidR="00F13DE0" w:rsidRDefault="00F13DE0" w:rsidP="00F13DE0">
      <w:pPr>
        <w:pStyle w:val="Bibliography"/>
      </w:pPr>
      <w:r>
        <w:t xml:space="preserve">Cannon, P., Ward, D., &amp; Schmon, S. M. (2022). Investigating the impact of model misspecification in neural simulation-based inference. In </w:t>
      </w:r>
      <w:r>
        <w:rPr>
          <w:i/>
          <w:iCs/>
        </w:rPr>
        <w:t>arXiv preprint arXiv:2209.01845</w:t>
      </w:r>
      <w:r>
        <w:t>.</w:t>
      </w:r>
    </w:p>
    <w:p w14:paraId="6C5D17E3" w14:textId="77777777" w:rsidR="00F13DE0" w:rsidRDefault="00F13DE0" w:rsidP="00F13DE0">
      <w:pPr>
        <w:pStyle w:val="Bibliography"/>
      </w:pPr>
      <w:r>
        <w:rPr>
          <w:i/>
          <w:iCs/>
        </w:rPr>
        <w:t>CATS Report Scotland</w:t>
      </w:r>
      <w:r>
        <w:t>. (2021). [Report]. Cats Protection.</w:t>
      </w:r>
    </w:p>
    <w:p w14:paraId="4A6A5B3F" w14:textId="77777777" w:rsidR="00F13DE0" w:rsidRDefault="00F13DE0" w:rsidP="00F13DE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6D3B5C6C" w14:textId="77777777" w:rsidR="00F13DE0" w:rsidRDefault="00F13DE0" w:rsidP="00F13DE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9558197" w14:textId="77777777" w:rsidR="00F13DE0" w:rsidRDefault="00F13DE0" w:rsidP="00F13DE0">
      <w:pPr>
        <w:pStyle w:val="Bibliography"/>
      </w:pPr>
      <w:r>
        <w:t xml:space="preserve">Durkan, C., Papamakarios, G., &amp; Murray, I. (2018). Sequential neural methods for likelihood-free inference. </w:t>
      </w:r>
      <w:r>
        <w:rPr>
          <w:i/>
          <w:iCs/>
        </w:rPr>
        <w:t>arXiv Preprint arXiv:1811.08723</w:t>
      </w:r>
      <w:r>
        <w:t>.</w:t>
      </w:r>
    </w:p>
    <w:p w14:paraId="00593621" w14:textId="77777777" w:rsidR="00F13DE0" w:rsidRDefault="00F13DE0" w:rsidP="00F13DE0">
      <w:pPr>
        <w:pStyle w:val="Bibliography"/>
      </w:pPr>
      <w:r w:rsidRPr="00F13DE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797E5345" w14:textId="77777777" w:rsidR="00F13DE0" w:rsidRDefault="00F13DE0" w:rsidP="00F13DE0">
      <w:pPr>
        <w:pStyle w:val="Bibliography"/>
      </w:pPr>
      <w:r>
        <w:lastRenderedPageBreak/>
        <w:t xml:space="preserve">Furia, C. S., &amp; Churchill, R. M. (2022). Normalizing flows for likelihood-free inference with fusion simulations. In </w:t>
      </w:r>
      <w:r>
        <w:rPr>
          <w:i/>
          <w:iCs/>
        </w:rPr>
        <w:t>Plasma Physics and Controlled Fusion</w:t>
      </w:r>
      <w:r>
        <w:t xml:space="preserve"> (Vol. 64, Issue 10, p. 104003).</w:t>
      </w:r>
    </w:p>
    <w:p w14:paraId="7E4D829D" w14:textId="77777777" w:rsidR="00F13DE0" w:rsidRPr="00F13DE0" w:rsidRDefault="00F13DE0" w:rsidP="00F13DE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F13DE0">
        <w:rPr>
          <w:lang w:val="de-DE"/>
        </w:rPr>
        <w:t xml:space="preserve">In </w:t>
      </w:r>
      <w:r w:rsidRPr="00F13DE0">
        <w:rPr>
          <w:i/>
          <w:iCs/>
          <w:lang w:val="de-DE"/>
        </w:rPr>
        <w:t>eLife</w:t>
      </w:r>
      <w:r w:rsidRPr="00F13DE0">
        <w:rPr>
          <w:lang w:val="de-DE"/>
        </w:rPr>
        <w:t xml:space="preserve"> (Vol. 9, p. e56261). https://doi.org/10.7554/eLife.56261</w:t>
      </w:r>
    </w:p>
    <w:p w14:paraId="7E98B5B2" w14:textId="77777777" w:rsidR="00F13DE0" w:rsidRDefault="00F13DE0" w:rsidP="00F13DE0">
      <w:pPr>
        <w:pStyle w:val="Bibliography"/>
      </w:pPr>
      <w:r w:rsidRPr="00F13DE0">
        <w:rPr>
          <w:lang w:val="de-DE"/>
        </w:rPr>
        <w:t xml:space="preserve">Greenberg, D., Nonnenmacher, M., &amp; Macke, J. (2019). </w:t>
      </w:r>
      <w:r>
        <w:rPr>
          <w:i/>
          <w:iCs/>
        </w:rPr>
        <w:t>Automatic posterior transformation for likelihood-free inference</w:t>
      </w:r>
      <w:r>
        <w:t xml:space="preserve"> (pp. 2404–2414). PMLR.</w:t>
      </w:r>
    </w:p>
    <w:p w14:paraId="437F66D3" w14:textId="77777777" w:rsidR="00F13DE0" w:rsidRDefault="00F13DE0" w:rsidP="00F13DE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9987B8E" w14:textId="77777777" w:rsidR="00F13DE0" w:rsidRDefault="00F13DE0" w:rsidP="00F13DE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39C8B454" w14:textId="77777777" w:rsidR="00F13DE0" w:rsidRDefault="00F13DE0" w:rsidP="00F13DE0">
      <w:pPr>
        <w:pStyle w:val="Bibliography"/>
      </w:pPr>
      <w:r w:rsidRPr="00F13DE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63BAC7C4" w14:textId="77777777" w:rsidR="00F13DE0" w:rsidRDefault="00F13DE0" w:rsidP="00F13DE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0F8E8E76" w14:textId="77777777" w:rsidR="00F13DE0" w:rsidRDefault="00F13DE0" w:rsidP="00F13DE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6AFBF9B0" w14:textId="77777777" w:rsidR="00F13DE0" w:rsidRDefault="00F13DE0" w:rsidP="00F13DE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5FA6D750" w14:textId="77777777" w:rsidR="00F13DE0" w:rsidRDefault="00F13DE0" w:rsidP="00F13DE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1E9EF400" w14:textId="77777777" w:rsidR="00F13DE0" w:rsidRDefault="00F13DE0" w:rsidP="00F13DE0">
      <w:pPr>
        <w:pStyle w:val="Bibliography"/>
      </w:pPr>
      <w:r w:rsidRPr="00F13DE0">
        <w:rPr>
          <w:lang w:val="de-DE"/>
        </w:rPr>
        <w:lastRenderedPageBreak/>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30378F8" w14:textId="77777777" w:rsidR="00F13DE0" w:rsidRDefault="00F13DE0" w:rsidP="00F13DE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7449B2F" w14:textId="77777777" w:rsidR="00F13DE0" w:rsidRDefault="00F13DE0" w:rsidP="00F13DE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2E0232CA" w14:textId="77777777" w:rsidR="00F13DE0" w:rsidRDefault="00F13DE0" w:rsidP="00F13DE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5634B9F" w14:textId="77777777" w:rsidR="00F13DE0" w:rsidRDefault="00F13DE0" w:rsidP="00F13DE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6D58DD3D" w14:textId="77777777" w:rsidR="00F13DE0" w:rsidRDefault="00F13DE0" w:rsidP="00F13DE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052C5C22" w14:textId="77777777" w:rsidR="00F13DE0" w:rsidRDefault="00F13DE0" w:rsidP="00F13DE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11D73848" w14:textId="77777777" w:rsidR="00F13DE0" w:rsidRDefault="00F13DE0" w:rsidP="00F13DE0">
      <w:pPr>
        <w:pStyle w:val="Bibliography"/>
      </w:pPr>
      <w:r w:rsidRPr="00F13DE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0896D0EA" w14:textId="77777777" w:rsidR="00F13DE0" w:rsidRDefault="00F13DE0" w:rsidP="00F13DE0">
      <w:pPr>
        <w:pStyle w:val="Bibliography"/>
      </w:pPr>
      <w:r>
        <w:t xml:space="preserve">Kidger, P., &amp; Garcia, C. (2021). Equinox: Neural networks in JAX via callable PyTrees and filtered transformations. </w:t>
      </w:r>
      <w:r>
        <w:rPr>
          <w:i/>
          <w:iCs/>
        </w:rPr>
        <w:t>arXiv Preprint arXiv:2111.00254</w:t>
      </w:r>
      <w:r>
        <w:t>.</w:t>
      </w:r>
    </w:p>
    <w:p w14:paraId="1CD961AC" w14:textId="77777777" w:rsidR="00F13DE0" w:rsidRDefault="00F13DE0" w:rsidP="00F13DE0">
      <w:pPr>
        <w:pStyle w:val="Bibliography"/>
      </w:pPr>
      <w:r>
        <w:t xml:space="preserve">Kingman, J. F. C. (1982). The coalescent. In </w:t>
      </w:r>
      <w:r>
        <w:rPr>
          <w:i/>
          <w:iCs/>
        </w:rPr>
        <w:t>Stochastic Processes and their Applications</w:t>
      </w:r>
      <w:r>
        <w:t xml:space="preserve"> (Vol. 13, Issue 3, pp. 235–248). https://doi.org/10.1016/0304-4149(82)90011-4</w:t>
      </w:r>
    </w:p>
    <w:p w14:paraId="5A84D3F5" w14:textId="77777777" w:rsidR="00F13DE0" w:rsidRDefault="00F13DE0" w:rsidP="00F13DE0">
      <w:pPr>
        <w:pStyle w:val="Bibliography"/>
      </w:pPr>
      <w:r w:rsidRPr="00F13DE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4C43AFE" w14:textId="77777777" w:rsidR="00F13DE0" w:rsidRDefault="00F13DE0" w:rsidP="00F13DE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6717E5B5" w14:textId="77777777" w:rsidR="00F13DE0" w:rsidRDefault="00F13DE0" w:rsidP="00F13DE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1AD43CE1" w14:textId="77777777" w:rsidR="00F13DE0" w:rsidRDefault="00F13DE0" w:rsidP="00F13DE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B303B55" w14:textId="77777777" w:rsidR="00F13DE0" w:rsidRDefault="00F13DE0" w:rsidP="00F13DE0">
      <w:pPr>
        <w:pStyle w:val="Bibliography"/>
      </w:pPr>
      <w:r>
        <w:t xml:space="preserve">Neaves, L. E., &amp; Hollingsworth, P. M. (2013). </w:t>
      </w:r>
      <w:r>
        <w:rPr>
          <w:i/>
          <w:iCs/>
        </w:rPr>
        <w:t>The Scottish wildcat (Felis sylvestris): A review of genetic information and its implications for management</w:t>
      </w:r>
      <w:r>
        <w:t>.</w:t>
      </w:r>
    </w:p>
    <w:p w14:paraId="6461238A" w14:textId="77777777" w:rsidR="00F13DE0" w:rsidRDefault="00F13DE0" w:rsidP="00F13DE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7D9D420A" w14:textId="77777777" w:rsidR="00F13DE0" w:rsidRDefault="00F13DE0" w:rsidP="00F13DE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14FB82D4" w14:textId="77777777" w:rsidR="00F13DE0" w:rsidRDefault="00F13DE0" w:rsidP="00F13DE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0FD6C8F9" w14:textId="77777777" w:rsidR="00F13DE0" w:rsidRDefault="00F13DE0" w:rsidP="00F13DE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3DE8B6A6" w14:textId="77777777" w:rsidR="00F13DE0" w:rsidRDefault="00F13DE0" w:rsidP="00F13DE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3B3CF01" w14:textId="77777777" w:rsidR="00F13DE0" w:rsidRDefault="00F13DE0" w:rsidP="00F13DE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441924E4" w14:textId="77777777" w:rsidR="00F13DE0" w:rsidRDefault="00F13DE0" w:rsidP="00F13DE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13A91C44" w14:textId="77777777" w:rsidR="00F13DE0" w:rsidRDefault="00F13DE0" w:rsidP="00F13DE0">
      <w:pPr>
        <w:pStyle w:val="Bibliography"/>
      </w:pPr>
      <w:r w:rsidRPr="00F13DE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59AE2396" w14:textId="77777777" w:rsidR="00F13DE0" w:rsidRDefault="00F13DE0" w:rsidP="00F13DE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089804E4" w14:textId="77777777" w:rsidR="00F13DE0" w:rsidRDefault="00F13DE0" w:rsidP="00F13DE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4B0058AC" w14:textId="77777777" w:rsidR="00F13DE0" w:rsidRDefault="00F13DE0" w:rsidP="00F13DE0">
      <w:pPr>
        <w:pStyle w:val="Bibliography"/>
      </w:pPr>
      <w:r w:rsidRPr="00F13DE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6756A103" w14:textId="77777777" w:rsidR="00F13DE0" w:rsidRDefault="00F13DE0" w:rsidP="00F13DE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016BEAD4" w14:textId="77777777" w:rsidR="00F13DE0" w:rsidRDefault="00F13DE0" w:rsidP="00F13DE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241C685C" w14:textId="77777777" w:rsidR="00F13DE0" w:rsidRDefault="00F13DE0" w:rsidP="00F13DE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0DC64BE" w14:textId="77777777" w:rsidR="00F13DE0" w:rsidRDefault="00F13DE0" w:rsidP="00F13DE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5211B1C4" w14:textId="77777777" w:rsidR="00F13DE0" w:rsidRDefault="00F13DE0" w:rsidP="00F13DE0">
      <w:pPr>
        <w:pStyle w:val="Bibliography"/>
      </w:pPr>
      <w:r>
        <w:t xml:space="preserve">Ward, D. (2024). </w:t>
      </w:r>
      <w:r>
        <w:rPr>
          <w:i/>
          <w:iCs/>
        </w:rPr>
        <w:t>FlowJAX: Distributions and Normalizing Flows in Jax</w:t>
      </w:r>
      <w:r>
        <w:t xml:space="preserve"> (Version 12.0.1) [Computer software]. https://doi.org/10.5281/zenodo.10402073</w:t>
      </w:r>
    </w:p>
    <w:p w14:paraId="0BDD7B42" w14:textId="77777777" w:rsidR="00F13DE0" w:rsidRDefault="00F13DE0" w:rsidP="00F13DE0">
      <w:pPr>
        <w:pStyle w:val="Bibliography"/>
      </w:pPr>
      <w:r>
        <w:t xml:space="preserve">Ward, Daniel. (2021). </w:t>
      </w:r>
      <w:r>
        <w:rPr>
          <w:i/>
          <w:iCs/>
        </w:rPr>
        <w:t>Scottish Wildcats and Simulations as a Tool for Demographic Inference</w:t>
      </w:r>
      <w:r>
        <w:t xml:space="preserve"> [Thesis].</w:t>
      </w:r>
    </w:p>
    <w:p w14:paraId="4ACE384A" w14:textId="77777777" w:rsidR="00F13DE0" w:rsidRDefault="00F13DE0" w:rsidP="00F13DE0">
      <w:pPr>
        <w:pStyle w:val="Bibliography"/>
      </w:pPr>
      <w:r w:rsidRPr="00F13DE0">
        <w:rPr>
          <w:lang w:val="de-DE"/>
        </w:rPr>
        <w:lastRenderedPageBreak/>
        <w:t xml:space="preserve">Yamaguchi, N., Kitchener, A., Driscoll, C., &amp; Nussberger, B. (2015). </w:t>
      </w:r>
      <w:r>
        <w:rPr>
          <w:i/>
          <w:iCs/>
        </w:rPr>
        <w:t>Felis silvestris. The IUCN red list of threatened species 2015: E. T60354712A50652361</w:t>
      </w:r>
      <w:r>
        <w:t>. URL: http://dx. doi. org/10.2305/IUCN. UK.</w:t>
      </w:r>
    </w:p>
    <w:p w14:paraId="4AA6F3FE" w14:textId="465D549E"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GridTable5Dark-Accent1"/>
        <w:tblW w:w="0" w:type="auto"/>
        <w:tblLook w:val="06A0" w:firstRow="1" w:lastRow="0" w:firstColumn="1" w:lastColumn="0" w:noHBand="1" w:noVBand="1"/>
      </w:tblPr>
      <w:tblGrid>
        <w:gridCol w:w="2205"/>
        <w:gridCol w:w="2791"/>
        <w:gridCol w:w="4020"/>
      </w:tblGrid>
      <w:tr w:rsidR="005E1FCB" w:rsidRPr="00AE1595" w14:paraId="4F029A65" w14:textId="77777777" w:rsidTr="00D42DD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Very broad around mtDNA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Flooding of Doggerland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5D5C7713"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01668540"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CC8B3BA">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1ECAC2E6"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Pairplot of joint distributions between parameters that show correlation.</w:t>
      </w:r>
      <w:r w:rsidR="007F334B">
        <w:rPr>
          <w:rFonts w:ascii="Arial" w:hAnsi="Arial" w:cs="Arial"/>
        </w:rPr>
        <w:t xml:space="preserve"> (maybe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CA30E6"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divergence_domestic_eu</w:t>
            </w:r>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divergence_captive_lyb</w:t>
            </w:r>
          </w:p>
          <w:p w14:paraId="1ABC9EA5"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segregating_sites_lyb</w:t>
            </w:r>
          </w:p>
          <w:p w14:paraId="511EE600"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segregating_sites_eu</w:t>
            </w:r>
          </w:p>
          <w:p w14:paraId="296A6179" w14:textId="77777777" w:rsidR="00A84E2A" w:rsidRPr="00A84E2A" w:rsidRDefault="00A84E2A" w:rsidP="00A84E2A">
            <w:pPr>
              <w:spacing w:line="240" w:lineRule="auto"/>
              <w:jc w:val="both"/>
              <w:rPr>
                <w:rFonts w:ascii="Arial" w:hAnsi="Arial" w:cs="Arial"/>
              </w:rPr>
            </w:pPr>
            <w:r w:rsidRPr="00A84E2A">
              <w:rPr>
                <w:rFonts w:ascii="Arial" w:hAnsi="Arial" w:cs="Arial"/>
              </w:rPr>
              <w:t>divergence_scot_lyb</w:t>
            </w:r>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r w:rsidRPr="00A84E2A">
              <w:rPr>
                <w:rFonts w:ascii="Arial" w:hAnsi="Arial" w:cs="Arial"/>
              </w:rPr>
              <w:t>diversity_domestic</w:t>
            </w:r>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r>
              <w:rPr>
                <w:rFonts w:ascii="Arial" w:hAnsi="Arial" w:cs="Arial"/>
                <w:lang w:val="fr-FR"/>
              </w:rPr>
              <w:t>Outlier detection absolute noise &lt;0.8.</w:t>
            </w:r>
          </w:p>
        </w:tc>
        <w:tc>
          <w:tcPr>
            <w:tcW w:w="4638" w:type="dxa"/>
          </w:tcPr>
          <w:p w14:paraId="63AAD228" w14:textId="77777777" w:rsidR="00A84E2A" w:rsidRPr="00A84E2A" w:rsidRDefault="00A84E2A" w:rsidP="00A84E2A">
            <w:pPr>
              <w:spacing w:line="240" w:lineRule="auto"/>
              <w:jc w:val="both"/>
              <w:rPr>
                <w:rFonts w:ascii="Arial" w:hAnsi="Arial" w:cs="Arial"/>
              </w:rPr>
            </w:pPr>
            <w:r w:rsidRPr="00A84E2A">
              <w:rPr>
                <w:rFonts w:ascii="Arial" w:hAnsi="Arial" w:cs="Arial"/>
              </w:rPr>
              <w:t>tajimas_d_eu</w:t>
            </w:r>
          </w:p>
          <w:p w14:paraId="2B4D3794" w14:textId="77777777" w:rsidR="00A84E2A" w:rsidRPr="00A84E2A" w:rsidRDefault="00A84E2A" w:rsidP="00A84E2A">
            <w:pPr>
              <w:spacing w:line="240" w:lineRule="auto"/>
              <w:jc w:val="both"/>
              <w:rPr>
                <w:rFonts w:ascii="Arial" w:hAnsi="Arial" w:cs="Arial"/>
              </w:rPr>
            </w:pPr>
            <w:r w:rsidRPr="00A84E2A">
              <w:rPr>
                <w:rFonts w:ascii="Arial" w:hAnsi="Arial" w:cs="Arial"/>
              </w:rPr>
              <w:t>relatedness_domestic_lyb</w:t>
            </w:r>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r w:rsidRPr="00A84E2A">
              <w:rPr>
                <w:rFonts w:ascii="Arial" w:hAnsi="Arial" w:cs="Arial"/>
              </w:rPr>
              <w:t>relatedness_captive_lyb</w:t>
            </w:r>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CA30E6"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relatedness_domestic_eu</w:t>
            </w:r>
          </w:p>
          <w:p w14:paraId="3F773A4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tajimas_d_lyb</w:t>
            </w:r>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r w:rsidRPr="00A84E2A">
              <w:rPr>
                <w:rFonts w:ascii="Arial" w:hAnsi="Arial" w:cs="Arial"/>
              </w:rPr>
              <w:t>fst_scot_lyb</w:t>
            </w:r>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281A3A" w:rsidRDefault="00281A3A" w:rsidP="00C177DF">
      <w:pPr>
        <w:spacing w:line="480" w:lineRule="auto"/>
        <w:jc w:val="both"/>
        <w:rPr>
          <w:rFonts w:ascii="Arial" w:hAnsi="Arial" w:cs="Arial"/>
        </w:rPr>
      </w:pPr>
    </w:p>
    <w:sectPr w:rsidR="00281A3A" w:rsidRPr="00281A3A"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80974" w14:textId="77777777" w:rsidR="004C01CA" w:rsidRDefault="004C01CA" w:rsidP="00D951F6">
      <w:pPr>
        <w:spacing w:line="240" w:lineRule="auto"/>
      </w:pPr>
      <w:r>
        <w:separator/>
      </w:r>
    </w:p>
  </w:endnote>
  <w:endnote w:type="continuationSeparator" w:id="0">
    <w:p w14:paraId="18D677B5" w14:textId="77777777" w:rsidR="004C01CA" w:rsidRDefault="004C01CA"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D3D13" w14:textId="77777777" w:rsidR="004C01CA" w:rsidRDefault="004C01CA" w:rsidP="00D951F6">
      <w:pPr>
        <w:spacing w:line="240" w:lineRule="auto"/>
      </w:pPr>
      <w:r>
        <w:separator/>
      </w:r>
    </w:p>
  </w:footnote>
  <w:footnote w:type="continuationSeparator" w:id="0">
    <w:p w14:paraId="0408E238" w14:textId="77777777" w:rsidR="004C01CA" w:rsidRDefault="004C01CA"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103E3"/>
    <w:rsid w:val="00021233"/>
    <w:rsid w:val="00023644"/>
    <w:rsid w:val="000244E8"/>
    <w:rsid w:val="00042834"/>
    <w:rsid w:val="0004516E"/>
    <w:rsid w:val="00061C58"/>
    <w:rsid w:val="0007627B"/>
    <w:rsid w:val="000A38BF"/>
    <w:rsid w:val="000A7157"/>
    <w:rsid w:val="000A78ED"/>
    <w:rsid w:val="000B210C"/>
    <w:rsid w:val="000C2147"/>
    <w:rsid w:val="000C774D"/>
    <w:rsid w:val="000D584A"/>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5117D"/>
    <w:rsid w:val="00351D4D"/>
    <w:rsid w:val="003655FD"/>
    <w:rsid w:val="00367950"/>
    <w:rsid w:val="0037063E"/>
    <w:rsid w:val="00385CAE"/>
    <w:rsid w:val="003A0BE9"/>
    <w:rsid w:val="003A49FD"/>
    <w:rsid w:val="003A6B67"/>
    <w:rsid w:val="003B14FD"/>
    <w:rsid w:val="003C274D"/>
    <w:rsid w:val="003C384B"/>
    <w:rsid w:val="003C6D05"/>
    <w:rsid w:val="003E2064"/>
    <w:rsid w:val="003E5AB0"/>
    <w:rsid w:val="003F5A52"/>
    <w:rsid w:val="003F5EB2"/>
    <w:rsid w:val="00403F54"/>
    <w:rsid w:val="004064FF"/>
    <w:rsid w:val="00411B30"/>
    <w:rsid w:val="00412724"/>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C01CA"/>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7F334B"/>
    <w:rsid w:val="00810ADF"/>
    <w:rsid w:val="0081152E"/>
    <w:rsid w:val="00827131"/>
    <w:rsid w:val="00831C39"/>
    <w:rsid w:val="008328E7"/>
    <w:rsid w:val="008368D0"/>
    <w:rsid w:val="008421F1"/>
    <w:rsid w:val="00851926"/>
    <w:rsid w:val="0085414E"/>
    <w:rsid w:val="00856069"/>
    <w:rsid w:val="0086216A"/>
    <w:rsid w:val="00863C71"/>
    <w:rsid w:val="00863D47"/>
    <w:rsid w:val="008664E1"/>
    <w:rsid w:val="0087596D"/>
    <w:rsid w:val="00892742"/>
    <w:rsid w:val="00892D74"/>
    <w:rsid w:val="008B2BC6"/>
    <w:rsid w:val="008B4C10"/>
    <w:rsid w:val="008B5079"/>
    <w:rsid w:val="008C03C4"/>
    <w:rsid w:val="008C04AA"/>
    <w:rsid w:val="008D4417"/>
    <w:rsid w:val="008E006F"/>
    <w:rsid w:val="008E279D"/>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B304B"/>
    <w:rsid w:val="00EB7A1F"/>
    <w:rsid w:val="00EC2D39"/>
    <w:rsid w:val="00ED2B41"/>
    <w:rsid w:val="00ED4739"/>
    <w:rsid w:val="00ED5F8D"/>
    <w:rsid w:val="00ED7962"/>
    <w:rsid w:val="00F10E80"/>
    <w:rsid w:val="00F13DE0"/>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28871</Words>
  <Characters>164567</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22</cp:revision>
  <cp:lastPrinted>2023-09-12T09:20:00Z</cp:lastPrinted>
  <dcterms:created xsi:type="dcterms:W3CDTF">2023-09-11T23:26:00Z</dcterms:created>
  <dcterms:modified xsi:type="dcterms:W3CDTF">2024-10-31T16:22:00Z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id="rAF2aQmm"/&gt;&lt;style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