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Segoe UI" w:hAnsi="Segoe UI" w:eastAsia="微软雅黑"/>
          <w:b/>
          <w:i w:val="0"/>
          <w:color w:val="0E3F8C"/>
          <w:sz w:val="38"/>
        </w:rPr>
        <w:t>桥体卫士 · 12 分钟答辩讲稿（单人主讲）</w:t>
      </w:r>
    </w:p>
    <w:p>
      <w:pPr>
        <w:spacing w:after="200"/>
      </w:pPr>
      <w:r>
        <w:rPr>
          <w:rFonts w:ascii="Segoe UI" w:hAnsi="Segoe UI" w:eastAsia="微软雅黑"/>
          <w:b w:val="0"/>
          <w:i w:val="0"/>
          <w:color w:val="8A97A8"/>
          <w:sz w:val="18"/>
        </w:rPr>
        <w:t>配套文件：桥体卫士答辩PPT_12分钟版.pptx（15 页）</w:t>
      </w:r>
    </w:p>
    <w:p>
      <w:pPr>
        <w:spacing w:after="60" w:before="0" w:line="324" w:lineRule="auto"/>
        <w:ind w:left="227"/>
        <w:jc w:val="left"/>
      </w:pPr>
      <w:r>
        <w:rPr>
          <w:rFonts w:ascii="Segoe UI" w:hAnsi="Segoe UI" w:eastAsia="微软雅黑"/>
          <w:b w:val="0"/>
          <w:i w:val="0"/>
          <w:color w:val="475569"/>
          <w:sz w:val="20"/>
        </w:rPr>
        <w:t>· 总时长预算：</w:t>
      </w:r>
      <w:r>
        <w:rPr>
          <w:rFonts w:ascii="Segoe UI" w:hAnsi="Segoe UI" w:eastAsia="微软雅黑"/>
          <w:b/>
          <w:i w:val="0"/>
          <w:color w:val="475569"/>
          <w:sz w:val="20"/>
        </w:rPr>
        <w:t>690 秒 ≈ 11 分 30 秒</w:t>
      </w:r>
      <w:r>
        <w:rPr>
          <w:rFonts w:ascii="Segoe UI" w:hAnsi="Segoe UI" w:eastAsia="微软雅黑"/>
          <w:b w:val="0"/>
          <w:i w:val="0"/>
          <w:color w:val="475569"/>
          <w:sz w:val="20"/>
        </w:rPr>
        <w:t>（赛制 12 分钟，预留 30 秒机动）</w:t>
      </w:r>
    </w:p>
    <w:p>
      <w:pPr>
        <w:spacing w:after="60" w:before="0" w:line="324" w:lineRule="auto"/>
        <w:ind w:left="227"/>
        <w:jc w:val="left"/>
      </w:pPr>
      <w:r>
        <w:rPr>
          <w:rFonts w:ascii="Segoe UI" w:hAnsi="Segoe UI" w:eastAsia="微软雅黑"/>
          <w:b w:val="0"/>
          <w:i w:val="0"/>
          <w:color w:val="475569"/>
          <w:sz w:val="20"/>
        </w:rPr>
        <w:t>· 口径：不使用硬件实物；现场跑软件（模拟数据源 + 浏览器三维监测场景）</w:t>
      </w:r>
    </w:p>
    <w:p>
      <w:pPr>
        <w:spacing w:after="60" w:before="0" w:line="324" w:lineRule="auto"/>
        <w:ind w:left="227"/>
        <w:jc w:val="left"/>
      </w:pPr>
      <w:r>
        <w:rPr>
          <w:rFonts w:ascii="Segoe UI" w:hAnsi="Segoe UI" w:eastAsia="微软雅黑"/>
          <w:b w:val="0"/>
          <w:i w:val="0"/>
          <w:color w:val="475569"/>
          <w:sz w:val="20"/>
        </w:rPr>
        <w:t xml:space="preserve">· 讲稿按 </w:t>
      </w:r>
      <w:r>
        <w:rPr>
          <w:rFonts w:ascii="Segoe UI" w:hAnsi="Segoe UI" w:eastAsia="微软雅黑"/>
          <w:b/>
          <w:i w:val="0"/>
          <w:color w:val="475569"/>
          <w:sz w:val="20"/>
        </w:rPr>
        <w:t>4.5 字/秒</w:t>
      </w:r>
      <w:r>
        <w:rPr>
          <w:rFonts w:ascii="Segoe UI" w:hAnsi="Segoe UI" w:eastAsia="微软雅黑"/>
          <w:b w:val="0"/>
          <w:i w:val="0"/>
          <w:color w:val="475569"/>
          <w:sz w:val="20"/>
        </w:rPr>
        <w:t xml:space="preserve"> 中文口语速记；每页字数均已压在预算内</w:t>
      </w:r>
    </w:p>
    <w:p>
      <w:pPr>
        <w:spacing w:after="60" w:before="0" w:line="324" w:lineRule="auto"/>
        <w:ind w:left="227"/>
        <w:jc w:val="left"/>
      </w:pPr>
      <w:r>
        <w:rPr>
          <w:rFonts w:ascii="Segoe UI" w:hAnsi="Segoe UI" w:eastAsia="微软雅黑"/>
          <w:b w:val="0"/>
          <w:i w:val="0"/>
          <w:color w:val="475569"/>
          <w:sz w:val="20"/>
        </w:rPr>
        <w:t>· 加粗处为重音；括号内为动作提示（不念出来）</w:t>
      </w:r>
    </w:p>
    <w:p>
      <w:pPr>
        <w:spacing w:after="60" w:before="0" w:line="324" w:lineRule="auto"/>
        <w:ind w:left="227"/>
        <w:jc w:val="left"/>
      </w:pPr>
      <w:r>
        <w:rPr>
          <w:rFonts w:ascii="Segoe UI" w:hAnsi="Segoe UI" w:eastAsia="微软雅黑"/>
          <w:b w:val="0"/>
          <w:i w:val="0"/>
          <w:color w:val="475569"/>
          <w:sz w:val="20"/>
        </w:rPr>
        <w:t xml:space="preserve">· </w:t>
      </w:r>
      <w:r>
        <w:rPr>
          <w:rFonts w:ascii="Segoe UI" w:hAnsi="Segoe UI" w:eastAsia="微软雅黑"/>
          <w:b/>
          <w:i w:val="0"/>
          <w:color w:val="475569"/>
          <w:sz w:val="20"/>
        </w:rPr>
        <w:t>页码口径（2026-10-13 校正）</w:t>
      </w:r>
      <w:r>
        <w:rPr>
          <w:rFonts w:ascii="Segoe UI" w:hAnsi="Segoe UI" w:eastAsia="微软雅黑"/>
          <w:b w:val="0"/>
          <w:i w:val="0"/>
          <w:color w:val="475569"/>
          <w:sz w:val="20"/>
        </w:rPr>
        <w:t>：本讲稿页码 = PPT 实际页序，</w:t>
      </w:r>
      <w:r>
        <w:rPr>
          <w:rFonts w:ascii="Segoe UI" w:hAnsi="Segoe UI" w:eastAsia="微软雅黑"/>
          <w:b/>
          <w:i w:val="0"/>
          <w:color w:val="475569"/>
          <w:sz w:val="20"/>
        </w:rPr>
        <w:t>视频页是第 2 页</w:t>
      </w:r>
      <w:r>
        <w:rPr>
          <w:rFonts w:ascii="Segoe UI" w:hAnsi="Segoe UI" w:eastAsia="微软雅黑"/>
          <w:b w:val="0"/>
          <w:i w:val="0"/>
          <w:color w:val="475569"/>
          <w:sz w:val="20"/>
        </w:rPr>
        <w:t>。</w:t>
      </w:r>
    </w:p>
    <w:p>
      <w:pPr>
        <w:spacing w:after="120" w:before="0" w:line="324" w:lineRule="auto"/>
        <w:jc w:val="left"/>
      </w:pPr>
      <w:r>
        <w:rPr>
          <w:rFonts w:ascii="Segoe UI" w:hAnsi="Segoe UI" w:eastAsia="微软雅黑"/>
          <w:b w:val="0"/>
          <w:i w:val="0"/>
          <w:color w:val="475569"/>
          <w:sz w:val="20"/>
        </w:rPr>
        <w:t>旧版讲稿把视频排在第 6 讲，与 PPT 实际顺序不符（讲稿生成于 10-09 20:03，PPT 改版重建于 10-09 20:20），</w:t>
      </w:r>
      <w:r>
        <w:rPr>
          <w:rFonts w:ascii="Segoe UI" w:hAnsi="Segoe UI" w:eastAsia="微软雅黑"/>
          <w:b/>
          <w:i w:val="0"/>
          <w:color w:val="475569"/>
          <w:sz w:val="20"/>
        </w:rPr>
        <w:t>旧口径已作废</w:t>
      </w:r>
      <w:r>
        <w:rPr>
          <w:rFonts w:ascii="Segoe UI" w:hAnsi="Segoe UI" w:eastAsia="微软雅黑"/>
          <w:b w:val="0"/>
          <w:i w:val="0"/>
          <w:color w:val="475569"/>
          <w:sz w:val="20"/>
        </w:rPr>
        <w:t>。</w:t>
      </w:r>
    </w:p>
    <w:p>
      <w:pPr>
        <w:spacing w:before="200" w:after="12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8"/>
        </w:rPr>
        <w:t>一、时间分配表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835"/>
        <w:gridCol w:w="1077"/>
        <w:gridCol w:w="850"/>
        <w:gridCol w:w="850"/>
        <w:gridCol w:w="3742"/>
      </w:tblGrid>
      <w:tr>
        <w:trPr>
          <w:cantSplit/>
          <w:tblHeader w:val="true"/>
        </w:trPr>
        <w:tc>
          <w:tcPr>
            <w:tcW w:type="dxa" w:w="737"/>
            <w:shd w:val="clear" w:color="auto" w:fill="0E3F8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835"/>
            <w:shd w:val="clear" w:color="auto" w:fill="0E3F8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页</w:t>
            </w:r>
          </w:p>
        </w:tc>
        <w:tc>
          <w:tcPr>
            <w:tcW w:type="dxa" w:w="1077"/>
            <w:shd w:val="clear" w:color="auto" w:fill="0E3F8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小节</w:t>
            </w:r>
          </w:p>
        </w:tc>
        <w:tc>
          <w:tcPr>
            <w:tcW w:type="dxa" w:w="850"/>
            <w:shd w:val="clear" w:color="auto" w:fill="0E3F8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850"/>
            <w:shd w:val="clear" w:color="auto" w:fill="0E3F8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累计</w:t>
            </w:r>
          </w:p>
        </w:tc>
        <w:tc>
          <w:tcPr>
            <w:tcW w:type="dxa" w:w="3742"/>
            <w:shd w:val="clear" w:color="auto" w:fill="0E3F8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关键动作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01</w:t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桥体卫士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30s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30s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开场定调：30 秒内说清「我是谁、做了什么」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02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软件全链路演示（1 分钟）</w:t>
            </w:r>
          </w:p>
        </w:tc>
        <w:tc>
          <w:tcPr>
            <w:tcW w:type="dxa" w:w="1077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现场演示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1:00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1:30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视频替身：播放视频期间只讲两句串场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03</w:t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为什么做这件事 —— 桥梁受载监测的痛点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项目定位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50s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2:20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抛出问题：为什么要做，以及诚实的定位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04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六层架构 —— 数据源可插拔</w:t>
            </w:r>
          </w:p>
        </w:tc>
        <w:tc>
          <w:tcPr>
            <w:tcW w:type="dxa" w:w="1077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系统架构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50s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3:10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给出答案的骨架：六层解耦、数据源可插拔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05</w:t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数据源与设备策略 —— 断线如实离线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工程兜底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45s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3:55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工程兜底能力：双模式、断线不造假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06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三维监测场景 —— 一屏统管</w:t>
            </w:r>
          </w:p>
        </w:tc>
        <w:tc>
          <w:tcPr>
            <w:tcW w:type="dxa" w:w="1077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核心亮点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1:00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4:55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全场高潮：三维可视化监测场景（放慢语速）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07</w:t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风险联动 —— 颜色就是结论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核心亮点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45s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5:40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解释高潮：颜色怎么随风险等级联动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08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6 类可解释规则 —— 每条报警说清为什么</w:t>
            </w:r>
          </w:p>
        </w:tc>
        <w:tc>
          <w:tcPr>
            <w:tcW w:type="dxa" w:w="1077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技术核心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55s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6:35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技术核心：6 类可解释规则，每条说清为什么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09</w:t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报警处置闭环 —— 每条告警都有交代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业务闭环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50s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7:25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业务价值：报警必须被处置才算闭环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10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数据可靠与全程可追溯</w:t>
            </w:r>
          </w:p>
        </w:tc>
        <w:tc>
          <w:tcPr>
            <w:tcW w:type="dxa" w:w="1077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数据可靠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45s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8:10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可信度：五表 + 审计留痕，历史可查可导出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11</w:t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安全与工程化 —— 能交付的程度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工程质量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40s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8:50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工程质量：安全防线与工程化清单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12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可度量成果 —— 测试覆盖</w:t>
            </w:r>
          </w:p>
        </w:tc>
        <w:tc>
          <w:tcPr>
            <w:tcW w:type="dxa" w:w="1077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验证证据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50s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9:40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硬证据：101 个用例、11 个测试文件与测试域覆盖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13</w:t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诚实边界与扩展方向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诚实边界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45s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10:25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诚实边界：做不到什么、下一步做什么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14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价值总结</w:t>
            </w:r>
          </w:p>
        </w:tc>
        <w:tc>
          <w:tcPr>
            <w:tcW w:type="dxa" w:w="1077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价值收束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40s</w:t>
            </w:r>
          </w:p>
        </w:tc>
        <w:tc>
          <w:tcPr>
            <w:tcW w:type="dxa" w:w="850"/>
            <w:shd w:val="clear" w:color="auto" w:fill="F2F6FC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11:05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收束金句：全场唯一金句页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15</w:t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0B1B2B"/>
                <w:sz w:val="19"/>
              </w:rPr>
              <w:t>致谢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25s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11:30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Segoe UI" w:hAnsi="Segoe UI" w:eastAsia="微软雅黑"/>
                <w:b w:val="0"/>
                <w:i w:val="0"/>
                <w:color w:val="475569"/>
                <w:sz w:val="19"/>
              </w:rPr>
              <w:t>致谢收尾：回到一句承诺</w:t>
            </w:r>
          </w:p>
        </w:tc>
      </w:tr>
    </w:tbl>
    <w:p>
      <w:pPr>
        <w:spacing w:after="40"/>
      </w:pP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 xml:space="preserve">合计 </w:t>
      </w:r>
      <w:r>
        <w:rPr>
          <w:rFonts w:ascii="Segoe UI" w:hAnsi="Segoe UI" w:eastAsia="微软雅黑"/>
          <w:b/>
          <w:i w:val="0"/>
          <w:color w:val="0B1B2B"/>
          <w:sz w:val="24"/>
        </w:rPr>
        <w:t>11:30</w:t>
      </w:r>
      <w:r>
        <w:rPr>
          <w:rFonts w:ascii="Segoe UI" w:hAnsi="Segoe UI" w:eastAsia="微软雅黑"/>
          <w:b w:val="0"/>
          <w:i w:val="0"/>
          <w:color w:val="0B1B2B"/>
          <w:sz w:val="24"/>
        </w:rPr>
        <w:t>；第 2 页视频占位页的 60 秒里，讲稿只占约 12 秒，其余留给视频本身。</w:t>
      </w:r>
    </w:p>
    <w:p>
      <w:pPr>
        <w:spacing w:before="200" w:after="12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8"/>
        </w:rPr>
        <w:t>二、逐页讲稿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01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桥体卫士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（30s｜94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各位评委好，我是「桥体卫士」的答辩人。这是一套桥梁结构健康监测的缩尺原型系统：从采集、判断、存储到展示与处置，五个环节跑成一条完整闭环。这套系统是怎么做的、能证明什么，我用十二分钟讲清楚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02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软件全链路演示（1 分钟）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（1:00｜111 字）</w:t>
      </w:r>
    </w:p>
    <w:p>
      <w:pPr>
        <w:spacing w:after="80" w:before="0" w:line="324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475569"/>
          <w:sz w:val="19"/>
        </w:rPr>
        <w:t>※ 本页为视频占位页（</w:t>
      </w:r>
      <w:r>
        <w:rPr>
          <w:rFonts w:ascii="Segoe UI" w:hAnsi="Segoe UI" w:eastAsia="微软雅黑"/>
          <w:b/>
          <w:i w:val="0"/>
          <w:color w:val="475569"/>
          <w:sz w:val="19"/>
        </w:rPr>
        <w:t>PPT 第 2 页</w:t>
      </w:r>
      <w:r>
        <w:rPr>
          <w:rFonts w:ascii="Segoe UI" w:hAnsi="Segoe UI" w:eastAsia="微软雅黑"/>
          <w:b w:val="0"/>
          <w:i w:val="0"/>
          <w:color w:val="475569"/>
          <w:sz w:val="19"/>
        </w:rPr>
        <w:t>）：把录屏插进占位框，播放期间只讲下面两句。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见 _spec/SPEC_s06_video.md（文件名沿用旧页码；视频页现为</w:t>
      </w:r>
      <w:r>
        <w:rPr>
          <w:rFonts w:ascii="Segoe UI" w:hAnsi="Segoe UI" w:eastAsia="微软雅黑"/>
          <w:b/>
          <w:i w:val="0"/>
          <w:color w:val="0B1B2B"/>
          <w:sz w:val="24"/>
        </w:rPr>
        <w:t>第 2 页</w:t>
      </w:r>
      <w:r>
        <w:rPr>
          <w:rFonts w:ascii="Segoe UI" w:hAnsi="Segoe UI" w:eastAsia="微软雅黑"/>
          <w:b w:val="0"/>
          <w:i w:val="0"/>
          <w:color w:val="0B1B2B"/>
          <w:sz w:val="24"/>
        </w:rPr>
        <w:t>）。开场：「这一分钟是系统的完整操作录屏——用模拟数据源跑通全链路，因为本次不使用硬件。」收尾：「视频里最后一步是拔掉设备、系统如实显示离线——这是我最想强调的一点：不造假。」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03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为什么做这件事 —— 桥梁受载监测的痛点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（50s｜122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桥梁长期受载，结构健康关乎安全。但专业监测设备贵、部署难，还依赖标定。这套系统换了一个思路：用缩尺桥梁模型做受载变化模拟，把采集、判断、存储、展示、处置这条链路完整跑通。这里先说明边界：它是缩尺原型，输出的是相对应变指标，无量纲，不做精度承诺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04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六层架构 —— 数据源可插拔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（50s｜138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整个系统分六层：硬件层、采集层、规则引擎、数据层、服务层、展示层。最核心的设计在采集层——一个数据源抽象：模拟器和真实串口实现同一个接口，用环境变量一键切换。这意味着同样的报警判断、同样的存储、同样的界面，换数据源不用改上层代码。后端一共 19 条路由，核心 Python 模块 6 个。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05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数据源与设备策略 —— 断线如实离线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（45s｜140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数据源有两种：模拟和真实串口，用 DATA_SOURCE 一键切换。现场最怕不确定，所以设备健康度由三样东西构成：心跳时间戳、连续超时计数、最近错误原因。拔掉设备，大屏立刻如实显示「设备离线」，并触发一条设备离线报警——不沿用旧值制造在线假象。真实硬件链路已实现，本次按软件模式演示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06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三维监测场景 —— 一屏统管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（1:00｜209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这是核心亮点。大屏中央是「桥梁结构三维可视化监测场景」——按花江峡谷大桥的公开设计参数程序化建模：主跨 1420 米、双塔单跨钢桁梁悬索桥；杆件与缆索按公开参数生成，它是几何示意，不是实测模型。场景可以旋转、缩放、平移，双击任意位置就能聚焦过去，一共五个预设视角，结构线框可以开关，点选测点就能看到部位说明。风险等级一变，全场颜色和测点波纹节奏跟着变。依赖全部本地化，断网照样跑；WebGL 不可用时会如实降级成二维示意图。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07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风险联动 —— 颜色就是结论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（45s｜136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风险分四级：正常、预警、报警、严重报警，对应绿、黄、橙、红。分级口径是：超过阈值 1.2 倍判严重报警，1.1 倍判报警，其余是预警。颜色不是装饰——大屏风险卡、阈值仪表、报警行共用同一套颜色语言，一眼就能看出现在处于哪一级。规则用边沿触发加滞回，进入超限只提醒一次，不会刷屏。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08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6 类可解释规则 —— 每条报警说清为什么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（55s｜203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报警引擎一共六类规则：阈值超限、变化率突变、持续超限、短时波动、基线偏移，加上设备离线。关键在可解释：每条报警都带着触发规则、触发值和原因。比如原因会写成「应变指标 135.00 超过阈值 120.00，相对应变指标，无量纲」——评委看到的是一个事实，不是一个红点。规则默认参数是：阈值 120、变化率 10、持续 5 个点、基线窗口 30、漂移 20。防刷屏靠边沿触发加滞回：进入超限的瞬间只报一次，回到安全区才允许再报。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09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报警处置闭环 —— 每条告警都有交代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（50s｜141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报警不是终点。待处置计数在报警出现时变红，值班人员点「确认处理」，状态从「未处理」变为「已处理」，处置留痕。设备离线会触发一条严重报警，恢复在线时系统自动记录「设备恢复」——连设备自身的异常也纳入同一个闭环。另外，谁在何时改了阈值或采样周期，都写进审计表，设置页能看到最近变更记录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10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数据可靠与全程可追溯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（45s｜156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数据统一存在 SQLite 里，一共五张表：samples 采样、alarms 报警、settings 参数、audit 审计、device_heartbeat 设备心跳。时间、设备号、来源、状态这些字段口径统一，主要表都建了时间索引，历史查询不会全表加载。每次参数变更都会写审计，历史数据支持时间筛选、统计摘要和 CSV 导出。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11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安全与工程化 —— 能交付的程度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（40s｜128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安全上，密钥走环境变量、不硬编码；所有页面和接口统一鉴权，未登录访问 API 返回 401；写接口都做 CSRF 防护；口令支持哈希校验，可用环境变量切换。工程化上，测试套件一共 101 个用例、11 个测试文件，覆盖规则引擎、数据层、鉴权、CSRF、串口链路与设备心跳。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12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可度量成果 —— 测试覆盖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（50s｜151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成果是可度量的。测试套件一共 101 个用例、11 个测试文件，覆盖规则引擎、数据层、鉴权、CSRF、串口链路、设备心跳与离线，还有页面壳和移动端布局。规则引擎里防刷屏和分级判定的用例也在其中。另外，历史页会动态拉取当前生效阈值，超限统计和阈值线跟设置页保持一致。每个结论都能用源码、测试输出或现场演示复核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13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诚实边界与扩展方向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（45s｜138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最后是边界。当前是单设备原型，没有做冗余；输出的是相对应变指标，无量纲，不是工程应变；采样周期 1 秒，不是毫秒级；也没有做长期稳定性验证。这些如实说。扩展方向很明确：多测点接入、HTTP 备份通道、更长时间的老化与稳定性测试，以及更细的标定流程。拿不出证据的，就如实写「待实测」。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14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价值总结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（40s｜105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如果只让我用三个词总结这个作品：可解释、可追溯、不造假。每条报警说得出为什么，每次改动和处置都留得下痕迹，每句结论都拿得出源码、测试或演示来证明。做完整的监测闭环，不做无法佐证的能力描述。这就是我想交付的东西。</w:t>
      </w:r>
    </w:p>
    <w:p>
      <w:pPr>
        <w:spacing w:before="220" w:after="8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4"/>
        </w:rPr>
        <w:t xml:space="preserve">第 15 页　</w:t>
      </w:r>
      <w:r>
        <w:rPr>
          <w:rFonts w:ascii="Segoe UI" w:hAnsi="Segoe UI" w:eastAsia="微软雅黑"/>
          <w:b/>
          <w:i w:val="0"/>
          <w:color w:val="0B1B2B"/>
          <w:sz w:val="24"/>
        </w:rPr>
        <w:t>致谢</w:t>
      </w:r>
      <w:r>
        <w:rPr>
          <w:rFonts w:ascii="Segoe UI" w:hAnsi="Segoe UI" w:eastAsia="微软雅黑"/>
          <w:b/>
          <w:i w:val="0"/>
          <w:color w:val="009E92"/>
          <w:sz w:val="20"/>
        </w:rPr>
        <w:t xml:space="preserve">　（25s｜52 字）</w:t>
      </w:r>
    </w:p>
    <w:p>
      <w:pPr>
        <w:spacing w:after="160" w:before="0" w:line="360" w:lineRule="auto"/>
        <w:ind w:left="170"/>
        <w:jc w:val="left"/>
      </w:pPr>
      <w:r>
        <w:rPr>
          <w:rFonts w:ascii="Segoe UI" w:hAnsi="Segoe UI" w:eastAsia="微软雅黑"/>
          <w:b w:val="0"/>
          <w:i w:val="0"/>
          <w:color w:val="0B1B2B"/>
          <w:sz w:val="24"/>
        </w:rPr>
        <w:t>我的汇报到这里。这套系统的每一处结论，都能用源码、测试或现场演示复核。接下来请看现场演示。谢谢各位评委。</w:t>
      </w:r>
    </w:p>
    <w:p>
      <w:pPr>
        <w:spacing w:before="200" w:after="12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8"/>
        </w:rPr>
        <w:t>三、现场衔接与兜底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 xml:space="preserve">· </w:t>
      </w:r>
      <w:r>
        <w:rPr>
          <w:rFonts w:ascii="Segoe UI" w:hAnsi="Segoe UI" w:eastAsia="微软雅黑"/>
          <w:b/>
          <w:i w:val="0"/>
          <w:color w:val="0B1B2B"/>
          <w:sz w:val="21"/>
        </w:rPr>
        <w:t>第 6–7 页是全场重心</w:t>
      </w:r>
      <w:r>
        <w:rPr>
          <w:rFonts w:ascii="Segoe UI" w:hAnsi="Segoe UI" w:eastAsia="微软雅黑"/>
          <w:b w:val="0"/>
          <w:i w:val="0"/>
          <w:color w:val="0B1B2B"/>
          <w:sz w:val="21"/>
        </w:rPr>
        <w:t>：切到浏览器三维监测场景，边讲边操作（旋转、切预设视角、看测点标注）。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 xml:space="preserve">· </w:t>
      </w:r>
      <w:r>
        <w:rPr>
          <w:rFonts w:ascii="Segoe UI" w:hAnsi="Segoe UI" w:eastAsia="微软雅黑"/>
          <w:b/>
          <w:i w:val="0"/>
          <w:color w:val="0B1B2B"/>
          <w:sz w:val="21"/>
        </w:rPr>
        <w:t>第 2 页视频</w:t>
      </w:r>
      <w:r>
        <w:rPr>
          <w:rFonts w:ascii="Segoe UI" w:hAnsi="Segoe UI" w:eastAsia="微软雅黑"/>
          <w:b w:val="0"/>
          <w:i w:val="0"/>
          <w:color w:val="0B1B2B"/>
          <w:sz w:val="21"/>
        </w:rPr>
        <w:t>：视频卡住就跳过，直接说「细节我口头补」，翻到第 3 页继续讲痛点，不要停在那儿等。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 xml:space="preserve">· </w:t>
      </w:r>
      <w:r>
        <w:rPr>
          <w:rFonts w:ascii="Segoe UI" w:hAnsi="Segoe UI" w:eastAsia="微软雅黑"/>
          <w:b/>
          <w:i w:val="0"/>
          <w:color w:val="0B1B2B"/>
          <w:sz w:val="21"/>
        </w:rPr>
        <w:t>现场软件出问题</w:t>
      </w:r>
      <w:r>
        <w:rPr>
          <w:rFonts w:ascii="Segoe UI" w:hAnsi="Segoe UI" w:eastAsia="微软雅黑"/>
          <w:b w:val="0"/>
          <w:i w:val="0"/>
          <w:color w:val="0B1B2B"/>
          <w:sz w:val="21"/>
        </w:rPr>
        <w:t>：模拟数据源本身就是兜底方案；实在打不开就只看 PPT，第 6 页的线框示意图能替代现场画面。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 xml:space="preserve">· </w:t>
      </w:r>
      <w:r>
        <w:rPr>
          <w:rFonts w:ascii="Segoe UI" w:hAnsi="Segoe UI" w:eastAsia="微软雅黑"/>
          <w:b/>
          <w:i w:val="0"/>
          <w:color w:val="0B1B2B"/>
          <w:sz w:val="21"/>
        </w:rPr>
        <w:t>时间不够（超过 11 分钟）</w:t>
      </w:r>
      <w:r>
        <w:rPr>
          <w:rFonts w:ascii="Segoe UI" w:hAnsi="Segoe UI" w:eastAsia="微软雅黑"/>
          <w:b w:val="0"/>
          <w:i w:val="0"/>
          <w:color w:val="0B1B2B"/>
          <w:sz w:val="21"/>
        </w:rPr>
        <w:t>：可压缩顺序为 第 11 页 → 第 10 页 → 第 4 页（各压 15 秒），</w:t>
      </w:r>
      <w:r>
        <w:rPr>
          <w:rFonts w:ascii="Segoe UI" w:hAnsi="Segoe UI" w:eastAsia="微软雅黑"/>
          <w:b/>
          <w:i w:val="0"/>
          <w:color w:val="0B1B2B"/>
          <w:sz w:val="21"/>
        </w:rPr>
        <w:t>不要压缩第 6、8、12 页</w:t>
      </w:r>
      <w:r>
        <w:rPr>
          <w:rFonts w:ascii="Segoe UI" w:hAnsi="Segoe UI" w:eastAsia="微软雅黑"/>
          <w:b w:val="0"/>
          <w:i w:val="0"/>
          <w:color w:val="0B1B2B"/>
          <w:sz w:val="21"/>
        </w:rPr>
        <w:t>。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 xml:space="preserve">· </w:t>
      </w:r>
      <w:r>
        <w:rPr>
          <w:rFonts w:ascii="Segoe UI" w:hAnsi="Segoe UI" w:eastAsia="微软雅黑"/>
          <w:b/>
          <w:i w:val="0"/>
          <w:color w:val="0B1B2B"/>
          <w:sz w:val="21"/>
        </w:rPr>
        <w:t>评委追问</w:t>
      </w:r>
      <w:r>
        <w:rPr>
          <w:rFonts w:ascii="Segoe UI" w:hAnsi="Segoe UI" w:eastAsia="微软雅黑"/>
          <w:b w:val="0"/>
          <w:i w:val="0"/>
          <w:color w:val="0B1B2B"/>
          <w:sz w:val="21"/>
        </w:rPr>
        <w:t>：口径依据见 docs/答辩材料.md 第六节；「不能说的话」清单见同文件第七节。</w:t>
      </w:r>
    </w:p>
    <w:p>
      <w:pPr>
        <w:spacing w:before="200" w:after="120"/>
        <w:keepNext w:val="true"/>
        <w:keepLines w:val="true"/>
      </w:pPr>
      <w:r>
        <w:rPr>
          <w:rFonts w:ascii="Segoe UI" w:hAnsi="Segoe UI" w:eastAsia="微软雅黑"/>
          <w:b/>
          <w:i w:val="0"/>
          <w:color w:val="0E3F8C"/>
          <w:sz w:val="28"/>
        </w:rPr>
        <w:t>四、不能说的话（红线）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>1. 不说「真实桥梁应变监测」——是</w:t>
      </w:r>
      <w:r>
        <w:rPr>
          <w:rFonts w:ascii="Segoe UI" w:hAnsi="Segoe UI" w:eastAsia="微软雅黑"/>
          <w:b/>
          <w:i w:val="0"/>
          <w:color w:val="0B1B2B"/>
          <w:sz w:val="21"/>
        </w:rPr>
        <w:t>缩尺模型受载模拟</w:t>
      </w:r>
      <w:r>
        <w:rPr>
          <w:rFonts w:ascii="Segoe UI" w:hAnsi="Segoe UI" w:eastAsia="微软雅黑"/>
          <w:b w:val="0"/>
          <w:i w:val="0"/>
          <w:color w:val="0B1B2B"/>
          <w:sz w:val="21"/>
        </w:rPr>
        <w:t>。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>2. 不说「工程级标定 / 高精度 / 符合国家规范」——未做工程标定。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>3. 不说「AI 智能预警 / 机器学习 / 预测分析」——只有可解释规则。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>4. 不说「大数据 / 数字孪生」——统一说</w:t>
      </w:r>
      <w:r>
        <w:rPr>
          <w:rFonts w:ascii="Segoe UI" w:hAnsi="Segoe UI" w:eastAsia="微软雅黑"/>
          <w:b/>
          <w:i w:val="0"/>
          <w:color w:val="0B1B2B"/>
          <w:sz w:val="21"/>
        </w:rPr>
        <w:t>三维可视化监测场景</w:t>
      </w:r>
      <w:r>
        <w:rPr>
          <w:rFonts w:ascii="Segoe UI" w:hAnsi="Segoe UI" w:eastAsia="微软雅黑"/>
          <w:b w:val="0"/>
          <w:i w:val="0"/>
          <w:color w:val="0B1B2B"/>
          <w:sz w:val="21"/>
        </w:rPr>
        <w:t>。</w:t>
      </w:r>
    </w:p>
    <w:p>
      <w:pPr>
        <w:spacing w:after="80" w:before="0" w:line="324" w:lineRule="auto"/>
        <w:ind w:left="340"/>
        <w:jc w:val="left"/>
      </w:pPr>
      <w:r>
        <w:rPr>
          <w:rFonts w:ascii="Segoe UI" w:hAnsi="Segoe UI" w:eastAsia="微软雅黑"/>
          <w:b w:val="0"/>
          <w:i w:val="0"/>
          <w:color w:val="0B1B2B"/>
          <w:sz w:val="21"/>
        </w:rPr>
        <w:t>5. 不承诺「±X 微应变精度」——输出是相对应变指标（无量纲）。</w:t>
      </w:r>
    </w:p>
    <w:sectPr w:rsidR="00FC693F" w:rsidRPr="0006063C" w:rsidSect="00034616">
      <w:footerReference w:type="default" r:id="rId9"/>
      <w:pgSz w:w="11906" w:h="16838"/>
      <w:pgMar w:top="1077" w:right="907" w:bottom="107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i w:val="0"/>
        <w:color w:val="8A97A8"/>
        <w:sz w:val="16"/>
      </w:rPr>
      <w:t xml:space="preserve">桥体卫士 · 12 分钟答辩讲稿　第 </w:t>
    </w:r>
    <w:r/>
    <w:fldSimple w:instr="PAGE"/>
    <w:r>
      <w:rPr>
        <w:rFonts w:ascii="Segoe UI" w:hAnsi="Segoe UI" w:eastAsia="微软雅黑"/>
        <w:b w:val="0"/>
        <w:i w:val="0"/>
        <w:color w:val="8A97A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