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26 集｜跨境电商财务管理全攻略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从商业模式、公司架构到资金税务与产品壁垒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2025-02-25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16:11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7475199818843868470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跨境电商的财务管理不能只盯核算和税负，而要同时设计商业模式、主体架构、资金通道、出口路径、库存周转和激励机制。平台型卖家起步快但费用高、规则风险大；能长期赚钱的企业通常具备独立站沉淀、产品研发生产能力和多年运营积累。财务负责人的任务，是把架构、现金、合规和产品单位经济性连成一个经营闭环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模式选择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独立站慢启动、可沉淀客户 → 平台起步快、费用与规则成本高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公司架构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业务规模与战略 → 境内外主体 → 关联交易 → 外汇与投资备案 → 风险隔离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资金安全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收款通道准入 → 周度/月度预测 → 留足付款余额 → 及时归集 → 拒付与冻结预警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盈利闭环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精准选品 → 全口径贡献毛利 → 库存周转 → 净现金流提成 → 研发形成差异化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一、先识别跨境电商的商业模式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独立站与平台店的取舍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独立站需要自己引流、积累客户和建立信任，开局较慢；一旦形成稳定流量和复购，客户资产与经营自主性更强。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亚马逊、TikTok Shop等平台自带流量，开店相对容易，但平台费、投流费、仓储配送费和规则约束会压缩利润，并存在罚款、冻结资金或封店风险。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赚钱企业常见的三种基因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视频总结为：拥有独立站；掌握设计、研发、生产和销售；通常已持续运营三年以上。这是案例经验，不是成功的充分条件。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平台卖家首先要解决选品。品类跨度过大将导致流量不精准、粉丝不垂直、SKU和海外库存膨胀，传统无差别铺货模式越来越难。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二、公司与股权结构应服务业务战略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是否搭建香港或新加坡平台公司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计划跨区域扩张、需要多币种结算或全球业务平台时，可评估香港、新加坡等境外主体；只做小规模店铺时，复杂架构的维护成本可能超过收益。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境外公司与大陆公司可以形成母子公司，也可以相互独立。最终方案要同时评估控制权、分红路径、外汇、税务、银行开户和实质经营要求。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关联交易必须真实且定价合理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境内团队为境外主体提供运营、投流、客服或技术服务时，应有真实业务、合同、交付物、发票与资金流，形成可核验的业务链条。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关联交易价格应符合独立交易原则，不能以明显偏高或偏低的价格任意转移利润；自然人境外特殊目的公司、企业境外投资等事项应分别评估外汇登记和ODI等要求。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三、按业务线拆分主体与核算单元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游戏跨境平台案例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案例企业同时经营礼品卡B2C业务，以及游戏金币、装备、账号和代练等C2C业务；礼品卡业务约占收入80%，但最初全部装在一家香港公司。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讲师建议按业务性质、责任边界和风险程度拆分项目公司，平台主体主要收取服务费，并通过真实的独家运营协议明确权责。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新业务要独立核算和配置资源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代理业务当时约占5%，但具有增长潜力，适合设置独立小组、单独核算并给予匹配的政策与激励。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拆分不是为了增加壳公司，而是为了看清各业务线的收入、毛利、现金、人员效率和法律风险，决定继续投入、孵化或退出。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四、资金安全是跨境经营的生命线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收款通道准入与资金归集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独立站常用PayPal、Stripe等通道；小型或不明通道可能结算慢甚至不结算，应核验牌照、费率、备付金安排、拒付规则和服务稳定性。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按未来一周或一个月的必要付款预测，在支付账户留足余额，其余资金及时转入企业银行账户，减少平台冻结和单点故障暴露。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信用卡拒付和本地支付风控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Visa、Mastercard等信用卡交易存在盗刷和拒付风险，应跟踪争议率、异常交易行为、IP与设备、客单价和证件验证，设置人工复核与预警阈值。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不同国家常有本地支付通道，选择时不能只看转化率，还要比较结算周期、退款拒付、币种转换、合规牌照和资金可追索性。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虚拟交易还要纳入IT安全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游戏金币、装备和账号具有可变现价值，可能遭遇黑客攻击、系统宕机、绕过系统提现或后台权限滥用。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财务应与技术共同建立权限分离、提现复核、异常余额监控、备份恢复和事故应急机制，把技术风险转化为可监控的资金风险。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五、结汇、税务与出口模式要形成证据链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境内服务与境外收入的衔接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大陆运营公司为香港、新加坡主体提供客服、技术或投流服务，应签订服务协议并留存人员、工时、交付和定价依据。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视频提到跨境应税服务免税备案、香港税种及各销售地纳税义务；这些规则具有地域和时效性，落地前须由专业机构按最新法规、业务实质和客户所在地复核。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9810、0110与1039的案例口径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视频将9810理解为海外仓备货、销售后退税，将0110理解为一般贸易出口，并提到部分地区的1039市场采购模式。每种模式的适用主体、单证、收汇和退税条件不同。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政策更新提醒：视频发布后，9810已实行“离境即退税、销售再核算”的新安排。出口模式不能照搬视频口径，应以海关、税务机关最新规定和实际合同物流为准。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合同、物流、资金与报关相互勾稽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若境外主体作为买方，货款应进入与交易结构匹配的境外账户，关联定价应有依据，并避免货物流、合同流、资金流和单证相互矛盾。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货物不一定先运到香港或新加坡，可由合同指定大陆公司直接发往目标国仓库；关键是交易安排真实、权责清楚、单证闭合。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六、平台费用和库存决定真实利润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亚马逊案例的全成本口径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杭州案例企业2015年成立、2019年开始盈利，经营汽车配件、户外、箱包和爬宠用品，SKU较多，主要做亚马逊。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视频口径称平台服务、仓储、FBA配送和流量等费用合计可占销售额50%至60%，尚未包含商品采购和国内至海外仓运输；该比例只代表案例企业。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毛利下降与库存积压要联动分析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案例称2024年毛利率从约40%降至30%，净利率约12%。财务应按SKU、店铺、国家和仓库核算贡献毛利，而不是只看平台显示的销售额。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海外仓储费高且可能上涨，应把库龄、周转天数、库容、补货周期、滞销处置和退税节奏纳入滚动现金预测。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多店铺不能替代规则合规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平台侵权投诉、同行恶意举报和店铺关联可能导致货物或资金冻结。设立多个主体和店铺仍需遵守平台规则、知识产权和受益所有人披露要求。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财务要建立店铺—主体—账户—库存—知识产权映射，做资金集中度和封店情景压力测试，避免单一平台风险传导至全部业务。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七、激励与产品能力决定长期竞争力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用净现金贡献设计业务提成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案例不是按会计利润或销售额直接提成，而是以回款减采购、海运、仓储、平台费和人工后的净现金贡献作为分成基础。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这种方法能把库存周转和真实回款纳入激励，但实施时要统一成本口径、退货退款、公共费用和结算周期，防止短期行为。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同质化采购难以维持高毛利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从义乌、1688等渠道采购相同产品，容易出现同质化、低价竞争、抄袭和侵权；不设计、不打样、不研发、不生产，毛利上限通常较低。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高质量案例由中国团队负责设计研发生产、海外股东团队负责营销和渠道，再将本地需求反馈给中国迭代产品，形成跨境闭环。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财务负责人的落地看板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建议至少跟踪：SKU贡献毛利、广告投入产出、平台费率、拒付率、冻结余额、库存周转、库龄、退货率、汇兑损益和各主体现金余额。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把上述指标按店铺、国家、主体和产品周度复盘，并设置封店、汇率波动、销量下降和库存滞销情景，提前安排资金与退出方案。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26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齐昊老师学员实战案例第26集：跨境电商财务管理全攻略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