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360"/>
        <w:jc w:val="center"/>
      </w:pPr>
      <w:r>
        <w:rPr>
          <w:rFonts w:ascii="Calibri" w:hAnsi="Calibri" w:eastAsia="Microsoft YaHei"/>
          <w:b/>
          <w:i w:val="0"/>
          <w:color w:val="A66B14"/>
          <w:sz w:val="22"/>
        </w:rPr>
        <w:t>财务管理实战案例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i w:val="0"/>
          <w:color w:val="1F4D78"/>
          <w:sz w:val="54"/>
        </w:rPr>
        <w:t>第 27 集｜建筑行业成本核算四大核心</w:t>
      </w:r>
    </w:p>
    <w:p>
      <w:pPr>
        <w:spacing w:after="520"/>
        <w:jc w:val="center"/>
      </w:pPr>
      <w:r>
        <w:rPr>
          <w:rFonts w:ascii="Calibri" w:hAnsi="Calibri" w:eastAsia="Microsoft YaHei"/>
          <w:b w:val="0"/>
          <w:i w:val="0"/>
          <w:color w:val="2E74B5"/>
          <w:sz w:val="28"/>
        </w:rPr>
        <w:t>材料、人工、机械与间接费用的项目全过程控制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主讲账号：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齐昊老师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发布时间：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2025-04-09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视频时长：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12:56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视频编号：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7491115692020747558</w:t>
      </w:r>
    </w:p>
    <w:p>
      <w:pPr>
        <w:spacing w:after="320"/>
      </w:pPr>
    </w:p>
    <w:p>
      <w:pPr>
        <w:shd w:fill="EAF3EE"/>
        <w:pBdr>
          <w:left w:val="single" w:sz="18" w:space="8" w:color="2F6B4F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2F6B4F"/>
          <w:sz w:val="21"/>
        </w:rPr>
        <w:t xml:space="preserve">核心结论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建筑企业以项目为成本核算对象，材料费、人工费、机械费和间接费用必须从报销、合同和台账源头准确归集。真正的成本管理不止是入账，还包括预算量价、图纸复核、采购比价、变更签证、劳务与机械结算、设备真实性和超预算分析。财务负责人至少要成为“半个业务”，才能从票据核算升级为项目利润和回款管理。</w:t>
      </w:r>
    </w:p>
    <w:p>
      <w:pPr>
        <w:shd w:fill="F4F6F9"/>
        <w:pBdr>
          <w:left w:val="single" w:sz="18" w:space="8" w:color="64748B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64748B"/>
          <w:sz w:val="21"/>
        </w:rPr>
        <w:t xml:space="preserve">整理口径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依据公开视频静默转写并结构化改写；不是逐字稿。视频中的金额、税率与政策口径保留其发表时语境，实际工作应按最新法规和具体事实复核。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一页总览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4"/>
        <w:gridCol w:w="7056"/>
      </w:tblGrid>
      <w:tr>
        <w:trPr>
          <w:tblHeader w:val="true"/>
        </w:trPr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节点</w:t>
            </w:r>
          </w:p>
        </w:tc>
        <w:tc>
          <w:tcPr>
            <w:tcW w:type="dxa" w:w="70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核心内容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核算对象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自营项目 → 项目辅助核算 → 工程施工归集 → 按履约与收入进度匹配结转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四大成本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材料费 → 人工费 → 机械费 → 间接费用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控制主线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中标预算 → 施工图与量价 → 采购/分包/租赁 → 现场台账 → 变更签证 → 审计结算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财务定位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懂图纸与清单 → 深入现场 → 验证业务真实性 → 分析偏差 → 支持项目经营</w:t>
            </w:r>
          </w:p>
        </w:tc>
      </w:tr>
    </w:tbl>
    <w:p>
      <w:pPr>
        <w:shd w:fill="FFF7E8"/>
        <w:pBdr>
          <w:left w:val="single" w:sz="18" w:space="8" w:color="A66B14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A66B14"/>
          <w:sz w:val="21"/>
        </w:rPr>
        <w:t xml:space="preserve">逻辑主线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识别商业事实 → 找到管理根因 → 把财务控制嵌入业务流程 → 用数据支持经营决策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一、先区分项目模式和管理重点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自营项目才是本集成本核算重点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建筑项目大致存在自营、联营和挂靠等形态。自营项目重点是成本、增效和回款；分包、转包、挂靠还要优先识别合同、资质、法律与财税风险。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制造业通常按产品核算并分配制造费用，建筑业主要按项目核算，共同性费用分摊相对少，但源头归集更重要。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从报销和付款入口标记项目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业务人员提交发票、报销单、付款申请或合同时，必须注明所属项目、成本类别、合同和责任部门。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统一项目编码应贯穿预算、采购、合同、发票、付款、库存、台账和总账，避免月末靠财务人员猜测归属。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二、收入与成本要按项目进度匹配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先归集工程成本，再匹配结转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材料、人工、机械和间接费用先归集至对应项目的工程成本，随后依据适用会计准则、履约进度和收入确认口径结转主营业务成本。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视频用“收入确认80%，成本也结转80%”说明配比思想；实际不能机械套用比例，应以合同履约义务、进度证据和会计政策为准。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付款比例和质保金只是案例口径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视频举例甲方按完工产值70%至80%付款、质保金约3%、质保期一至三年，并留有尾款；不同合同、项目和地区差异很大。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财务应分别跟踪已完工未结算、已结算未开票、应收工程款、质保金和逾期尾款，不能用开票或收款简单替代收入确认。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三、预算、图纸和变更签证决定结算基础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中标后拆解材料量价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预算部或预算员应将中标清单拆成主料、辅料、数量和价格，并与施工图逐项核对。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若图纸包含的材料在投标清单中遗漏，应尽早与甲方确认范围并办理变更签证，避免完工后缺少计价依据。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价格波动要提前约定证据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主材价格可能在招投标与施工期间发生变化，合同应明确调价机制、基准期、风险幅度和所需单证。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实际采购合同、发票、付款凭证和市场价格资料要及时归档，并取得甲方签章，才能在结算审计时主张合理价差。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施工变更必须同步留痕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增项、减项和设计变化发生时，应及时形成变更签证并取得有权人员或单位盖章确认。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偷工减料不仅影响质量，还可能在第三方审计中直接扣减结算款；质量验收和资料管理都是成本回收的一部分。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四、材料费：从计划、比价到盘点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三张计划形成采购闭环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项目经理提出需求计划，采购中心依据预算清单编制周期材料计划，再综合形成最终采购计划。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采购数量应与预算余量、现场库存、施工进度和交货周期联动，防止超采、缺料和跨项目挪用。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询比议价要有独立验证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大额主材在合格供应商范围内比价并由适当层级决策；零星采购可由采购、预算、财务和工程共同询价。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太阳能路灯案例中，财务按型号独立查价，发现三家报价均高于市场约40%，且规格已淘汰，最终推动更换供应商。该比例为个案。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供应商名录和盘点防止小额渗漏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定期与材料员盘点，核对采购、入库、领用、退料、调拨和现场剩余，尤其关注高价值、易变现和零星材料。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长期供应商要维护准入、价格、质量和履约档案；项目所在地的零星材料先比价，再固定两三家，并持续复核。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五、人工费：总量控制与结算测算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预算形成总量控制目标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按中标清单审核人工费总量，项目经理、承包人和主管统计员签字确认；非紧急工程可按阶段或分部分项控制。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劳务分包前应核验资质或备案、人员实名、考勤、工资支付、合同范围和现场验收，不能只凭发票付款。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材料与劳务的拆分必须真实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视频提出：劳务方还需购买木方、模具等材料时，可协商由施工企业直接采购、劳务合同只覆盖劳务，以降低双方成本。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这种拆分只有在采购、领用、所有权、定价和施工责任真实一致时才成立，不能为取得进项发票而人为拆单。税率与计税方法应按最新政策复核。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图纸与实测结算先做双方案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工程和预算人员在施工期间定期实测，比较按图纸结算与按实际工程量结算的结果。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最终依据合同和真实完成量选择适用方式，并提前准备签证、测量记录和验收证据，避免结算阶段被动。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六、机械费：租赁真实性与使用效率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先识别干租、湿租及业务实质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干租通常不带操作人员，湿租带操作人员；视频列示了不同发票税率，但税率和适用条件应按纳税人身份与最新税法复核。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个人代开可能涉及经营所得或劳务报酬等争议，并受开票地点与额度规则影响，不能因票面税率低就忽视业务和所得性质。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核验设备归属与履约能力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要求出租方提供设备购置发票、权属或租赁证明，大型项目还应现场查看设备、人员和公司运营情况。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没有真实设备却开具机械租赁发票，可能引发虚开、进项转出、成本调增、补税和处罚风险。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台账防止时长舞弊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按小时租赁可能节约成本，但项目经理、材料管理员与机械操作人员存在串谋虚报时长的风险。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建立机械类型、进退场、使用时长、单价、工作量、油耗和责任人台账，与月租计划、预算目标及现场记录交叉核对。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4. 油料拆分要有真实消耗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可与机械公司协商由施工企业直接向石油公司采购油卡或燃料，但合同、设备、领用和消耗必须真实匹配。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按月租还是按小时租，应结合机械占比、利用率、闲置时间和现场监督成本进行经济性测算。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七、间接费用与项目偏差管理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与项目直接相关的费用单独归集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为项目发生的税费、检测费、资料费等归入项目间接费用，并保留合同、服务成果和项目对应关系。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总部管理费用与项目间接费用要有清晰边界，确需分摊时选择能解释资源消耗的动因并保持一致。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投标量价与实际偏差要解释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视频列示主材、人工和机械费用的若干偏差警戒比例，用于说明税务或审计可能质疑异常；这些比例不是统一法定标准。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财务应按预算量、预算价、实际量、实际价拆分偏差，区分设计变更、价格波动、效率损失、浪费和舞弊。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八、财务负责人要从核算走向经营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至少成为半个建筑业务人员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理解材料清单、施工图、工程量、变更签证、价差、质量和结算流程，才能判断票据背后的业务是否合理。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只依赖票据控制成本，发现问题时往往已经付款；财务需要进入采购、现场、验收和结算节点。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建立项目经营驾驶舱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建议月度跟踪合同额、预计总成本、完工进度、预计毛利、已结算、已回款、质保金、四类成本偏差和现金缺口。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对重大采购、劳务、机械和变更设置红线与复核人，把异常价格、超预算、证据缺失和逾期回款转化为行动清单。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64748B"/>
        <w:sz w:val="18"/>
      </w:rPr>
      <w:t xml:space="preserve">第 </w:t>
    </w:r>
    <w:r>
      <w:rPr>
        <w:rFonts w:ascii="Calibri" w:hAnsi="Calibri" w:eastAsia="Microsoft YaHei"/>
        <w:b w:val="0"/>
        <w:i w:val="0"/>
        <w:color w:val="64748B"/>
        <w:sz w:val="18"/>
      </w:rPr>
      <w:fldChar w:fldCharType="begin"/>
      <w:instrText xml:space="preserve">PAGE</w:instrText>
      <w:fldChar w:fldCharType="end"/>
    </w:r>
    <w:r>
      <w:rPr>
        <w:rFonts w:ascii="Calibri" w:hAnsi="Calibri" w:eastAsia="Microsoft YaHei"/>
        <w:b w:val="0"/>
        <w:i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/>
        <w:i w:val="0"/>
        <w:color w:val="64748B"/>
        <w:sz w:val="18"/>
      </w:rPr>
      <w:t>齐昊老师 · 学员实战案例 第 27 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abstractNum w:abstractNumId="9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90">
    <w:abstractNumId w:val="90"/>
  </w: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齐昊老师学员实战案例第27集：建筑行业成本核算四大核心</dc:title>
  <dc:subject>财务管理与财务总监实战案例整理</dc:subject>
  <dc:creator>Codex</dc:creator>
  <cp:keywords>财务管理, 财务经理, 财务总监, 业财融合, 实战案例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