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40" w:after="360"/>
        <w:jc w:val="center"/>
      </w:pPr>
      <w:r>
        <w:rPr>
          <w:rFonts w:ascii="Calibri" w:hAnsi="Calibri" w:eastAsia="Microsoft YaHei"/>
          <w:b/>
          <w:i w:val="0"/>
          <w:color w:val="A66B14"/>
          <w:sz w:val="22"/>
        </w:rPr>
        <w:t>财务管理实战案例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i w:val="0"/>
          <w:color w:val="1F4D78"/>
          <w:sz w:val="54"/>
        </w:rPr>
        <w:t>第 32 集｜财务高手的五个心法</w:t>
      </w:r>
    </w:p>
    <w:p>
      <w:pPr>
        <w:spacing w:after="520"/>
        <w:jc w:val="center"/>
      </w:pPr>
      <w:r>
        <w:rPr>
          <w:rFonts w:ascii="Calibri" w:hAnsi="Calibri" w:eastAsia="Microsoft YaHei"/>
          <w:b w:val="0"/>
          <w:i w:val="0"/>
          <w:color w:val="2E74B5"/>
          <w:sz w:val="28"/>
        </w:rPr>
        <w:t>洞察力、气场、谋略、执行力与跨领域学习的能力模型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主讲账号：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齐昊老师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发布时间：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2025-06-04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视频时长：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09:09</w:t>
      </w:r>
    </w:p>
    <w:p>
      <w:pPr>
        <w:spacing w:after="60"/>
        <w:jc w:val="center"/>
      </w:pPr>
      <w:r>
        <w:rPr>
          <w:rFonts w:ascii="Calibri" w:hAnsi="Calibri" w:eastAsia="Microsoft YaHei"/>
          <w:b/>
          <w:i w:val="0"/>
          <w:color w:val="64748B"/>
          <w:sz w:val="21"/>
        </w:rPr>
        <w:t>视频编号：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7511973234338794762</w:t>
      </w:r>
    </w:p>
    <w:p>
      <w:pPr>
        <w:spacing w:after="320"/>
      </w:pPr>
    </w:p>
    <w:p>
      <w:pPr>
        <w:shd w:fill="EAF3EE"/>
        <w:pBdr>
          <w:left w:val="single" w:sz="18" w:space="8" w:color="2F6B4F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2F6B4F"/>
          <w:sz w:val="21"/>
        </w:rPr>
        <w:t xml:space="preserve">核心结论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财务高手首先要有良好人品、价值观和职业道德，在此基础上形成五类软硬结合的能力：用数据和行为训练洞察力，以情绪稳定和专业表达建立气场，围绕核心矛盾灵活运用谋略，跨越部门边界解决真实经营问题，并持续学习业务、产品、法律、金融、心理和新技术。五项能力并非脱离专业，而是把核算数据转化为预判、沟通、决策和执行。真正的成长路径是观察—量化—预判—行动—复盘，并在法律和道德底线内持续向高手学习。</w:t>
      </w:r>
    </w:p>
    <w:p>
      <w:pPr>
        <w:shd w:fill="F4F6F9"/>
        <w:pBdr>
          <w:left w:val="single" w:sz="18" w:space="8" w:color="64748B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64748B"/>
          <w:sz w:val="21"/>
        </w:rPr>
        <w:t xml:space="preserve">整理口径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依据公开视频静默转写并结构化改写；不是逐字稿。视频中的金额、税率与政策口径保留其发表时语境，实际工作应按最新法规和具体事实复核。</w:t>
      </w:r>
    </w:p>
    <w:p>
      <w:r>
        <w:br w:type="page"/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一页总览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4"/>
        <w:gridCol w:w="7056"/>
      </w:tblGrid>
      <w:tr>
        <w:trPr>
          <w:tblHeader w:val="true"/>
        </w:trPr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节点</w:t>
            </w:r>
          </w:p>
        </w:tc>
        <w:tc>
          <w:tcPr>
            <w:tcW w:type="dxa" w:w="7056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i w:val="0"/>
                <w:color w:val="1F4D78"/>
                <w:sz w:val="21"/>
              </w:rPr>
              <w:t>核心内容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底层前提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人品＋价值观＋职业道德＋法律底线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五个心法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洞察力 → 气场 → 谋略 → 执行力 → 学习能力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成长方法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看数据和行为 → 识别动机 → 形成预判 → 解决问题 → 复盘迭代</w:t>
            </w:r>
          </w:p>
        </w:tc>
      </w:tr>
      <w:tr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/>
                <w:i w:val="0"/>
                <w:color w:val="1F4D78"/>
                <w:sz w:val="20"/>
              </w:rPr>
              <w:t>职业升级</w:t>
            </w:r>
          </w:p>
        </w:tc>
        <w:tc>
          <w:tcPr>
            <w:tcW w:type="dxa" w:w="705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i w:val="0"/>
                <w:color w:val="203040"/>
                <w:sz w:val="20"/>
              </w:rPr>
              <w:t>核算记录者 → 业务伙伴 → 规则设计者 → 决策支持者</w:t>
            </w:r>
          </w:p>
        </w:tc>
      </w:tr>
    </w:tbl>
    <w:p>
      <w:pPr>
        <w:shd w:fill="FFF7E8"/>
        <w:pBdr>
          <w:left w:val="single" w:sz="18" w:space="8" w:color="A66B14"/>
        </w:pBdr>
        <w:spacing w:before="100" w:after="140" w:line="288" w:lineRule="auto"/>
        <w:ind w:left="173" w:right="86"/>
      </w:pPr>
      <w:r>
        <w:rPr>
          <w:rFonts w:ascii="Calibri" w:hAnsi="Calibri" w:eastAsia="Microsoft YaHei"/>
          <w:b/>
          <w:i w:val="0"/>
          <w:color w:val="A66B14"/>
          <w:sz w:val="21"/>
        </w:rPr>
        <w:t xml:space="preserve">逻辑主线  </w:t>
      </w:r>
      <w:r>
        <w:rPr>
          <w:rFonts w:ascii="Calibri" w:hAnsi="Calibri" w:eastAsia="Microsoft YaHei"/>
          <w:b w:val="0"/>
          <w:i w:val="0"/>
          <w:color w:val="203040"/>
          <w:sz w:val="21"/>
        </w:rPr>
        <w:t>识别商业事实 → 找到管理根因 → 把财务控制嵌入业务流程 → 用数据支持经营决策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一、成为高手的前提：先守住人品、价值观与职业道德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普通财务也必须具备的底线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良好人品、价值观和职业道德是讨论能力高低之前的前提；专业技巧不能替代诚信、独立和谨慎。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所有谋略、沟通和执行都必须在法律与道德底线内进行，不能把“解决问题”理解为规避合规要求。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高手与普通人的区别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普通人员往往只完成被交办的动作，高手会继续追问数据、目的、业务影响和下一步行动。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能力升级的核心，是把会计核算产生的数据转化为判断、预警、策略和跨部门执行。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二、心法一：洞察力——不只听表述，更看数据与行为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用数据把问题变得可验证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视频强调“不看对方说什么，只看数据和行为”。这里不是忽略沟通，而是用报表、合同、动作和结果验证口头判断。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例如咨询前要求对方带上报表和能拍板的人，把模糊交流转换为“数据＋决策权＋行动”的可执行条件。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从交办事项识别背后意图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一家连续亏损两年的企业突然要求统计各部门人力成本，财务应预判可能涉及裁员、降薪或绩效调整，而不是只机械汇总。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预判不是凭感觉下结论，而是把历史背景、提出时间、所需数据、受影响对象和管理层行为放在一起分析。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对无缘由的赞美保持清醒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突然出现、与事实不匹配的赞美可能带有请求、试探或交换目的，应保持礼貌并观察后续行为。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不必把所有互动都视为算计；应区分事实、可能动机和待验证假设，避免过度揣测破坏合作。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三、洞察的下一层：预判与见世面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掌握合作方和竞争者的行为模式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观察对方的思考习惯、决策方式、风险偏好和既往策略，逐渐形成情境预判，提前准备方案和底线。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有效预判要记录预测、依据和结果，并在复盘中修正，否则容易把事后解释误当成洞察。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遇到更强者，学习而不是逞强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当自己无法判断对方策略时，视频建议主动拜师、向高手切磋；与高水平的人共事能更快暴露能力盲点。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学习重点不是模仿结论，而是追问对方如何获取信息、拆解问题、设置备选和控制风险。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读书、旅行与跨圈层经历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多读好书、多旅行、多接触不同产业和人群，本质是扩大样本，减少只凭本公司经验判断世界的局限。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可建立个人案例库：事件背景、关键数据、参与者动机、策略、结果和复盘，用长期积累训练模式识别。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四、心法二：气场——内在稳定与外在专业表达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内修：情绪稳定保护判断力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情绪失控会迅速损害洞察、沟通和决策。面对质疑或信任下降，先控制反应，再判断是否解释以及用什么证据说明。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视频提出总体上的“不解释、不争辩、不自证”，强调行动和结果；实际工作中，涉及重大事实、责任或合规误解时仍应及时书面澄清。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外修：眼神、声音和表达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专业做派可以后天训练：目光稳定但不过度逼视，声音清晰有力，语言简洁直接，回答围绕问题和结论。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避免高频、反复回答同一问题；更好的方式是确认对方真正关切，给出结论、依据、风险和下一步。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场合感而非僵硬表演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商业和工作场合需要稳定的表达风格，但不等于刻意端着；面对同事、客户和高层应根据关系与议题调整正式程度。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气场的可信来源最终仍是专业准备、可验证结果和一致行为，外在技巧只能放大，不能替代内容。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五、心法三：谋略——在复杂与简单之间切换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弱势时扩大选择空间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视频以军事策略说明：处于弱势时可以增加议题、节奏和路径，使对方难以只凭单一优势压制；目的应是争取合理谈判空间。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商业中不能用虚假信息或恶意搅局，应通过备选供应商、分阶段方案、联合盟友和条件交换增加方案弹性。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复杂问题要抓核心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面对繁杂问题时也要反向简化：找到影响最大的关键矛盾，集中资源解决，而不是平均用力。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财务可用重要性、敏感性和现金影响排序，先处理会导致资金链、合规或客户流失的事项。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风险处理的多种路径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可选择降低、避免、分散、转移或接受风险；所谓风险转移必须依靠清晰合同、合理定价和对方知情承担。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重要性、实质重于形式和制衡原则是视频反复强调的基础，可用于筛选信息、穿透表象并防止单点失控。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六、心法四：执行力——以解决经营问题为优先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策略必须变成动作和结果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高手不能只讲思路，要把问题拆成责任人、时间、资源、里程碑和验收标准，并持续追踪结果。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“风浪越大，鱼越贵”强调承担高难度问题能创造更大价值，但绝不包括违法、舞弊或突破职业底线。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打破部门边界、聚焦业务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财务负责人不能用“这不是财务部的事”回避关键经营问题，应深入业务、协调资源并参与重塑企业规则。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跨界不等于越权。财务提供数据、方案和控制框架，业务负责人对产品、客户和执行结果负责，重大事项由管理层决策。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核算是起点，不是终点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系统化使基础核算更标准化，财务价值要继续向分析、预测、决策支持和业财融合移动。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基础核算仍必须准确、完整和及时；没有可靠数据，所谓高阶分析和策略都缺少地基。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七、心法五：学习能力——业务、产品与跨领域知识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先学业务和产品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真正的财务高手要理解企业如何获客、定价、生产、交付、回款和复购，能把会计科目还原为业务动作。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建议定期跟销售、采购、生产和运营走流程，完成产品单位经济性和现金循环图。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跟上系统、软件与AI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软件升级和自动化会不断替代重复劳动，财务需要学习数据工具、系统逻辑和AI辅助分析，同时保留专业复核。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AI输出可能不准确，关键数字、法规和决策必须回到原始数据与权威来源验证。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法律、金融和心理学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学习法律用于识别合同与合规红线；学习金融用于理解融资、估值和资本风险；学习心理学用于改善谈判与协作。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跨领域学习的目标是增强判断和沟通，不是越过律师、投资或心理专业人员的执业边界。</w:t>
      </w:r>
    </w:p>
    <w:p>
      <w:pPr>
        <w:pStyle w:val="Heading1"/>
        <w:keepNext/>
      </w:pPr>
      <w:r>
        <w:rPr>
          <w:rFonts w:ascii="Calibri" w:hAnsi="Calibri" w:eastAsia="Microsoft YaHei"/>
          <w:b/>
          <w:i w:val="0"/>
          <w:color w:val="2E74B5"/>
          <w:sz w:val="32"/>
        </w:rPr>
        <w:t>八、可复制的90天能力训练计划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1. 每周洞察训练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每周选择一个管理动作，记录已知数据、可能目的、受影响人、自己的预测和最终结果；月末复盘命中与偏差。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每次汇报采用“结论—数据—原因—风险—建议—需要决策”六段式，训练简洁表达和决策支持。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2. 每月跨部门项目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选择一个真实问题，如毛利下降、库存积压或回款变慢，与业务共同设定目标并交付一项可验证改善。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过程记录部门边界、冲突、决策和执行反馈，把抽象的业财融合沉淀为模板。</w:t>
      </w:r>
    </w:p>
    <w:p>
      <w:pPr>
        <w:pStyle w:val="Heading2"/>
        <w:keepNext/>
      </w:pPr>
      <w:r>
        <w:rPr>
          <w:rFonts w:ascii="Calibri" w:hAnsi="Calibri" w:eastAsia="Microsoft YaHei"/>
          <w:b/>
          <w:i w:val="0"/>
          <w:color w:val="2E74B5"/>
          <w:sz w:val="26"/>
        </w:rPr>
        <w:t>3. 建立个人学习组合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按业务与产品、财务专业、法律合规、金融资本、沟通心理、数据与AI六类安排学习，并把每项知识用于一个实际案例。</w:t>
      </w:r>
    </w:p>
    <w:p>
      <w:pPr>
        <w:spacing w:after="60" w:line="288" w:lineRule="auto"/>
        <w:numPr>
          <w:ilvl w:val="0"/>
          <w:numId w:val="90"/>
        </w:numPr>
      </w:pPr>
      <w:r>
        <w:rPr>
          <w:rFonts w:ascii="Calibri" w:hAnsi="Calibri" w:eastAsia="Microsoft YaHei"/>
          <w:b w:val="0"/>
          <w:i w:val="0"/>
          <w:color w:val="203040"/>
          <w:sz w:val="21"/>
        </w:rPr>
        <w:t>季度评估不只看学了多少，还看是否提升了预判准确度、问题解决速度、汇报质量和跨部门信任。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i w:val="0"/>
        <w:color w:val="64748B"/>
        <w:sz w:val="18"/>
      </w:rPr>
      <w:t xml:space="preserve">第 </w:t>
    </w:r>
    <w:r>
      <w:rPr>
        <w:rFonts w:ascii="Calibri" w:hAnsi="Calibri" w:eastAsia="Microsoft YaHei"/>
        <w:b w:val="0"/>
        <w:i w:val="0"/>
        <w:color w:val="64748B"/>
        <w:sz w:val="18"/>
      </w:rPr>
      <w:fldChar w:fldCharType="begin"/>
      <w:instrText xml:space="preserve">PAGE</w:instrText>
      <w:fldChar w:fldCharType="end"/>
    </w:r>
    <w:r>
      <w:rPr>
        <w:rFonts w:ascii="Calibri" w:hAnsi="Calibri" w:eastAsia="Microsoft YaHei"/>
        <w:b w:val="0"/>
        <w:i w:val="0"/>
        <w:color w:val="64748B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 w:eastAsia="Microsoft YaHei"/>
        <w:b/>
        <w:i w:val="0"/>
        <w:color w:val="64748B"/>
        <w:sz w:val="18"/>
      </w:rPr>
      <w:t>齐昊老师 · 学员实战案例 第 32 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0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abstractNum w:abstractNumId="91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  <w:rPr>
        <w:rFonts w:ascii="Calibri" w:hAnsi="Calibri" w:eastAsia="Microsoft YaHei"/>
      </w:rPr>
    </w:lvl>
  </w:abstractNum>
  <w:num w:numId="90">
    <w:abstractNumId w:val="90"/>
  </w:num>
  <w:num w:numId="91">
    <w:abstractNumId w:val="9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齐昊老师学员实战案例第32集：财务高手的五个心法</dc:title>
  <dc:subject>财务管理与财务总监实战案例整理</dc:subject>
  <dc:creator>Codex</dc:creator>
  <cp:keywords>财务管理, 财务经理, 财务总监, 业财融合, 实战案例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