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360"/>
        <w:jc w:val="center"/>
      </w:pPr>
      <w:r>
        <w:rPr>
          <w:rFonts w:ascii="Calibri" w:hAnsi="Calibri" w:eastAsia="Microsoft YaHei"/>
          <w:b/>
          <w:i w:val="0"/>
          <w:color w:val="A66B14"/>
          <w:sz w:val="22"/>
        </w:rPr>
        <w:t>财务管理实战案例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i w:val="0"/>
          <w:color w:val="1F4D78"/>
          <w:sz w:val="44"/>
        </w:rPr>
        <w:t>第 34 集｜连锁加盟企业的四大财务抓手</w:t>
      </w:r>
    </w:p>
    <w:p>
      <w:pPr>
        <w:spacing w:after="520"/>
        <w:jc w:val="center"/>
      </w:pPr>
      <w:r>
        <w:rPr>
          <w:rFonts w:ascii="Calibri" w:hAnsi="Calibri" w:eastAsia="Microsoft YaHei"/>
          <w:b w:val="0"/>
          <w:i w:val="0"/>
          <w:color w:val="2E74B5"/>
          <w:sz w:val="28"/>
        </w:rPr>
        <w:t>量贩式KTV的单店模型、资金归集与门店稽核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主讲账号：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齐昊老师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发布时间：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2025-06-25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视频时长：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11:04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视频编号：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7519700331924573476</w:t>
      </w:r>
    </w:p>
    <w:p>
      <w:pPr>
        <w:spacing w:after="320"/>
      </w:pPr>
    </w:p>
    <w:p>
      <w:pPr>
        <w:shd w:fill="EAF3EE"/>
        <w:pBdr>
          <w:left w:val="single" w:sz="18" w:space="8" w:color="2F6B4F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2F6B4F"/>
          <w:sz w:val="21"/>
        </w:rPr>
        <w:t xml:space="preserve">核心结论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连锁加盟企业不能只靠品牌和招商扩张，财务必须同时抓住股权结构、单店模型、资金管理和绩效考核。案例以全国约650家门店、直营店约占10%的量贩式KTV为例：先按时段、轮转率和人工/房租/酒水小吃三大比例验证直营店的单位经济性，再把选址、工程、人员、证照和开业现金需求装进加盟预算；经营中通过订单收银系统把开房、点歌、支付、分账和对账闭环，减少门店截留与账外收款，并以季度突检、神秘顾客和店长绩效保证服务标准。可复制的逻辑是“直营验证—标准复制—资金穿透—持续稽核”，而不是门店数量越多越成功。</w:t>
      </w:r>
    </w:p>
    <w:p>
      <w:pPr>
        <w:shd w:fill="F4F6F9"/>
        <w:pBdr>
          <w:left w:val="single" w:sz="18" w:space="8" w:color="64748B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64748B"/>
          <w:sz w:val="21"/>
        </w:rPr>
        <w:t xml:space="preserve">整理口径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依据公开视频静默转写并结构化改写；不是逐字稿。视频中的金额、税率与政策口径保留其发表时语境，实际工作应按最新法规和具体事实复核。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一页总览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4"/>
        <w:gridCol w:w="7056"/>
      </w:tblGrid>
      <w:tr>
        <w:trPr>
          <w:tblHeader w:val="true"/>
        </w:trPr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节点</w:t>
            </w:r>
          </w:p>
        </w:tc>
        <w:tc>
          <w:tcPr>
            <w:tcW w:type="dxa" w:w="70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核心内容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四大抓手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股权结构 → 单店模型 → 资金管理 → 绩效考核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单店模型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分时段收入＋房间轮转率＋人工/房租/酒水小吃核心比例＋投资回收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资金闭环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系统下单开房＋无现金收款＋自动分账＋月末精算对账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复制纪律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直营店先跑通＋加盟预算标准化＋证照前置＋质量稽核与店长考核</w:t>
            </w:r>
          </w:p>
        </w:tc>
      </w:tr>
    </w:tbl>
    <w:p>
      <w:pPr>
        <w:shd w:fill="FFF7E8"/>
        <w:pBdr>
          <w:left w:val="single" w:sz="18" w:space="8" w:color="A66B14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A66B14"/>
          <w:sz w:val="21"/>
        </w:rPr>
        <w:t xml:space="preserve">逻辑主线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识别商业事实 → 找到管理根因 → 把财务控制嵌入业务流程 → 用数据支持经营决策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一、总体框架：连锁加盟财务要同时抓住四个支点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股权结构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连锁扩张前要明确总部、直营网点、加盟商和实际控制人的权责边界，避免品牌控制、资金责任和经营责任相互错位。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视频把股权结构列为第一抓手，但本集重点展开单店模型和资金系统；实务中仍应补充关联交易、重大事项表决、退出机制和控制权安排。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单店模型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单店模型回答一家店在合理客流、价格、时段和成本结构下能否持续赚钱，是决定能不能开放加盟的基础。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不是只看单店利润总额，而要穿透到房间数、分时段收入、轮转率、人工房租比例、开店投入和现金回收期。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资金管理与绩效考核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资金系统要让每笔订单、支付、分账和对账可追溯，绩效系统则确保加盟门店仍按品牌标准提供服务。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四个支点互相制约：股权决定权责，单店模型决定是否值得复制，资金系统保护现金，绩效考核保护品牌和模型假设。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二、案例与行业：被忽视赛道中的规模化机会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企业规模与门店结构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视频案例中的量贩式KTV在全国约有650家门店，并计划年底达到1000家；直营店约占10%。这些数字均为视频个案口径。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在传统头部品牌逐步退出、行业竞争者减少的背景下，仍存在偏好私密、可饮酒、适合多人娱乐的中年客群，形成差异化需求。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空间出租＋增值消费的商业本质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量贩式KTV与酒店相似，核心都是按时段出租空间；但KTV还可通过酒水、零食和互动玩法获得增值收入。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相同区位下，视频认为KTV初始投资通常低于酒店；但装修、声光设备、消防和许可仍使其成为资金密集型门店。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时间段和轮转率是行业分析入口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视频将营业时间划分为12:00—19:00、19:00—24:00和24:00以后等时段，分别分析价格、客群、开房率和收入。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房间轮转率类似餐饮翻台率。财务应按“可售房时×实际使用时×时段单价”建立产能视角，避免只看每日总流水。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三、单店经济账：先把投入、流水和成本比例算清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投入与流水的案例参考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视频称，一线城市约20间包房的门店，装修和加盟等前期投入约400万至500万元；月均流水约70万至80万元。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二线城市同类门店月均流水约50万至60万元。上述区间只能用于理解案例，实际测算必须按城市、租约、面积、房型和客群重算。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三个决定性成本比例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视频给出的行业平均毛利率约40%，其中人工约占收入25%、房租约20%、酒水小吃成本约15%，三项是单店模型的主要敏感变量。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另有水电约5%、平台手续费约5%、其他费用约5%、折旧摊销约10%；视频称一线城市净利率约15%，二三线城市多在10%左右。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财务应做的敏感性分析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至少测试客流下降、房租上浮、人工上涨、时段折扣、酒水毛利变化和装修超支对盈亏平衡点及回收期的影响。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单店模型要使用可核验的实际数据，并设置开业爬坡期、淡旺季和更新改造支出，不能用成熟店全年均值直接承诺新店回报。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四、开店预算：从选址到开业约三个月的资金清单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物业与工程测算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视频称从签约、选址到开业通常约三个月。有自有物业时先评估面积、工程造价和未来收益；无自有物业时还要计入选址服务费用。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根据面积和包房数形成装修、设备及整体造价预算，再按“人房比”测算服务人员配置，把工程预算和组织预算连接起来。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加盟费、保证金和开业前现金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预算应覆盖加盟费、租赁保证金、首期租金、物业费、水电接入、装修设备、开办人员和开业营销等现金需求。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案例称租赁保证金通常按三个月房租考虑。财务还要区分费用、押金、预付款和资本性支出，形成付款节点与资金峰值图。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证照和租约的前置条件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视频提到文化娱乐许可、消防验收和食品相关许可，其中消防往往是开业关键路径；责任主体、预计周期和未通过的退出方案应写进项目计划。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新商场租约可关注约定开业率及未达标时的租金安排；承接退租店铺时，应核验前租户证照注销和场地交付状态。具体条款须由法务按项目确认。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五、加盟增长：优质加盟商往往来自成功门店的再次投资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加盟商来源结构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案例早期加盟商主要来自创业团队原有连锁酒店人脉；首店成功后形成二次加盟，视频称约70%的加盟商来自再次投资。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其余来源包括自主开发、朋友介绍、线上获客和内部推荐。二次加盟占比高，说明真实回报和运营体验比单纯招商宣传更能驱动扩张。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招商财务不能只收加盟费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财务应跟踪加盟商首店投资回收、持续现金流、投诉与续约，避免通过快速收取加盟费掩盖模型尚未验证的问题。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建议建立加盟商分层：资金能力、物业条件、运营经验、合规记录和多店意愿，并设置与门店成熟度挂钩的扩店门槛。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六、复制前提：直营店跑通与商业特许经营备案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先跑直营，再开放加盟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单店模型通常先在直营店验证。只有收入结构、成本比例、人员配置、服务流程和投资回收均达到标准，才有条件复制给加盟商。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直营店的价值不仅是盈利，也是总部测试定价、产品、系统和门店操作标准的实验场。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视频归纳的备案要点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视频把常见基础条件概括为：特许人应为企业主体、拥有注册商标，以及主体公司之外有两家经营满一年的直营店，且经营范围与实际业务相匹配。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跨省经营和省内经营涉及不同层级的商务主管部门。该部分属于视频发表时的概括，实际备案条件、材料和主管机关必须以最新法规及专业意见核验。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七、资金管理系统：让订单、开房、支付和分账互相锁定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系统下单才能启用服务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消费者必须在系统下单后才能开房，房间水电、电视和音响随订单启用；把物理服务与订单状态绑定，降低线下私单空间。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点歌采用扫码方式，消费账单自动推送给客户，使订单、服务和客户确认形成证据链。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无现金收款与自动分账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门店不设置现金收入渠道，原则上在线支付。视频举例：每日消费资金约80%进入加盟商对公账户，约20%暂进入品牌方账户。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品牌方每月按约6%至8%收取管理费，20%只是过程性控制比例；月末按实际费用精算，多余资金返还加盟商。具体比例应以合同和清算规则为准。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会计与对账控制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品牌方对暂收资金按代收代付和往来款管理，不能把全部暂收额直接确认收入；每单分账后仍需月末对账和差额清算。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系统应保留订单号、门店、支付渠道、退款、优惠、品牌费、加盟商应收和实际到账字段，并建立异常退款、拆单和人工改单预警。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八、绩效与稽核：系统管钱，检查机制管服务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店长配置与业绩责任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加盟商可以自行招聘人员，也可由品牌方培训或派驻店长；派驻模式下要明确工资承担、授权边界和业绩指标。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店长考核不应只看流水，还应纳入房间利用率、客单价、酒水毛利、投诉、消防卫生、现金差异和人员效率。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季度突检和神秘顾客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品牌方质检部门按季度对全国门店突击检查卫生、消防和服务质量，并可委托第三方以神秘顾客方式逐项评分。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评分结果要与整改时限、复检、培训、奖惩和续约挂钩，否则检查容易停留在形式层面。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九、财务负责人可直接复用的连锁门店清单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投资决策看板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门店层面持续跟踪：房间数、分时段开房率、轮转率、平均时价、客单价、酒水毛利、人房比、房租率、人工率、盈亏平衡点和回收期。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总部层面增加：直营/加盟占比、二次加盟率、单店成熟周期、闭店率、品牌费回款和门店现金差异。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复制顺序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建议按“直营样板店验证—形成标准预算和操作手册—小范围加盟试点—系统化资金归集—全国复制—持续稽核”推进。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扩张红线包括：直营样板未跑通、消防证照不确定、现金系统未上线、加盟商资金不足、总部督导能力跟不上和门店数据不可穿透。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64748B"/>
        <w:sz w:val="18"/>
      </w:rPr>
      <w:t xml:space="preserve">第 </w:t>
    </w:r>
    <w:r>
      <w:rPr>
        <w:rFonts w:ascii="Calibri" w:hAnsi="Calibri" w:eastAsia="Microsoft YaHei"/>
        <w:b w:val="0"/>
        <w:i w:val="0"/>
        <w:color w:val="64748B"/>
        <w:sz w:val="18"/>
      </w:rPr>
      <w:fldChar w:fldCharType="begin"/>
      <w:instrText xml:space="preserve">PAGE</w:instrText>
      <w:fldChar w:fldCharType="end"/>
    </w:r>
    <w:r>
      <w:rPr>
        <w:rFonts w:ascii="Calibri" w:hAnsi="Calibri" w:eastAsia="Microsoft YaHei"/>
        <w:b w:val="0"/>
        <w:i w:val="0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/>
        <w:i w:val="0"/>
        <w:color w:val="64748B"/>
        <w:sz w:val="18"/>
      </w:rPr>
      <w:t>齐昊老师 · 学员实战案例 第 34 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abstractNum w:abstractNumId="9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90">
    <w:abstractNumId w:val="90"/>
  </w: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齐昊老师学员实战案例第34集：连锁加盟企业的四大财务抓手</dc:title>
  <dc:subject>财务管理与财务总监实战案例整理</dc:subject>
  <dc:creator>Codex</dc:creator>
  <cp:keywords>财务管理, 财务经理, 财务总监, 业财融合, 实战案例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