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36 集｜3亿元收购降至1.2亿元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并购尽调危机、破产评估破局与产业链变废为宝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2025-05-14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10:44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7504321564121337151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并购最昂贵的错误，是在没有尽调、审计和评估的情况下先完成工商变更并支付首笔款。案例中投资方拟以3亿元收购标的55%股权，首笔15%付款后才启动尽调，随后发现5亿元存货中约2亿元账实差异、十年以上应收账款占比61%，双方诉讼并冻结股权。并购主体通过申请破产触发法院评估，以具有法律效力的评估报告重新谈判，最终把总投资额降至1.2亿元；财务团队同时围绕标的主力产品开发配套系统和高门槛服务，视频称后一项目每月净现金流入约700万元。核心启示是：交易前用尽调和条件先决保护本金，危机中用法律、财务与产业协同重获信息和谈判权，并围绕产业链邻近需求建立第二价值来源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交易失误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未先尽调/审计/评估 → 先变更股东并支付15% → 信息权失效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风险暴露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存货5亿元、差异2亿元＋大量旧设备＋十年以上应收占61%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破局路径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停止第二笔款 → 诉讼僵局 → 并购主体破产 → 法院评估 → 3亿元降至1.2亿元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变废为宝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配套系统＋高门槛服务＋产业链渗透 → 为冻结资本创造新现金流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一、交易结构：55%股权、3亿元定价与多层融资载体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标的股权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标的有三组股东：由四家公司构成一致行动人的大股东持股55%，两名小股东分别持股40%和5%。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某大型投资集团拟收购大股东55%股权，双方直接协商确定转让价3亿元；标的账面净资产约5亿元。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账面净资产不能直接替代估值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不能简单用5亿元账面净资产乘55%得出交易价。正常节奏应先做商业、财务和法务尽调，再审计和评估，最后结合资产质量、控制权和协同价值定价。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本案因交易紧急、标的品牌和资源吸引力强，投资方在尽调前就签署股权转让协议，为后续风险埋下隐患。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收购载体和资金来源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投资集团成立有限合伙企业，集团相关公司担任GP，LP中有VC和产业基金，并引入银行并购贷款。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有限合伙企业下设有限责任公司A作为直接收购主体。多层结构必须穿透看资金成本、担保、控制权、退出和破产隔离效果。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二、付款条款的缺陷：工商变更先发生，尽调保护后置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第一笔款的触发条件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协议约定第一笔款为总投资额的15%，以被投资方先完成股东名称变更为触发条件；工商变更完成后投资方随即支付。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问题在于投资方已经取得登记上的55%股权并付出现金，却没有在付款前取得完整资料、审计证据和资产估值。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第二笔款与控制权转移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第二笔投资款以控制权完全转移为条件。后续尽调无法完成、财务无法交接，投资方因此暂停付款。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仅完成工商变更不等于经营、财务、印章、账户、系统和关键人员控制已经实质转移。条件先决应拆成可验证清单。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三、尽调危机：突击盘点揭开资产质量问题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标的不配合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投资方付款后委托国际四大会计师事务所开展法务和财务尽调，但标的拒绝或拖延提供大量资料，尽调项目难以推进。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项目团队持集团文件突击进入一家重要子公司，现场人员在未提前准备的情况下配合盘点，才暴露重大问题。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存货账实差异与陈旧设备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该子公司出入库单据严重缺失，视频称存货总额约5亿元、账实差异约2亿元；库存还包含大量三四年前已趋淘汰的旧型号设备。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账面金额不能代表可变现价值，尽调需同时验证数量、权属、库龄、技术迭代、减值、销售去向和关联方占用。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长账龄应收账款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团队进一步核查发现应收账款规模巨大，其中账龄超过十年的应收占比约61%。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超长账龄意味着回收概率、诉讼时效、债务人存续和坏账准备都需重估，净资产和交易价格可能被严重高估。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四、僵局形成：工作未完成报告、停止付款与股权冻结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尽调被迫终止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标的随后通知各子公司限制配合，突击检查也失去效果；会计师事务所只能出具工作未完成报告。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投资方据此拒付第二笔款，被投资方则认为股东已经变更，双方最终进入诉讼。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多年诉讼与股权冻结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诉讼持续多年、双方互有胜负，最终55%股权被法院冻结，投资资金既无法退出，也无法通过正常经营控制产生回报。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对财务而言，这不仅是法律争议，也是资金成本、减值、流动性和投资者关系的长期压力。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五、破局一：以并购主体破产触发法院资产评估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申请A公司破产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并购主体A公司申请破产，法院启动清算资产评估程序，并指定评估机构核查A公司的资产。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A公司除银行存款外，核心资产就是对标的55%的长期股权投资，因此评估该资产必须进入标的及下属企业清查。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借助司法程序恢复信息权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法院指定评估机构对标的子公司资产进行清查，解决了投资方此前因对方不配合而无法获得数据的问题。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司法评估报告具有更强的程序和证据效力，为重新谈判提供了共同的价值基准。该路径属于复杂法律策略，不能脱离律师和法院程序机械复制。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重新谈判交易价格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投资方又争取到小股东支持，结合四大此前未完成但已有内容的尽调材料及法院评估报告，与大股东重新协商。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最终总投资额由3亿元降至1.2亿元，减少1.8亿元、降幅60%；投资方结清调整后的价款并完成并购。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六、破局二：财务在诉讼期间把问题项目变成新业务入口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资本被冻结时寻找产业链邻近需求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官司期间原投资长期无法产生收益，财务负责人没有只等待判决，而是梳理与标的主力产品相关的上下游产品和服务。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判断标准是：能否借助标的品牌、客户或技术资源形成刚需，且新业务本身拥有独立现金流和可控投入。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配套系统公司B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A公司与有限合伙中的产业基金共同成立B公司，并获得2000万元天使轮投资。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团队发现标的主力产品必须配套使用某系统，而市场现有系统在质量和效率上无法满足需求，于是开发新产品并依托标的市场影响力快速推广。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高门槛服务项目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投资方还发现围绕主力产品存在技术和资金门槛较高的服务领域，竞争者难以进入；随后成立公司、取得资质并向标的提供服务。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视频称该项目目前每月净现金流入约700万元且仍在增长。应注意“净现金流”不等同于会计净利润，仍需核验资本投入、营运资金和持续性。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七、产业链策略：不只争夺“金矿”，也经营工具和服务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农村包围城市式渗透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围绕标的主产品进入配套系统、服务和资质领域，可以在并购未完成时先建立业务连接；即使交易最终失败，也可能保留产业影响力。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这种动态平衡必须基于独立商业价值、合法合同和关联交易公允性，不能通过不当手段牵制标的。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淘金热类比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视频用淘金热说明：直接淘金者未必获利，出售工具、服装、运输、住宿、食品和土地服务的经营者反而可能获得稳定收益。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并购中的财务同样要寻找“卖铲子”的机会：标的所在产业链中，哪些刚需配套比标的本身的资产质量更好、现金流更清晰。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八、交易前应补齐的并购财务控制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尽调和估值前置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签约前至少完成商业、法务、财务、税务和运营尽调；对存货做监盘与库龄测试，对应收做函证、回款核查和账龄减值，对关键设备做技术评估。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定价应从可验证资产质量、盈利能力、控制权溢价和协同价值出发，并设置净债务、营运资金和或有负债调整机制。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分阶段付款与保护条款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把资料完整、审计/评估结果、关键许可、账户印章交接、管理层任命和重大瑕疵整改设为付款条件；必要时采用托管或保留款。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合同还应明确陈述保证、赔偿、重大不利变化、终止权、价格调整、争议解决和卖方持续配合义务。具体设计须由并购律师和专业顾问完成。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100日整合与备选方案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交易方案要同时准备整合计划和失败预案：谁控制资金、系统、采购、销售和关键人员，数据如何交接，若交易受阻资金如何止损。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财务、法务、业务、技术和投资团队需要系统化协同；案例的破局不是某一个部门单独完成。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九、财务总监的并购预警清单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立即升级的红旗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拒绝提供原始凭证或子公司数据、库存无法盘点、出入库单缺失、超长账龄应收占比异常、设备技术淘汰、工商变更催得过急、控制权定义模糊。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一旦出现红旗，应暂停付款、保全证据、评估退出和诉讼风险，而不是用“品牌价值很大”继续解释信息缺口。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持续监控的核心指标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交易期跟踪资料完成率、尽调问题关闭率、付款条件达成、资金占用和外部顾问结论；交割后跟踪营运资金、现金流、协同收入、整合成本和减值迹象。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产业链新业务则单独核算投入、合同依赖、客户集中、资质风险、月度净现金流和退出价值，避免把新的高风险项目包装成原并购的成功。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36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齐昊老师学员实战案例第36集：3亿元收购降至1.2亿元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