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2"/>
        </w:rPr>
        <w:t>第 37 集｜72小时启动审计的绝地反击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特种钢集团从大股东侵占、资金链断裂到系统性重整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2025-04-29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17:32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7498393544000867594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危机企业的财务负责人不能从零散报表或单点降本开始，而要先用全面审计固定证据、摸清资产负债和现金缺口，再以债务重组、回款攻坚、成本与流程再造、业务聚焦完成“止血—稳链—造血”。案例中，特种钢集团存在关联采购价高、材料以次充好、工程资金被挪用、大股东涉嫌骗贷并侵害小股东权益等问题；财务负责人在小股东支持下72小时内启动审计、一个月内形成重组方案。视频称改革后资产负债率由接近90%降至58%，月度资金缺口由约500万元收窄至约200万元，毛利率由5%回升至12%。真正可复制的不是某一种融资工具，而是“证据优先、现金优先、组织协同、动态监控、兼顾股权与合规边界”的危机管理体系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天崩开局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关联采购异常＋工程资金挪用＋大股东干预＋短债集中到期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72小时动作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启动外部审计 → 固定证据 → 清查资产负债与现金流 → 形成健康度诊断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四段破局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全面审计 → 财务重组 → 内部挖潜 → 战略聚焦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核心结果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负债率约90%降至58%＋月缺口500万降至200万＋毛利率5%回升至12%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一、案例背景：小股东原本只想知道破产还能收回多少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企业与任务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案例企业是一家规模较大的特种钢生产研发集团。企业陷入财务困境后，小股东邀请财务负责人“小剑”（视频化名）空降入职，当时仍在一个月试用期内。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小股东最初并未期待全面改革，只希望判断如果企业破产清算，自己的投资还能收回多少；财务负责人却选择主动启动系统整改。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先建立危机处理总框架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大型集团无法靠财务负责人个人逐一问询解决，第一步应聘请专业机构开展全面审计，梳理现金流、资产负债表和重大交易。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视频给出的三步总框架是：全面审计摸清家底；制定财务重组计划并协调金融机构、稳定资金链；深挖内部潜力，推进成本、流程、资产与税务整改。后续又把战略聚焦作为第四阶段。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二、证据链：关联采购、工程资金与股东侵占同时暴露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原材料与关联采购异常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审计发现资产负债表中原材料科目约12亿元，但仓库中超过40%的所谓高端合金实际上是普通钢材；相关材料来自大股东关联公司。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视频称近三年该关联供应商的供货占比由15%升至62%，采购价高于市场约37%。财务需同时核验实物、质量、合同、定价依据、验收记录、付款路径和关联方披露。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工程资金被挪用与涉嫌骗贷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集团下属建筑公司的项目由银行融资，大股东被指提前将部分在建工程转为固定资产，工程质量也存在疑点。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视频称约1.5亿元工程款被用于购买大股东儿子名下游艇俱乐部股权，而非偿还贷款，涉嫌骗贷；大股东还要求优先保障分红和关联交易利益，反对资金先用于偿债。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先固定证据，再依法处置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财务负责人采取“固定证据后报案”的路径。视频称大股东已返还被侵占利益的约70%，其余事项仍在追查，相关表述属于视频案例进展。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此类行动必须由董事会/股东、律师、审计机构和有权机关共同推进；财务人员不应自行定罪、对外披露或越权处置，应保证证据来源、保管和移交合法完整。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三、行动条件：天时、地利、人和缺一不可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天时与地利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天时是企业已到生死存亡节点，不整改就可能灭亡；此时利益相关方更容易接受非常规但合规的危机措施。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地利不是物理位置，而是财务负责人站在合法、保护公司整体价值的一方，并得到受损股东和治理机构明确授权与支持。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人和与能力边界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财务负责人必须具备审计判断、证据意识、压力承受、谈判和跨部门领导能力，同时找到会计师事务所、律师、金融机构及行业专家作为外部支持。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高风险改革不能只靠个人英雄主义。应形成专项委员会、书面授权、决策纪要、信息隔离和定期汇报机制，保护企业也保护经办人员。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四、全面审计：把资产、负债、现金和盈利能力一次性穿透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资产质量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盘点固定资产发现闲置设备约占30%；滞销存货约占库存40%，库存周转率下降约40%。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应收账款中账龄超过一年的占比约55%，平均账期延长至120天，坏账与现金回收风险显著。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负债结构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视频称负债规模超过营收三倍，资产负债率接近90%；短期负债约占全部负债70%，短期偿债压力集中。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财务应逐一核对授信额度、到期日、担保链、抵押物、交叉违约和供应商逾期，并把长期负债、短期负债和或有负债分层呈现。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现金与利润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企业面临信贷收缩、工资拖欠和资金链断裂风险。12个月滚动现金流预测显示，月度资金缺口约500万元。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制造费用同比增加约25%，毛利率由20%骤降至5%；仅看利润表无法解释危机，必须把订单、产能、成本和现金回款联动分析。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五、根因诊断：行业下行只是外因，盲目扩张与管控失效才是内因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外部冲击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行业下行叠加疫情影响，订单量本身减少约30%，收入端承压。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外部因素不能成为管理失控的解释终点，财务还需拆解客户、产品、区域、订单质量和价格变化。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内部失控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盲目扩张导致固定资产投入过度，新建生产线使用率不足50%；预算体系失效，采购计划与生产计划脱节。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诊断输出不应只是一张问题表，而应形成财务健康度报告，明确优先级：先保运营现金，再处置低效资产，最后恢复增长。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六、财务重组：先稳住金融机构和短期偿债节奏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谈判方案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财务与律师团队共同向银行和供应商提出“分期缓款＋利率优惠＋增信措施”的组合方案，目标是把短期到期压力转化为可管理的长期现金流。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视频举例：以闲置土地使用权抵押，争取三家主要银行将1亿元短期贷款展期至两年，并把利率下调1.5个百分点。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利率优惠来源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案例利用绿色金融、专精特新专项贷款、长期银企合作机制和产业链核心企业支持等渠道降低融资成本。视频称部分专项贷款利率可较市场下浮10%至15%，核心企业担保可下浮5%至8%。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具体政策、适用条件和利率会变化，实务必须以申请时的监管、银行和地方政策为准，不能把案例比例直接套用。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增信工具与风险边界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可选工具包括土地/固定资产/存货抵押、股权质押与股东连带责任、政府政策性担保、出口信用保险等。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视频还提到产业链互保联盟，但互保可能传导信用风险，必须严格评估成员资质、担保上限、反担保和退出机制；不得为了续贷扩大系统性风险。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为什么没有选择债转股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债转股可能稀释小股东权益，而财务负责人的授权与支持恰恰来自小股东，因此本案选择不采用。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融资工具不存在绝对优劣，必须同时评估现金流、控制权、股权稀释、治理结构和债权人接受度。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七、回款攻坚：专项小组、绩效联动与保理共同缩小缺口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组织与绩效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成立应收账款专项清欠小组，把回款率与销售奖金挂钩；视频称回款率低于80%的销售人员不获得提成。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对占全部应收约60%的重点客户，由法务与财务联合催收并发送15份律师函，同时收紧新客户授信和欠款客户继续发货条件。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供应链金融与结果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案例将5000万元优质应收账款打包转让给保理公司，提前回笼约3800万元。应核验保理类型、追索权、费用、客户通知和会计处理。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视频称三个月内回款率提升至75%，月度资金缺口由约500万元收窄至约200万元。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八、内部挖潜：成本手术、数字化与组织调整同时推进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作业成本与产线优化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通过作业成本法识别高耗低效环节：某生产线单位能耗高于行业平均约20%，随后关闭利用率低于40%的产线。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人员优化约15%，并依法协商经济补偿以避免劳动纠纷；集中采购使原材料成本下降约8%。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管理费用与组织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年度展会预算缩减约50%，差旅限额下降约30%；财务部与风控部合并，减少两级管理层级。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税务方面梳理符合高新技术企业条件的子公司，并利用当时适用的社保减免政策。税收和社保优惠必须按最新规则核验。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MES与库存处置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引入制造执行系统实时监控生产进度，建立库存预警；通过电商折价清理约230万元滞销品，回笼约180万元。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视频称库存周转率提升30%、生产效率提高15%，毛利率由5%回升至12%。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九、战略聚焦：卖掉低效资产，把现金重新投向高附加值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收缩非核心业务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出售亏损子公司，视频称按账面净值溢价约10%成交并回笼3000万元；终止与低毛利客户的长期合作，释放有限产能。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聚焦头部客户后，其营收贡献占比提高至约70%。客户集中度提高也会带来议价和信用风险，需同步设置集中度上限。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研发和供应链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从资产处置收益中提取20%设立研发基金，开发高附加值产品；视频称新产品毛利率达到25%。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与上游供应商建立战略联盟，用长期订单换取年度原材料价格锁定，降低价格波动对毛利和报价的影响。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十、财务总监危机管理方法论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三项危机原则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速度优先：72小时内启动审计，一个月内形成重组方案；底线思维：优先保证核心业务现金流，即使牺牲短期利润；沟通至上：持续向董事会、员工和债权人披露进度。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危机解除后建立财务仪表盘，按日跟踪现金、库存和应收，按月召开跨部门经营分析会，并用全面预算承接战略目标。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高阶财务的能力组合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需要战略视野、审计与证据能力、融资谈判、团队领导、资源整合和对组织人性的判断，而不仅是会计核算。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本案最值得复制的顺序是：授权与证据 → 现金与短债 → 回款与成本 → 资产与产能 → 产品与战略 → 持续监控。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37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齐昊老师学员实战案例第37集：72小时启动审计的绝地反击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