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Calibri" w:hAnsi="Calibri" w:eastAsia="Microsoft YaHei"/>
          <w:b/>
          <w:i w:val="0"/>
          <w:color w:val="A66B14"/>
          <w:sz w:val="22"/>
        </w:rPr>
        <w:t>财务管理实战案例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F4D78"/>
          <w:sz w:val="54"/>
        </w:rPr>
        <w:t>第 4 集｜连锁酒店需要注意的财务管理知识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i w:val="0"/>
          <w:color w:val="2E74B5"/>
          <w:sz w:val="28"/>
        </w:rPr>
        <w:t>加盟前先算清：重资产、长租约、品牌费用、证照与客流风险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主讲账号：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齐昊老师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发布时间：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2024-08-16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视频时长：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03:08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视频编号：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7403557916621540660</w:t>
      </w:r>
    </w:p>
    <w:p>
      <w:pPr>
        <w:spacing w:after="320"/>
      </w:pPr>
    </w:p>
    <w:p>
      <w:pPr>
        <w:shd w:fill="EAF3EE"/>
        <w:pBdr>
          <w:left w:val="single" w:sz="18" w:space="8" w:color="2F6B4F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F6B4F"/>
          <w:sz w:val="21"/>
        </w:rPr>
        <w:t xml:space="preserve">核心结论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酒店加盟不是交完品牌费就能获得稳定客流。财务负责人必须在签约前把长期租金、装修、各类品牌收费、证照周期和入住率压力全部纳入现金流测算。</w:t>
      </w:r>
    </w:p>
    <w:p>
      <w:pPr>
        <w:shd w:fill="F4F6F9"/>
        <w:pBdr>
          <w:left w:val="single" w:sz="18" w:space="8" w:color="64748B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64748B"/>
          <w:sz w:val="21"/>
        </w:rPr>
        <w:t xml:space="preserve">整理口径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依据公开视频静默转写并结构化改写；不是逐字稿。视频中的金额、税率与政策口径保留其发表时语境，实际工作应按最新法规和具体事实复核。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一页总览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节点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核心内容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项目判断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视频对当前加盟酒店、投资酒店和民宿整体持谨慎态度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资金特征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重资产装修 + 10—15 年长租 + 前期一次性及持续性品牌费用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合规门槛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营业执照、消防、特种行业、卫生等证照必须齐备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核心误区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加盟品牌并不自动带来客流，管理团队也可能无法兑现运营承诺</w:t>
            </w:r>
          </w:p>
        </w:tc>
      </w:tr>
    </w:tbl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逻辑主线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识别商业事实 → 找到管理根因 → 把财务控制嵌入业务流程 → 用数据支持经营决策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一、酒店分类与案例来源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三类酒店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经济快捷型酒店。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商务酒店。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高端酒店；实际还可继续细分。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案例基础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本集资料来自一位从事连锁酒店财务管理十余年的学员。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视频围绕商务型加盟店展开，重点不是日常核算，而是投资前财务判断。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二、为什么视频不看好当前酒店投资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重资产与长周期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酒店和民宿前期装修投入大，且物业通常需要长租，视频给出的常见租期为 10—15 年。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签约时可能需要支付一年押金，再支付当年租金，相当于前置两年房租。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酒店面积大，任何每平方米租金的小幅变化都会显著放大总投入。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视频中的租金示例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上海每平方米每月约 60—80 元，繁华地段可能达到约 150 元。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深圳可能略低于上海，但整体仍不便宜。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这些是视频中的案例数字，必须结合城市、商圈、物业条件和签约年份重新询价。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入住率与行业竞争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视频认为酒店入住率承压、行业内卷加剧，回本周期存在较大不确定性。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以北京长城饭店停业为例，说明有历史和品牌影响力的酒店也无法免疫经营压力。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三、加盟酒店的费用全景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一次性或前期开支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前期指导费：视频给出每间客房约 4,000—8,000 元；前期按预估或设计房数收取，验收后按品牌确认的实际房数多退少补。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商务型酒店仅前期指导费，视频估算通常 50 万—60 万元起步。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工程指导费：约 10 万元。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开业支持培训费：约 3 万元。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合同保证金：品牌差异较大，视频给出约 10 万—30 万元。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持续性收费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各品牌通常有自己的前台、餐饮、营收等专用业务系统。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视频称系统或管理使用费可能按营业收入的 5%—8% 收取。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财务测算不能只看加盟费，还要识别收入抽成、系统费、营销费、会员费、渠道佣金和更新改造义务。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四、证照不全：可能直接让项目停摆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主要证照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营业执照。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消防相关审批或验收。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特种行业许可证。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卫生许可证。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无证试营业的风险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部分业主等不及消防手续办妥便试营业，风险显著上升。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视频中的学员曾亲历酒店因同行举报、无证经营而被查封。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消防手续顺利时视频估计约一个月，但酒店消防通常较难办理，项目计划应留出缓冲。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五、品牌与管理输出的现实风险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管理链条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品牌方通常配置区域总经理，再由区域负责人安排门店总经理。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如果区域负责人缺乏推动力，门店可能迟迟无法开业或运营改善缓慢。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加盟方对品牌管理人员的直接约束力有限，合同中必须写清人员、开业、培训和经营支持承诺。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加盟不等于有客流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品牌能够提供标准、系统和一定渠道，但不一定带来足够新增客流。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选址、价格、产品、口碑、渠道和本地运营能力仍决定入住率与房价。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投资测算应以保守入住率和平均房价为基础，并做压力测试。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六、财务负责人应建立的投资模型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初始投资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押金、预付租金、装修、家具设备、消防改造、加盟指导费、工程指导费、培训费和保证金。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预留证照延误、装修超支和试运营爬坡期的备用现金。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持续经营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按月测算房租、人工、水电能耗、布草洗涤、维修、渠道佣金、品牌及系统抽成。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核心经营指标包括可售房数、入住率、平均房价（ADR）、每间可售房收入（RevPAR）和单房运营成本。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情景与退出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基准、乐观、悲观三种情景分别测算入住率、房价和开业时间。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关注现金流最低点、回本期、租金递增、装修摊销及中途退出成本。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合同需评估品牌退出、物业提前解约、证照无法取得和改造不达标时的责任分担。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七、财务经理 / 财务总监能力启示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能力模型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投资测算：从利润表扩展到全周期现金流与回本期。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合同审查：识别一次性收费、收入抽成、长租约和隐藏义务。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证照统筹：把审批条件和周期纳入开业里程碑。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经营分析：持续追踪入住率、ADR、RevPAR、渠道结构和单房贡献。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压力测试：验证品牌不带客、延期开业和低入住率时企业能否存活。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加盟前检查清单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核实物业是否满足消防、特种行业和卫生许可前置条件。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列全品牌方一次性收费与持续抽成，并以合同条款为准。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用保守入住率、房价和开业日期测算现金流，不使用品牌方单一预测。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调查同商圈酒店供给、价格、客源与近年关停情况。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明确区域总经理、店总、培训、系统和渠道支持的服务标准及违约责任。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预设证照失败、开业延期、品牌退出和物业解约的止损方案。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来源与准确性说明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视频来源：</w:t>
      </w:r>
      <w:r>
        <w:rPr>
          <w:rFonts w:ascii="Calibri" w:hAnsi="Calibri" w:eastAsia="Microsoft YaHei"/>
          <w:b w:val="0"/>
          <w:i w:val="0"/>
          <w:color w:val="203040"/>
          <w:sz w:val="22"/>
        </w:rPr>
        <w:t>抖音账号“齐昊老师”，学员实战案例第 4 集；视频编号 7403557916621540660。</w:t>
      </w:r>
    </w:p>
    <w:p>
      <w:pPr>
        <w:spacing w:after="120"/>
      </w:pPr>
      <w:r>
        <w:rPr>
          <w:rFonts w:ascii="Calibri" w:hAnsi="Calibri" w:eastAsia="Microsoft YaHei"/>
          <w:b/>
          <w:i w:val="0"/>
          <w:color w:val="64748B"/>
          <w:sz w:val="20"/>
        </w:rPr>
        <w:t>原链接：</w:t>
      </w:r>
      <w:r>
        <w:rPr>
          <w:rFonts w:ascii="Calibri" w:hAnsi="Calibri" w:eastAsia="Microsoft YaHei"/>
          <w:b w:val="0"/>
          <w:i w:val="0"/>
          <w:color w:val="64748B"/>
          <w:sz w:val="18"/>
        </w:rPr>
        <w:t>https://www.douyin.com/user/self?from_tab_name=main&amp;modal_id=7403557916621540660&amp;showSubTab=favorite_folder&amp;showTab=favorite_collection</w:t>
      </w:r>
    </w:p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使用提醒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本文用于财务管理学习与案例复盘，不构成税务、法律或投资意见。视频中的案例数字及政策表述，落地前应结合最新法规、主管机关口径和企业真实合同重新论证。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4748B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i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i w:val="0"/>
        <w:color w:val="64748B"/>
        <w:sz w:val="18"/>
      </w:rPr>
      <w:t>齐昊老师 · 学员实战案例 第 4 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齐昊老师学员实战案例第4集：连锁酒店需要注意的财务管理知识</dc:title>
  <dc:subject>财务管理与财务总监实战案例整理</dc:subject>
  <dc:creator>Codex</dc:creator>
  <cp:keywords>财务管理, 财务经理, 财务总监, 业财融合, 实战案例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