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 w:after="360"/>
        <w:jc w:val="center"/>
      </w:pPr>
      <w:r>
        <w:rPr>
          <w:rFonts w:ascii="Calibri" w:hAnsi="Calibri" w:eastAsia="Microsoft YaHei"/>
          <w:b/>
          <w:i w:val="0"/>
          <w:color w:val="A66B14"/>
          <w:sz w:val="22"/>
        </w:rPr>
        <w:t>财务管理实战案例</w:t>
      </w:r>
    </w:p>
    <w:p>
      <w:pPr>
        <w:spacing w:after="200"/>
        <w:jc w:val="center"/>
      </w:pPr>
      <w:r>
        <w:rPr>
          <w:rFonts w:ascii="Calibri" w:hAnsi="Calibri" w:eastAsia="Microsoft YaHei"/>
          <w:b/>
          <w:i w:val="0"/>
          <w:color w:val="1F4D78"/>
          <w:sz w:val="44"/>
        </w:rPr>
        <w:t>第 40 集｜从3000万到2亿元（下）</w:t>
      </w:r>
    </w:p>
    <w:p>
      <w:pPr>
        <w:spacing w:after="520"/>
        <w:jc w:val="center"/>
      </w:pPr>
      <w:r>
        <w:rPr>
          <w:rFonts w:ascii="Calibri" w:hAnsi="Calibri" w:eastAsia="Microsoft YaHei"/>
          <w:b w:val="0"/>
          <w:i w:val="0"/>
          <w:color w:val="2E74B5"/>
          <w:sz w:val="28"/>
        </w:rPr>
        <w:t>合账合规、重要性核算与MES驱动的精益升级</w:t>
      </w:r>
    </w:p>
    <w:p>
      <w:pPr>
        <w:spacing w:after="60"/>
        <w:jc w:val="center"/>
      </w:pPr>
      <w:r>
        <w:rPr>
          <w:rFonts w:ascii="Calibri" w:hAnsi="Calibri" w:eastAsia="Microsoft YaHei"/>
          <w:b/>
          <w:i w:val="0"/>
          <w:color w:val="64748B"/>
          <w:sz w:val="21"/>
        </w:rPr>
        <w:t>主讲账号：</w:t>
      </w:r>
      <w:r>
        <w:rPr>
          <w:rFonts w:ascii="Calibri" w:hAnsi="Calibri" w:eastAsia="Microsoft YaHei"/>
          <w:b w:val="0"/>
          <w:i w:val="0"/>
          <w:color w:val="203040"/>
          <w:sz w:val="21"/>
        </w:rPr>
        <w:t>齐昊老师</w:t>
      </w:r>
    </w:p>
    <w:p>
      <w:pPr>
        <w:spacing w:after="60"/>
        <w:jc w:val="center"/>
      </w:pPr>
      <w:r>
        <w:rPr>
          <w:rFonts w:ascii="Calibri" w:hAnsi="Calibri" w:eastAsia="Microsoft YaHei"/>
          <w:b/>
          <w:i w:val="0"/>
          <w:color w:val="64748B"/>
          <w:sz w:val="21"/>
        </w:rPr>
        <w:t>发布时间：</w:t>
      </w:r>
      <w:r>
        <w:rPr>
          <w:rFonts w:ascii="Calibri" w:hAnsi="Calibri" w:eastAsia="Microsoft YaHei"/>
          <w:b w:val="0"/>
          <w:i w:val="0"/>
          <w:color w:val="203040"/>
          <w:sz w:val="21"/>
        </w:rPr>
        <w:t>2025-08-14</w:t>
      </w:r>
    </w:p>
    <w:p>
      <w:pPr>
        <w:spacing w:after="60"/>
        <w:jc w:val="center"/>
      </w:pPr>
      <w:r>
        <w:rPr>
          <w:rFonts w:ascii="Calibri" w:hAnsi="Calibri" w:eastAsia="Microsoft YaHei"/>
          <w:b/>
          <w:i w:val="0"/>
          <w:color w:val="64748B"/>
          <w:sz w:val="21"/>
        </w:rPr>
        <w:t>视频时长：</w:t>
      </w:r>
      <w:r>
        <w:rPr>
          <w:rFonts w:ascii="Calibri" w:hAnsi="Calibri" w:eastAsia="Microsoft YaHei"/>
          <w:b w:val="0"/>
          <w:i w:val="0"/>
          <w:color w:val="203040"/>
          <w:sz w:val="21"/>
        </w:rPr>
        <w:t>08:14</w:t>
      </w:r>
    </w:p>
    <w:p>
      <w:pPr>
        <w:spacing w:after="60"/>
        <w:jc w:val="center"/>
      </w:pPr>
      <w:r>
        <w:rPr>
          <w:rFonts w:ascii="Calibri" w:hAnsi="Calibri" w:eastAsia="Microsoft YaHei"/>
          <w:b/>
          <w:i w:val="0"/>
          <w:color w:val="64748B"/>
          <w:sz w:val="21"/>
        </w:rPr>
        <w:t>视频编号：</w:t>
      </w:r>
      <w:r>
        <w:rPr>
          <w:rFonts w:ascii="Calibri" w:hAnsi="Calibri" w:eastAsia="Microsoft YaHei"/>
          <w:b w:val="0"/>
          <w:i w:val="0"/>
          <w:color w:val="203040"/>
          <w:sz w:val="21"/>
        </w:rPr>
        <w:t>7538368096617237817</w:t>
      </w:r>
    </w:p>
    <w:p>
      <w:pPr>
        <w:spacing w:after="320"/>
      </w:pPr>
    </w:p>
    <w:p>
      <w:pPr>
        <w:shd w:fill="EAF3EE"/>
        <w:pBdr>
          <w:left w:val="single" w:sz="18" w:space="8" w:color="2F6B4F"/>
        </w:pBdr>
        <w:spacing w:before="100" w:after="140" w:line="288" w:lineRule="auto"/>
        <w:ind w:left="173" w:right="86"/>
      </w:pPr>
      <w:r>
        <w:rPr>
          <w:rFonts w:ascii="Calibri" w:hAnsi="Calibri" w:eastAsia="Microsoft YaHei"/>
          <w:b/>
          <w:i w:val="0"/>
          <w:color w:val="2F6B4F"/>
          <w:sz w:val="21"/>
        </w:rPr>
        <w:t xml:space="preserve">核心结论  </w:t>
      </w:r>
      <w:r>
        <w:rPr>
          <w:rFonts w:ascii="Calibri" w:hAnsi="Calibri" w:eastAsia="Microsoft YaHei"/>
          <w:b w:val="0"/>
          <w:i w:val="0"/>
          <w:color w:val="203040"/>
          <w:sz w:val="21"/>
        </w:rPr>
        <w:t>制造企业的财务升级不是一步到位追求完美，而是按规模和风险分阶段建设。案例中，财务负责人接手时存在两套账、两套系统和前任无交接；她先联系系统服务商摸清模块，再画销售、生产、仓库流程图，让单据流、审批流与真实业务一致；2020年汇算清缴时补齐税款并统一内外账。成本方面，人工和制造费用仅占总成本约18%，在业务暂时无法准确报工时，先按材料成本比例分摊，虽不完美但基本合理；销售接近2亿元后，2025年5月上线MES，按工序工时报工，并打通考勤、费控和税务。企业同时坚持回款纪律、直接办理出口退税、申请软件产品及专精特新等政策，并谨慎归集研发费用。可复制的原则是“先流程和合规，后精度；先重要性判断，后系统升级；每个阶段做该阶段最有价值的事”。</w:t>
      </w:r>
    </w:p>
    <w:p>
      <w:pPr>
        <w:shd w:fill="F4F6F9"/>
        <w:pBdr>
          <w:left w:val="single" w:sz="18" w:space="8" w:color="64748B"/>
        </w:pBdr>
        <w:spacing w:before="100" w:after="140" w:line="288" w:lineRule="auto"/>
        <w:ind w:left="173" w:right="86"/>
      </w:pPr>
      <w:r>
        <w:rPr>
          <w:rFonts w:ascii="Calibri" w:hAnsi="Calibri" w:eastAsia="Microsoft YaHei"/>
          <w:b/>
          <w:i w:val="0"/>
          <w:color w:val="64748B"/>
          <w:sz w:val="21"/>
        </w:rPr>
        <w:t xml:space="preserve">整理口径  </w:t>
      </w:r>
      <w:r>
        <w:rPr>
          <w:rFonts w:ascii="Calibri" w:hAnsi="Calibri" w:eastAsia="Microsoft YaHei"/>
          <w:b w:val="0"/>
          <w:i w:val="0"/>
          <w:color w:val="203040"/>
          <w:sz w:val="21"/>
        </w:rPr>
        <w:t>依据公开视频静默转写并结构化改写；不是逐字稿。视频中的金额、税率与政策口径保留其发表时语境，实际工作应按最新法规和具体事实复核。</w:t>
      </w:r>
    </w:p>
    <w:p>
      <w:r>
        <w:br w:type="page"/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一页总览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4"/>
        <w:gridCol w:w="7056"/>
      </w:tblGrid>
      <w:tr>
        <w:trPr>
          <w:tblHeader w:val="true"/>
        </w:trPr>
        <w:tc>
          <w:tcPr>
            <w:tcW w:type="dxa" w:w="230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21"/>
              </w:rPr>
              <w:t>节点</w:t>
            </w:r>
          </w:p>
        </w:tc>
        <w:tc>
          <w:tcPr>
            <w:tcW w:type="dxa" w:w="705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21"/>
              </w:rPr>
              <w:t>核心内容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i w:val="0"/>
                <w:color w:val="1F4D78"/>
                <w:sz w:val="20"/>
              </w:rPr>
              <w:t>合账路径</w:t>
            </w:r>
          </w:p>
        </w:tc>
        <w:tc>
          <w:tcPr>
            <w:tcW w:type="dxa" w:w="70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i w:val="0"/>
                <w:color w:val="203040"/>
                <w:sz w:val="20"/>
              </w:rPr>
              <w:t>摸清两套系统 → 业务流程对齐 → 2020年补税并账 → 核算阳光化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i w:val="0"/>
                <w:color w:val="1F4D78"/>
                <w:sz w:val="20"/>
              </w:rPr>
              <w:t>成本过渡</w:t>
            </w:r>
          </w:p>
        </w:tc>
        <w:tc>
          <w:tcPr>
            <w:tcW w:type="dxa" w:w="70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i w:val="0"/>
                <w:color w:val="203040"/>
                <w:sz w:val="20"/>
              </w:rPr>
              <w:t>工时失真＋人工/制费约18% → 暂按材料比例分摊 → 规模增长后再改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i w:val="0"/>
                <w:color w:val="1F4D78"/>
                <w:sz w:val="20"/>
              </w:rPr>
              <w:t>数字化升级</w:t>
            </w:r>
          </w:p>
        </w:tc>
        <w:tc>
          <w:tcPr>
            <w:tcW w:type="dxa" w:w="70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i w:val="0"/>
                <w:color w:val="203040"/>
                <w:sz w:val="20"/>
              </w:rPr>
              <w:t>MES报工＋考勤＋费控＋发票/税务 → 工序工时精准分摊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i w:val="0"/>
                <w:color w:val="1F4D78"/>
                <w:sz w:val="20"/>
              </w:rPr>
              <w:t>经营贡献</w:t>
            </w:r>
          </w:p>
        </w:tc>
        <w:tc>
          <w:tcPr>
            <w:tcW w:type="dxa" w:w="70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i w:val="0"/>
                <w:color w:val="203040"/>
                <w:sz w:val="20"/>
              </w:rPr>
              <w:t>回款纪律＋出口退税＋软件优惠/政府补贴＋研发费用合规</w:t>
            </w:r>
          </w:p>
        </w:tc>
      </w:tr>
    </w:tbl>
    <w:p>
      <w:pPr>
        <w:shd w:fill="FFF7E8"/>
        <w:pBdr>
          <w:left w:val="single" w:sz="18" w:space="8" w:color="A66B14"/>
        </w:pBdr>
        <w:spacing w:before="100" w:after="140" w:line="288" w:lineRule="auto"/>
        <w:ind w:left="173" w:right="86"/>
      </w:pPr>
      <w:r>
        <w:rPr>
          <w:rFonts w:ascii="Calibri" w:hAnsi="Calibri" w:eastAsia="Microsoft YaHei"/>
          <w:b/>
          <w:i w:val="0"/>
          <w:color w:val="A66B14"/>
          <w:sz w:val="21"/>
        </w:rPr>
        <w:t xml:space="preserve">逻辑主线  </w:t>
      </w:r>
      <w:r>
        <w:rPr>
          <w:rFonts w:ascii="Calibri" w:hAnsi="Calibri" w:eastAsia="Microsoft YaHei"/>
          <w:b w:val="0"/>
          <w:i w:val="0"/>
          <w:color w:val="203040"/>
          <w:sz w:val="21"/>
        </w:rPr>
        <w:t>识别商业事实 → 找到管理根因 → 把财务控制嵌入业务流程 → 用数据支持经营决策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一、承接上集：两套账、两套系统与零交接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1. 混乱现场</w:t>
      </w:r>
    </w:p>
    <w:p>
      <w:pPr>
        <w:spacing w:after="6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1"/>
        </w:rPr>
        <w:t>公司直接标明谁负责内账、谁负责外账，核算在两套系统中运行，一旦检查容易整体暴露。</w:t>
      </w:r>
    </w:p>
    <w:p>
      <w:pPr>
        <w:spacing w:after="6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1"/>
        </w:rPr>
        <w:t>财务负责人到岗第一周，前任负责人被辞退且没有交接，没人能完整解释系统模块、口径和两套账形成原因。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2. 先找服务商摸清系统</w:t>
      </w:r>
    </w:p>
    <w:p>
      <w:pPr>
        <w:spacing w:after="6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1"/>
        </w:rPr>
        <w:t>联系金蝶等系统服务商，核对已开发模块、实施深度、接口和历史配置，先建立系统地图。</w:t>
      </w:r>
    </w:p>
    <w:p>
      <w:pPr>
        <w:spacing w:after="6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1"/>
        </w:rPr>
        <w:t>接手陌生系统时，应同时保存账号权限、数据库备份、合同、实施文档、字段字典和供应商联系人。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二、为什么先梳理内账，而不是立刻处理外账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1. 基于风险和规模的判断</w:t>
      </w:r>
    </w:p>
    <w:p>
      <w:pPr>
        <w:spacing w:after="6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1"/>
        </w:rPr>
        <w:t>当时企业规模和总体金额较小，财务判断对外风险暂未达到最紧迫程度，因此先把能反映真实经营的内账和业务流程理顺。</w:t>
      </w:r>
    </w:p>
    <w:p>
      <w:pPr>
        <w:spacing w:after="6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1"/>
        </w:rPr>
        <w:t>这不是放任税务风险，而是按影响和可控性排序；同时要设置补救时间表，避免“以后再说”无限延期。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2. 财务的智慧是选择先后顺序</w:t>
      </w:r>
    </w:p>
    <w:p>
      <w:pPr>
        <w:spacing w:after="6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1"/>
        </w:rPr>
        <w:t>高阶财务不等于所有问题同时开工，而是识别哪一步能为后续提供可靠数据、减少更大损失。</w:t>
      </w:r>
    </w:p>
    <w:p>
      <w:pPr>
        <w:spacing w:after="6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1"/>
        </w:rPr>
        <w:t>先把真实业务跑通，才有条件统一内外账并承诺未来数据准确。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三、流程先于系统：单据流必须与真实业务流一致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1. 销售流程</w:t>
      </w:r>
    </w:p>
    <w:p>
      <w:pPr>
        <w:spacing w:after="6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1"/>
        </w:rPr>
        <w:t>财务自己画销售业务流程图，并与销售负责人、销售人员、助理和客服等共同核对，发现系统录入流程与实际业务相差很大。</w:t>
      </w:r>
    </w:p>
    <w:p>
      <w:pPr>
        <w:spacing w:after="6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1"/>
        </w:rPr>
        <w:t>逐步修改录入、审核、批准和单据流，使订单、发货、开票、回款与实际责任节点一致。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2. 生产与仓库流程</w:t>
      </w:r>
    </w:p>
    <w:p>
      <w:pPr>
        <w:spacing w:after="6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1"/>
        </w:rPr>
        <w:t>与生产一线共同绘制生产流程图，并梳理仓库收、发、存流程，找出系统节点缺失和绕行操作。</w:t>
      </w:r>
    </w:p>
    <w:p>
      <w:pPr>
        <w:spacing w:after="6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1"/>
        </w:rPr>
        <w:t>财务依靠订单、领料单、完工单、入库单和凭证控制流程；ERP必须跟着业务流程设计，而不是反过来要求业务迁就错误配置。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四、两账合一：补齐税款后，财务才有资格要求数据准确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1. 原外账逻辑</w:t>
      </w:r>
    </w:p>
    <w:p>
      <w:pPr>
        <w:spacing w:after="6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1"/>
        </w:rPr>
        <w:t>原外账基本按发票做账：有发票才入外账，没有发票的收入、支出或报销进入内账，导致经营数据和纳税数据长期割裂。</w:t>
      </w:r>
    </w:p>
    <w:p>
      <w:pPr>
        <w:spacing w:after="6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1"/>
        </w:rPr>
        <w:t>两套账既可能来自老板要求，也可能源于专业能力不足的财务人员主动建议；它会把风险留给后续接手者。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2. 2020年汇算清缴完成并账</w:t>
      </w:r>
    </w:p>
    <w:p>
      <w:pPr>
        <w:spacing w:after="6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1"/>
        </w:rPr>
        <w:t>案例在2020年汇算清缴时统一内外账，一次性补齐相关税款，之后实行合规、透明的单一核算。</w:t>
      </w:r>
    </w:p>
    <w:p>
      <w:pPr>
        <w:spacing w:after="6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1"/>
        </w:rPr>
        <w:t>并账后才能名正言顺加强单据审核、发票要求和数据准确性。历史补税、滞纳金和账务调整必须由税务专业人士按当期政策核验。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五、成本核算的现实妥协：重要性原则比形式完美更重要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1. 理想方法与现实约束</w:t>
      </w:r>
    </w:p>
    <w:p>
      <w:pPr>
        <w:spacing w:after="6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1"/>
        </w:rPr>
        <w:t>微型泵等小批量、多品种、含定制产品的制造模式，材料应按BOM归集，人工和制造费用理想上按工序工时分摊。</w:t>
      </w:r>
    </w:p>
    <w:p>
      <w:pPr>
        <w:spacing w:after="6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1"/>
        </w:rPr>
        <w:t>但生产部只有约20至30人，人工记录负担大且部门强势；历史报工汇总约1万小时，而考勤只有约8000小时，数据明显失真。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2. 先用基本合理的过渡方法</w:t>
      </w:r>
    </w:p>
    <w:p>
      <w:pPr>
        <w:spacing w:after="6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1"/>
        </w:rPr>
        <w:t>财务发现人工和制造费用合计仅占总成本约18%，即使分配不够精确，也不至于对产品成本造成根本性误导。</w:t>
      </w:r>
    </w:p>
    <w:p>
      <w:pPr>
        <w:spacing w:after="6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1"/>
        </w:rPr>
        <w:t>因此按生产领料单对应订单、产品和批次的材料成本比例分摊人工与制造费用。材料越高，分摊越高；方法不完美，但符合当时重要性和投入产出。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3. 过渡方法必须设退出条件</w:t>
      </w:r>
    </w:p>
    <w:p>
      <w:pPr>
        <w:spacing w:after="6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1"/>
        </w:rPr>
        <w:t>暂行分配法应书面说明适用规模、误差容忍度和复核频率，不能把“基本合理”变成长期不改。</w:t>
      </w:r>
    </w:p>
    <w:p>
      <w:pPr>
        <w:spacing w:after="6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1"/>
        </w:rPr>
        <w:t>当产品结构、人工占比、自动化、定价或规模发生变化，应重新评估成本动因。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六、规模接近2亿元后：MES把工序工时变成可核验数据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1. 2025年5月上线MES</w:t>
      </w:r>
    </w:p>
    <w:p>
      <w:pPr>
        <w:spacing w:after="6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1"/>
        </w:rPr>
        <w:t>企业销售规模接近2亿元后，原过渡方法需要升级。2025年5月上线MES，生产线小组长在开工、停工和人员离开时及时报工。</w:t>
      </w:r>
    </w:p>
    <w:p>
      <w:pPr>
        <w:spacing w:after="6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1"/>
        </w:rPr>
        <w:t>由此可按工序和工时分摊成本，提高产品、订单和批次核算精度。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2. 与考勤系统打通</w:t>
      </w:r>
    </w:p>
    <w:p>
      <w:pPr>
        <w:spacing w:after="6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1"/>
        </w:rPr>
        <w:t>MES与人力资源考勤系统连接，使报工时长可与员工出勤交叉核验，减少虚报、漏报和跨订单错报。</w:t>
      </w:r>
    </w:p>
    <w:p>
      <w:pPr>
        <w:spacing w:after="6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1"/>
        </w:rPr>
        <w:t>精益核算依赖系统，但更依赖统一编码、停机规则、返工规则、异常审批和现场执行。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七、费用与税务数字化：让政策进入系统，而不是靠财务反复争论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1. 费控APP</w:t>
      </w:r>
    </w:p>
    <w:p>
      <w:pPr>
        <w:spacing w:after="6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1"/>
        </w:rPr>
        <w:t>上线费控系统进行发票查验、验真和内容识别，员工不再手填大量报销单，系统自动上传并按政策校验。</w:t>
      </w:r>
    </w:p>
    <w:p>
      <w:pPr>
        <w:spacing w:after="6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1"/>
        </w:rPr>
        <w:t>把差旅补贴和报销标准配置到系统，减少财务与业务逐笔争执，同时保留例外申请和复核机制。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2. 多系统连接</w:t>
      </w:r>
    </w:p>
    <w:p>
      <w:pPr>
        <w:spacing w:after="6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1"/>
        </w:rPr>
        <w:t>费控与人力资源系统连接，并进一步与电子税务相关流程打通，辅助计算进项、销项及申报数据。</w:t>
      </w:r>
    </w:p>
    <w:p>
      <w:pPr>
        <w:spacing w:after="6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1"/>
        </w:rPr>
        <w:t>系统自动化不能替代税务判断；接口数据、税率、抵扣条件、红冲和异常凭证仍需人工复核。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八、现金流纪律：不迷信大客户，先收回上一笔再发下一单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1. 客户结构</w:t>
      </w:r>
    </w:p>
    <w:p>
      <w:pPr>
        <w:spacing w:after="6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1"/>
        </w:rPr>
        <w:t>公司主要客户是大量中小B端，而非少数超大B端或政府客户，很多订单采取款到发货。</w:t>
      </w:r>
    </w:p>
    <w:p>
      <w:pPr>
        <w:spacing w:after="6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1"/>
        </w:rPr>
        <w:t>分散客户降低单一客户依赖，也增加客户管理和订单处理成本，需要信用分层和自动化对账。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2. 大客户也不例外</w:t>
      </w:r>
    </w:p>
    <w:p>
      <w:pPr>
        <w:spacing w:after="6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1"/>
        </w:rPr>
        <w:t>对大客户坚持上一笔货款未回，下一笔订单不发货；公司不以牺牲现金流换取表面规模。</w:t>
      </w:r>
    </w:p>
    <w:p>
      <w:pPr>
        <w:spacing w:after="6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1"/>
        </w:rPr>
        <w:t>授信政策仍应区分客户信用、担保、毛利和战略价值，但任何例外都要明确额度、期限和审批责任。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九、出口、软件与政府项目：财务直接创造可量化价值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1. 出口退税</w:t>
      </w:r>
    </w:p>
    <w:p>
      <w:pPr>
        <w:spacing w:after="6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1"/>
        </w:rPr>
        <w:t>外贸销售约1000万元，过去由外贸代理报关，公司承担费用且无法直接取得退税。</w:t>
      </w:r>
    </w:p>
    <w:p>
      <w:pPr>
        <w:spacing w:after="6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1"/>
        </w:rPr>
        <w:t>财务推动以公司名义直接报关并办理出口退税，既节约代理费用，又取得符合条件的退税收益。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2. 软件产品与专精特新</w:t>
      </w:r>
    </w:p>
    <w:p>
      <w:pPr>
        <w:spacing w:after="6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1"/>
        </w:rPr>
        <w:t>2021年根据企业产品和政策条件申请软件产品相关优惠，视频称当年税务成本降低约40万至50万元。</w:t>
      </w:r>
    </w:p>
    <w:p>
      <w:pPr>
        <w:spacing w:after="6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1"/>
        </w:rPr>
        <w:t>企业还申请国家级专精特新“小巨人”等政府项目，视频称每年补贴收入约70万至100万元。所有资格、收入确认和持续合规条件应按最新文件复核。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十、研发费用：会计、高新与加计扣除是三个不同口径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1. 三套口径不能混用</w:t>
      </w:r>
    </w:p>
    <w:p>
      <w:pPr>
        <w:spacing w:after="6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1"/>
        </w:rPr>
        <w:t>研发费用的会计核算、高新技术企业认定和企业所得税加计扣除，目的、范围和证据要求不同，应分别建立台账并形成勾稽关系。</w:t>
      </w:r>
    </w:p>
    <w:p>
      <w:pPr>
        <w:spacing w:after="6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1"/>
        </w:rPr>
        <w:t>案例多次接受检查仍能通过，关键在于项目立项、人员工时、材料领用、设备使用、成果和费用凭证完整。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2. 视频提及的政策资料</w:t>
      </w:r>
    </w:p>
    <w:p>
      <w:pPr>
        <w:spacing w:after="6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1"/>
        </w:rPr>
        <w:t>视频提到财税〔2015〕119号、国家税务总局公告2017年第40号及《研发费用加计扣除政策执行指引（2023年版）》等资料。</w:t>
      </w:r>
    </w:p>
    <w:p>
      <w:pPr>
        <w:spacing w:after="6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1"/>
        </w:rPr>
        <w:t>这些文件可能已有后续调整，实际申报必须核对最新有效政策、适用行业、负面清单和当地执行口径。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十一、两集共同的方法论：从能管住到管得准，再到财务创值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1. 三个阶段</w:t>
      </w:r>
    </w:p>
    <w:p>
      <w:pPr>
        <w:spacing w:after="6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1"/>
        </w:rPr>
        <w:t>第一阶段管住：账户、印鉴、个人收款、真实业务和两套账；第二阶段管顺：单据流、审批流、合账、报销和基础成本；第三阶段管准并创值：MES、系统集成、出口退税、研发与政策项目。</w:t>
      </w:r>
    </w:p>
    <w:p>
      <w:pPr>
        <w:spacing w:after="6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1"/>
        </w:rPr>
        <w:t>每一阶段都以前一阶段的数据和控制为基础，跳级上系统通常只会制造更复杂的错误。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2. 财务经理可复用的判断</w:t>
      </w:r>
    </w:p>
    <w:p>
      <w:pPr>
        <w:spacing w:after="6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1"/>
        </w:rPr>
        <w:t>先问风险是否致命，再问误差是否重要，最后问系统投入能否带来决策或现金回报。</w:t>
      </w:r>
    </w:p>
    <w:p>
      <w:pPr>
        <w:spacing w:after="6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1"/>
        </w:rPr>
        <w:t>企业从3000万元走向2亿元，财务不是被动跟随增长，而是通过合规、流程、现金和数据能力为增长提供可持续底座。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b w:val="0"/>
        <w:i w:val="0"/>
        <w:color w:val="64748B"/>
        <w:sz w:val="18"/>
      </w:rPr>
      <w:t xml:space="preserve">第 </w:t>
    </w:r>
    <w:r>
      <w:rPr>
        <w:rFonts w:ascii="Calibri" w:hAnsi="Calibri" w:eastAsia="Microsoft YaHei"/>
        <w:b w:val="0"/>
        <w:i w:val="0"/>
        <w:color w:val="64748B"/>
        <w:sz w:val="18"/>
      </w:rPr>
      <w:fldChar w:fldCharType="begin"/>
      <w:instrText xml:space="preserve">PAGE</w:instrText>
      <w:fldChar w:fldCharType="end"/>
    </w:r>
    <w:r>
      <w:rPr>
        <w:rFonts w:ascii="Calibri" w:hAnsi="Calibri" w:eastAsia="Microsoft YaHei"/>
        <w:b w:val="0"/>
        <w:i w:val="0"/>
        <w:color w:val="64748B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eastAsia="Microsoft YaHei"/>
        <w:b/>
        <w:i w:val="0"/>
        <w:color w:val="64748B"/>
        <w:sz w:val="18"/>
      </w:rPr>
      <w:t>齐昊老师 · 学员实战案例 第 40 集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0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icrosoft YaHei"/>
      </w:rPr>
    </w:lvl>
  </w:abstractNum>
  <w:abstractNum w:abstractNumId="91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icrosoft YaHei"/>
      </w:rPr>
    </w:lvl>
  </w:abstractNum>
  <w:num w:numId="90">
    <w:abstractNumId w:val="90"/>
  </w:num>
  <w:num w:numId="91">
    <w:abstractNumId w:val="9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4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齐昊老师学员实战案例第40集：从3000万到2亿元（下）</dc:title>
  <dc:subject>财务管理与财务总监实战案例整理</dc:subject>
  <dc:creator>Codex</dc:creator>
  <cp:keywords>财务管理, 财务经理, 财务总监, 业财融合, 实战案例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