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i w:val="0"/>
          <w:color w:val="A66B14"/>
          <w:sz w:val="22"/>
        </w:rPr>
        <w:t>财务管理实战案例</w:t>
      </w:r>
    </w:p>
    <w:p>
      <w:pPr>
        <w:spacing w:after="200"/>
        <w:jc w:val="center"/>
      </w:pPr>
      <w:r>
        <w:rPr>
          <w:rFonts w:ascii="Calibri" w:hAnsi="Calibri" w:eastAsia="Microsoft YaHei"/>
          <w:b/>
          <w:i w:val="0"/>
          <w:color w:val="1F4D78"/>
          <w:sz w:val="44"/>
        </w:rPr>
        <w:t>第 44 集｜公司从5000万减资到100万的实操</w:t>
      </w:r>
    </w:p>
    <w:p>
      <w:pPr>
        <w:spacing w:after="520"/>
        <w:jc w:val="center"/>
      </w:pPr>
      <w:r>
        <w:rPr>
          <w:rFonts w:ascii="Calibri" w:hAnsi="Calibri" w:eastAsia="Microsoft YaHei"/>
          <w:b w:val="0"/>
          <w:i w:val="0"/>
          <w:color w:val="2E74B5"/>
          <w:sz w:val="28"/>
        </w:rPr>
        <w:t>认缴期限、债权人保护、税务判断与资金承接</w:t>
      </w:r>
    </w:p>
    <w:p>
      <w:pPr>
        <w:spacing w:after="60"/>
        <w:jc w:val="center"/>
      </w:pPr>
      <w:r>
        <w:rPr>
          <w:rFonts w:ascii="Calibri" w:hAnsi="Calibri" w:eastAsia="Microsoft YaHei"/>
          <w:b/>
          <w:i w:val="0"/>
          <w:color w:val="64748B"/>
          <w:sz w:val="21"/>
        </w:rPr>
        <w:t>主讲账号：</w:t>
      </w:r>
      <w:r>
        <w:rPr>
          <w:rFonts w:ascii="Calibri" w:hAnsi="Calibri" w:eastAsia="Microsoft YaHei"/>
          <w:b w:val="0"/>
          <w:i w:val="0"/>
          <w:color w:val="203040"/>
          <w:sz w:val="21"/>
        </w:rPr>
        <w:t>齐昊老师</w:t>
      </w:r>
    </w:p>
    <w:p>
      <w:pPr>
        <w:spacing w:after="60"/>
        <w:jc w:val="center"/>
      </w:pPr>
      <w:r>
        <w:rPr>
          <w:rFonts w:ascii="Calibri" w:hAnsi="Calibri" w:eastAsia="Microsoft YaHei"/>
          <w:b/>
          <w:i w:val="0"/>
          <w:color w:val="64748B"/>
          <w:sz w:val="21"/>
        </w:rPr>
        <w:t>发布时间：</w:t>
      </w:r>
      <w:r>
        <w:rPr>
          <w:rFonts w:ascii="Calibri" w:hAnsi="Calibri" w:eastAsia="Microsoft YaHei"/>
          <w:b w:val="0"/>
          <w:i w:val="0"/>
          <w:color w:val="203040"/>
          <w:sz w:val="21"/>
        </w:rPr>
        <w:t>2025-09-03</w:t>
      </w:r>
    </w:p>
    <w:p>
      <w:pPr>
        <w:spacing w:after="60"/>
        <w:jc w:val="center"/>
      </w:pPr>
      <w:r>
        <w:rPr>
          <w:rFonts w:ascii="Calibri" w:hAnsi="Calibri" w:eastAsia="Microsoft YaHei"/>
          <w:b/>
          <w:i w:val="0"/>
          <w:color w:val="64748B"/>
          <w:sz w:val="21"/>
        </w:rPr>
        <w:t>视频时长：</w:t>
      </w:r>
      <w:r>
        <w:rPr>
          <w:rFonts w:ascii="Calibri" w:hAnsi="Calibri" w:eastAsia="Microsoft YaHei"/>
          <w:b w:val="0"/>
          <w:i w:val="0"/>
          <w:color w:val="203040"/>
          <w:sz w:val="21"/>
        </w:rPr>
        <w:t>02:15</w:t>
      </w:r>
    </w:p>
    <w:p>
      <w:pPr>
        <w:spacing w:after="60"/>
        <w:jc w:val="center"/>
      </w:pPr>
      <w:r>
        <w:rPr>
          <w:rFonts w:ascii="Calibri" w:hAnsi="Calibri" w:eastAsia="Microsoft YaHei"/>
          <w:b/>
          <w:i w:val="0"/>
          <w:color w:val="64748B"/>
          <w:sz w:val="21"/>
        </w:rPr>
        <w:t>视频编号：</w:t>
      </w:r>
      <w:r>
        <w:rPr>
          <w:rFonts w:ascii="Calibri" w:hAnsi="Calibri" w:eastAsia="Microsoft YaHei"/>
          <w:b w:val="0"/>
          <w:i w:val="0"/>
          <w:color w:val="203040"/>
          <w:sz w:val="21"/>
        </w:rPr>
        <w:t>7545701633938820386</w:t>
      </w:r>
    </w:p>
    <w:p>
      <w:pPr>
        <w:spacing w:after="320"/>
      </w:pPr>
    </w:p>
    <w:p>
      <w:pPr>
        <w:shd w:fill="EAF3EE"/>
        <w:pBdr>
          <w:left w:val="single" w:sz="18" w:space="8" w:color="2F6B4F"/>
        </w:pBdr>
        <w:spacing w:before="100" w:after="140" w:line="288" w:lineRule="auto"/>
        <w:ind w:left="173" w:right="86"/>
      </w:pPr>
      <w:r>
        <w:rPr>
          <w:rFonts w:ascii="Calibri" w:hAnsi="Calibri" w:eastAsia="Microsoft YaHei"/>
          <w:b/>
          <w:i w:val="0"/>
          <w:color w:val="2F6B4F"/>
          <w:sz w:val="21"/>
        </w:rPr>
        <w:t xml:space="preserve">核心结论  </w:t>
      </w:r>
      <w:r>
        <w:rPr>
          <w:rFonts w:ascii="Calibri" w:hAnsi="Calibri" w:eastAsia="Microsoft YaHei"/>
          <w:b w:val="0"/>
          <w:i w:val="0"/>
          <w:color w:val="203040"/>
          <w:sz w:val="21"/>
        </w:rPr>
        <w:t>视频案例中，财务主管“小岳岳”所在公司的注册资本大多处于认缴状态。面对新《公司法》及存量公司出资期限调整要求，她选择先对一家注册资本5000万元的公司减资到100万元，并与当地税务机关沟通个案税务处理。案例的可复制价值不在“减资一定不纳税”，而在于先核清认缴与实缴、债务和净资产，再依法完成决议、资产负债表及财产清单、债权人通知/公告、债务清偿或担保、登记公示和税务判断。减资后收回的实缴投资款又被部分配置为结构性存款，带来十几万元理财收益；这一步同样需要流动性、风险和授权管理。</w:t>
      </w:r>
    </w:p>
    <w:p>
      <w:pPr>
        <w:shd w:fill="F4F6F9"/>
        <w:pBdr>
          <w:left w:val="single" w:sz="18" w:space="8" w:color="64748B"/>
        </w:pBdr>
        <w:spacing w:before="100" w:after="140" w:line="288" w:lineRule="auto"/>
        <w:ind w:left="173" w:right="86"/>
      </w:pPr>
      <w:r>
        <w:rPr>
          <w:rFonts w:ascii="Calibri" w:hAnsi="Calibri" w:eastAsia="Microsoft YaHei"/>
          <w:b/>
          <w:i w:val="0"/>
          <w:color w:val="64748B"/>
          <w:sz w:val="21"/>
        </w:rPr>
        <w:t xml:space="preserve">整理口径  </w:t>
      </w:r>
      <w:r>
        <w:rPr>
          <w:rFonts w:ascii="Calibri" w:hAnsi="Calibri" w:eastAsia="Microsoft YaHei"/>
          <w:b w:val="0"/>
          <w:i w:val="0"/>
          <w:color w:val="203040"/>
          <w:sz w:val="21"/>
        </w:rPr>
        <w:t>依据公开视频页面中的标题、时间轴和AI章节要点进行静音核对，并结合现行法规结构化改写；不是逐字稿。视频所述“无需缴税”是学员向当地税务机关沟通后的特定事实结论，不能直接套用于其他公司。本文已参考现行《公司法》第二百二十四条、《国务院关于实施〈公司法〉注册资本登记管理制度的规定》及国家税务总局公告2011年第34号；实际处理仍应按股东身份、实缴金额、净资产、未分配利润、资金支付和属地征管要求取得专业复核。</w:t>
      </w:r>
    </w:p>
    <w:p>
      <w:r>
        <w:br w:type="page"/>
      </w:r>
    </w:p>
    <w:p>
      <w:pPr>
        <w:pStyle w:val="Heading1"/>
        <w:keepNext/>
      </w:pPr>
      <w:r>
        <w:rPr>
          <w:rFonts w:ascii="Calibri" w:hAnsi="Calibri" w:eastAsia="Microsoft YaHei"/>
          <w:b/>
          <w:i w:val="0"/>
          <w:color w:val="2E74B5"/>
          <w:sz w:val="32"/>
        </w:rPr>
        <w:t>一页总览</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节点</w:t>
            </w:r>
          </w:p>
        </w:tc>
        <w:tc>
          <w:tcPr>
            <w:tcW w:type="dxa" w:w="7056"/>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核心内容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触发因素</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注册资本5000万且多为认缴 → 出资期限规则变化 → 评估真实资本需求</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法定流程</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股东会决议 → 资产负债表/财产清单 → 通知公告 → 清偿或担保 → 变更登记</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税务判断</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未实缴调减与实缴返还分开 → 股东身份、投资成本和留存收益决定口径</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资金承接</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返还资金先保流动性 → 经授权配置结构性存款 → 案例收益十几万元</w:t>
            </w:r>
          </w:p>
        </w:tc>
      </w:tr>
    </w:tbl>
    <w:p>
      <w:pPr>
        <w:shd w:fill="FFF7E8"/>
        <w:pBdr>
          <w:left w:val="single" w:sz="18" w:space="8" w:color="A66B14"/>
        </w:pBdr>
        <w:spacing w:before="100" w:after="140" w:line="288" w:lineRule="auto"/>
        <w:ind w:left="173" w:right="86"/>
      </w:pPr>
      <w:r>
        <w:rPr>
          <w:rFonts w:ascii="Calibri" w:hAnsi="Calibri" w:eastAsia="Microsoft YaHei"/>
          <w:b/>
          <w:i w:val="0"/>
          <w:color w:val="A66B14"/>
          <w:sz w:val="21"/>
        </w:rPr>
        <w:t xml:space="preserve">逻辑主线  </w:t>
      </w:r>
      <w:r>
        <w:rPr>
          <w:rFonts w:ascii="Calibri" w:hAnsi="Calibri" w:eastAsia="Microsoft YaHei"/>
          <w:b w:val="0"/>
          <w:i w:val="0"/>
          <w:color w:val="203040"/>
          <w:sz w:val="21"/>
        </w:rPr>
        <w:t>识别商业事实 → 找到管理根因 → 把财务控制嵌入业务流程 → 用数据支持经营决策</w:t>
      </w:r>
    </w:p>
    <w:p>
      <w:pPr>
        <w:pStyle w:val="Heading1"/>
        <w:keepNext/>
      </w:pPr>
      <w:r>
        <w:rPr>
          <w:rFonts w:ascii="Calibri" w:hAnsi="Calibri" w:eastAsia="Microsoft YaHei"/>
          <w:b/>
          <w:i w:val="0"/>
          <w:color w:val="2E74B5"/>
          <w:sz w:val="32"/>
        </w:rPr>
        <w:t>一、案例背景：5000万元注册资本为什么要降到100万元</w:t>
      </w:r>
    </w:p>
    <w:p>
      <w:pPr>
        <w:pStyle w:val="Heading2"/>
        <w:keepNext/>
      </w:pPr>
      <w:r>
        <w:rPr>
          <w:rFonts w:ascii="Calibri" w:hAnsi="Calibri" w:eastAsia="Microsoft YaHei"/>
          <w:b/>
          <w:i w:val="0"/>
          <w:color w:val="2E74B5"/>
          <w:sz w:val="26"/>
        </w:rPr>
        <w:t>1. 视频中的现实起点</w:t>
      </w:r>
    </w:p>
    <w:p>
      <w:pPr>
        <w:spacing w:after="16" w:line="259" w:lineRule="auto"/>
        <w:numPr>
          <w:ilvl w:val="0"/>
          <w:numId w:val="90"/>
        </w:numPr>
      </w:pPr>
      <w:r>
        <w:rPr>
          <w:rFonts w:ascii="Calibri" w:hAnsi="Calibri" w:eastAsia="Microsoft YaHei"/>
          <w:b w:val="0"/>
          <w:i w:val="0"/>
          <w:color w:val="203040"/>
          <w:sz w:val="19"/>
        </w:rPr>
        <w:t>视频00:01介绍，小岳岳所在公司注册资本多为认缴，她选择先从一家注册资本5000万元的公司着手减资。目标金额为100万元。</w:t>
      </w:r>
    </w:p>
    <w:p>
      <w:pPr>
        <w:spacing w:after="16" w:line="259" w:lineRule="auto"/>
        <w:numPr>
          <w:ilvl w:val="0"/>
          <w:numId w:val="90"/>
        </w:numPr>
      </w:pPr>
      <w:r>
        <w:rPr>
          <w:rFonts w:ascii="Calibri" w:hAnsi="Calibri" w:eastAsia="Microsoft YaHei"/>
          <w:b w:val="0"/>
          <w:i w:val="0"/>
          <w:color w:val="203040"/>
          <w:sz w:val="19"/>
        </w:rPr>
        <w:t>这不是简单把营业执照上的数字改小，而是重新匹配公司的真实经营规模、资本需求、股东出资能力和债权人保护。</w:t>
      </w:r>
    </w:p>
    <w:p>
      <w:pPr>
        <w:pStyle w:val="Heading2"/>
        <w:keepNext/>
      </w:pPr>
      <w:r>
        <w:rPr>
          <w:rFonts w:ascii="Calibri" w:hAnsi="Calibri" w:eastAsia="Microsoft YaHei"/>
          <w:b/>
          <w:i w:val="0"/>
          <w:color w:val="2E74B5"/>
          <w:sz w:val="26"/>
        </w:rPr>
        <w:t>2. 新规则的影响要准确理解</w:t>
      </w:r>
    </w:p>
    <w:p>
      <w:pPr>
        <w:spacing w:after="16" w:line="259" w:lineRule="auto"/>
        <w:numPr>
          <w:ilvl w:val="0"/>
          <w:numId w:val="90"/>
        </w:numPr>
      </w:pPr>
      <w:r>
        <w:rPr>
          <w:rFonts w:ascii="Calibri" w:hAnsi="Calibri" w:eastAsia="Microsoft YaHei"/>
          <w:b w:val="0"/>
          <w:i w:val="0"/>
          <w:color w:val="203040"/>
          <w:sz w:val="19"/>
        </w:rPr>
        <w:t>现行《公司法》规定新设有限责任公司的股东原则上应按章程自公司成立之日起五年内缴足认缴出资；存量公司另有过渡安排，并非所有存量认缴资本都在同一日期立即实缴。</w:t>
      </w:r>
    </w:p>
    <w:p>
      <w:pPr>
        <w:spacing w:after="16" w:line="259" w:lineRule="auto"/>
        <w:numPr>
          <w:ilvl w:val="0"/>
          <w:numId w:val="90"/>
        </w:numPr>
      </w:pPr>
      <w:r>
        <w:rPr>
          <w:rFonts w:ascii="Calibri" w:hAnsi="Calibri" w:eastAsia="Microsoft YaHei"/>
          <w:b w:val="0"/>
          <w:i w:val="0"/>
          <w:color w:val="203040"/>
          <w:sz w:val="19"/>
        </w:rPr>
        <w:t>国务院过渡规定明确：2024年6月30日前设立的有限责任公司，如自2027年7月1日起剩余认缴期限超过五年，应在2027年6月30日前调整至五年内。企业应结合自身章程和设立时间判断。</w:t>
      </w:r>
    </w:p>
    <w:p>
      <w:pPr>
        <w:pStyle w:val="Heading1"/>
        <w:keepNext/>
      </w:pPr>
      <w:r>
        <w:rPr>
          <w:rFonts w:ascii="Calibri" w:hAnsi="Calibri" w:eastAsia="Microsoft YaHei"/>
          <w:b/>
          <w:i w:val="0"/>
          <w:color w:val="2E74B5"/>
          <w:sz w:val="32"/>
        </w:rPr>
        <w:t>二、减资前先做四张底表：资本、资产、债务和股东</w:t>
      </w:r>
    </w:p>
    <w:p>
      <w:pPr>
        <w:pStyle w:val="Heading2"/>
        <w:keepNext/>
      </w:pPr>
      <w:r>
        <w:rPr>
          <w:rFonts w:ascii="Calibri" w:hAnsi="Calibri" w:eastAsia="Microsoft YaHei"/>
          <w:b/>
          <w:i w:val="0"/>
          <w:color w:val="2E74B5"/>
          <w:sz w:val="26"/>
        </w:rPr>
        <w:t>1. 资本底表</w:t>
      </w:r>
    </w:p>
    <w:p>
      <w:pPr>
        <w:spacing w:after="16" w:line="259" w:lineRule="auto"/>
        <w:numPr>
          <w:ilvl w:val="0"/>
          <w:numId w:val="90"/>
        </w:numPr>
      </w:pPr>
      <w:r>
        <w:rPr>
          <w:rFonts w:ascii="Calibri" w:hAnsi="Calibri" w:eastAsia="Microsoft YaHei"/>
          <w:b w:val="0"/>
          <w:i w:val="0"/>
          <w:color w:val="203040"/>
          <w:sz w:val="19"/>
        </w:rPr>
        <w:t>逐个股东列示认缴额、实缴额、出资方式、章程期限、出资证明、公示信息和历史变更，区分“尚未缴付的承诺”与“已经进入公司的资产”。</w:t>
      </w:r>
    </w:p>
    <w:p>
      <w:pPr>
        <w:spacing w:after="16" w:line="259" w:lineRule="auto"/>
        <w:numPr>
          <w:ilvl w:val="0"/>
          <w:numId w:val="90"/>
        </w:numPr>
      </w:pPr>
      <w:r>
        <w:rPr>
          <w:rFonts w:ascii="Calibri" w:hAnsi="Calibri" w:eastAsia="Microsoft YaHei"/>
          <w:b w:val="0"/>
          <w:i w:val="0"/>
          <w:color w:val="203040"/>
          <w:sz w:val="19"/>
        </w:rPr>
        <w:t>5000万元减至100万元后，各股东如何同比例或非同比例减少，需要有明确商业理由、表决程序和章程依据。</w:t>
      </w:r>
    </w:p>
    <w:p>
      <w:pPr>
        <w:pStyle w:val="Heading2"/>
        <w:keepNext/>
      </w:pPr>
      <w:r>
        <w:rPr>
          <w:rFonts w:ascii="Calibri" w:hAnsi="Calibri" w:eastAsia="Microsoft YaHei"/>
          <w:b/>
          <w:i w:val="0"/>
          <w:color w:val="2E74B5"/>
          <w:sz w:val="26"/>
        </w:rPr>
        <w:t>2. 资产与债务底表</w:t>
      </w:r>
    </w:p>
    <w:p>
      <w:pPr>
        <w:spacing w:after="16" w:line="259" w:lineRule="auto"/>
        <w:numPr>
          <w:ilvl w:val="0"/>
          <w:numId w:val="90"/>
        </w:numPr>
      </w:pPr>
      <w:r>
        <w:rPr>
          <w:rFonts w:ascii="Calibri" w:hAnsi="Calibri" w:eastAsia="Microsoft YaHei"/>
          <w:b w:val="0"/>
          <w:i w:val="0"/>
          <w:color w:val="203040"/>
          <w:sz w:val="19"/>
        </w:rPr>
        <w:t>核对银行、应收、存货、固定资产、长期投资和或有事项，同时盘点贷款、供应商、员工、税费、担保、诉讼和未到期合同。</w:t>
      </w:r>
    </w:p>
    <w:p>
      <w:pPr>
        <w:spacing w:after="16" w:line="259" w:lineRule="auto"/>
        <w:numPr>
          <w:ilvl w:val="0"/>
          <w:numId w:val="90"/>
        </w:numPr>
      </w:pPr>
      <w:r>
        <w:rPr>
          <w:rFonts w:ascii="Calibri" w:hAnsi="Calibri" w:eastAsia="Microsoft YaHei"/>
          <w:b w:val="0"/>
          <w:i w:val="0"/>
          <w:color w:val="203040"/>
          <w:sz w:val="19"/>
        </w:rPr>
        <w:t>减资不能损害公司偿债能力；如果公司已不能清偿到期债务，还需考虑股东出资加速到期等规则，不能用减资规避责任。</w:t>
      </w:r>
    </w:p>
    <w:p>
      <w:pPr>
        <w:pStyle w:val="Heading2"/>
        <w:keepNext/>
      </w:pPr>
      <w:r>
        <w:rPr>
          <w:rFonts w:ascii="Calibri" w:hAnsi="Calibri" w:eastAsia="Microsoft YaHei"/>
          <w:b/>
          <w:i w:val="0"/>
          <w:color w:val="2E74B5"/>
          <w:sz w:val="26"/>
        </w:rPr>
        <w:t>3. 股东与税务身份底表</w:t>
      </w:r>
    </w:p>
    <w:p>
      <w:pPr>
        <w:spacing w:after="16" w:line="259" w:lineRule="auto"/>
        <w:numPr>
          <w:ilvl w:val="0"/>
          <w:numId w:val="90"/>
        </w:numPr>
      </w:pPr>
      <w:r>
        <w:rPr>
          <w:rFonts w:ascii="Calibri" w:hAnsi="Calibri" w:eastAsia="Microsoft YaHei"/>
          <w:b w:val="0"/>
          <w:i w:val="0"/>
          <w:color w:val="203040"/>
          <w:sz w:val="19"/>
        </w:rPr>
        <w:t>区分居民企业股东、自然人股东、合伙企业或非居民股东，并记录投资成本、持股比例、历史利润分配和资本公积。税务口径不会因“都叫减资”而完全相同。</w:t>
      </w:r>
    </w:p>
    <w:p>
      <w:pPr>
        <w:pStyle w:val="Heading1"/>
        <w:keepNext/>
      </w:pPr>
      <w:r>
        <w:rPr>
          <w:rFonts w:ascii="Calibri" w:hAnsi="Calibri" w:eastAsia="Microsoft YaHei"/>
          <w:b/>
          <w:i w:val="0"/>
          <w:color w:val="2E74B5"/>
          <w:sz w:val="32"/>
        </w:rPr>
        <w:t>三、法定程序：债权人保护是减资能否稳妥落地的核心</w:t>
      </w:r>
    </w:p>
    <w:p>
      <w:pPr>
        <w:pStyle w:val="Heading2"/>
        <w:keepNext/>
      </w:pPr>
      <w:r>
        <w:rPr>
          <w:rFonts w:ascii="Calibri" w:hAnsi="Calibri" w:eastAsia="Microsoft YaHei"/>
          <w:b/>
          <w:i w:val="0"/>
          <w:color w:val="2E74B5"/>
          <w:sz w:val="26"/>
        </w:rPr>
        <w:t>1. 决议与财务资料</w:t>
      </w:r>
    </w:p>
    <w:p>
      <w:pPr>
        <w:spacing w:after="16" w:line="259" w:lineRule="auto"/>
        <w:numPr>
          <w:ilvl w:val="0"/>
          <w:numId w:val="90"/>
        </w:numPr>
      </w:pPr>
      <w:r>
        <w:rPr>
          <w:rFonts w:ascii="Calibri" w:hAnsi="Calibri" w:eastAsia="Microsoft YaHei"/>
          <w:b w:val="0"/>
          <w:i w:val="0"/>
          <w:color w:val="203040"/>
          <w:sz w:val="19"/>
        </w:rPr>
        <w:t>现行《公司法》第二百二十四条要求，公司减少注册资本应编制资产负债表和财产清单。股东会决议和章程修订要符合表决规则，并明确减资金额、股东安排和债务处理。</w:t>
      </w:r>
    </w:p>
    <w:p>
      <w:pPr>
        <w:spacing w:after="16" w:line="259" w:lineRule="auto"/>
        <w:numPr>
          <w:ilvl w:val="0"/>
          <w:numId w:val="90"/>
        </w:numPr>
      </w:pPr>
      <w:r>
        <w:rPr>
          <w:rFonts w:ascii="Calibri" w:hAnsi="Calibri" w:eastAsia="Microsoft YaHei"/>
          <w:b w:val="0"/>
          <w:i w:val="0"/>
          <w:color w:val="203040"/>
          <w:sz w:val="19"/>
        </w:rPr>
        <w:t>财务报表不能只为登记临时拼制，应能与账簿、银行、合同和资产清单一致。</w:t>
      </w:r>
    </w:p>
    <w:p>
      <w:pPr>
        <w:pStyle w:val="Heading2"/>
        <w:keepNext/>
      </w:pPr>
      <w:r>
        <w:rPr>
          <w:rFonts w:ascii="Calibri" w:hAnsi="Calibri" w:eastAsia="Microsoft YaHei"/>
          <w:b/>
          <w:i w:val="0"/>
          <w:color w:val="2E74B5"/>
          <w:sz w:val="26"/>
        </w:rPr>
        <w:t>2. 通知与公告时限</w:t>
      </w:r>
    </w:p>
    <w:p>
      <w:pPr>
        <w:spacing w:after="16" w:line="259" w:lineRule="auto"/>
        <w:numPr>
          <w:ilvl w:val="0"/>
          <w:numId w:val="90"/>
        </w:numPr>
      </w:pPr>
      <w:r>
        <w:rPr>
          <w:rFonts w:ascii="Calibri" w:hAnsi="Calibri" w:eastAsia="Microsoft YaHei"/>
          <w:b w:val="0"/>
          <w:i w:val="0"/>
          <w:color w:val="203040"/>
          <w:sz w:val="19"/>
        </w:rPr>
        <w:t>公司应自股东会作出减资决议之日起十日内通知债权人，并在三十日内通过报纸或国家企业信用信息公示系统公告。</w:t>
      </w:r>
    </w:p>
    <w:p>
      <w:pPr>
        <w:spacing w:after="16" w:line="259" w:lineRule="auto"/>
        <w:numPr>
          <w:ilvl w:val="0"/>
          <w:numId w:val="90"/>
        </w:numPr>
      </w:pPr>
      <w:r>
        <w:rPr>
          <w:rFonts w:ascii="Calibri" w:hAnsi="Calibri" w:eastAsia="Microsoft YaHei"/>
          <w:b w:val="0"/>
          <w:i w:val="0"/>
          <w:color w:val="203040"/>
          <w:sz w:val="19"/>
        </w:rPr>
        <w:t>债权人自接到通知之日起三十日内、未接到通知的自公告之日起四十五日内，有权要求公司清偿债务或提供相应担保。</w:t>
      </w:r>
    </w:p>
    <w:p>
      <w:pPr>
        <w:pStyle w:val="Heading2"/>
        <w:keepNext/>
      </w:pPr>
      <w:r>
        <w:rPr>
          <w:rFonts w:ascii="Calibri" w:hAnsi="Calibri" w:eastAsia="Microsoft YaHei"/>
          <w:b/>
          <w:i w:val="0"/>
          <w:color w:val="2E74B5"/>
          <w:sz w:val="26"/>
        </w:rPr>
        <w:t>3. 登记与公示</w:t>
      </w:r>
    </w:p>
    <w:p>
      <w:pPr>
        <w:spacing w:after="16" w:line="259" w:lineRule="auto"/>
        <w:numPr>
          <w:ilvl w:val="0"/>
          <w:numId w:val="90"/>
        </w:numPr>
      </w:pPr>
      <w:r>
        <w:rPr>
          <w:rFonts w:ascii="Calibri" w:hAnsi="Calibri" w:eastAsia="Microsoft YaHei"/>
          <w:b w:val="0"/>
          <w:i w:val="0"/>
          <w:color w:val="203040"/>
          <w:sz w:val="19"/>
        </w:rPr>
        <w:t>完成债务安排后，按登记机关要求提交变更材料，更新章程、注册资本及股东出资信息，并在规定期限内完成即时信息公示。</w:t>
      </w:r>
    </w:p>
    <w:p>
      <w:pPr>
        <w:spacing w:after="16" w:line="259" w:lineRule="auto"/>
        <w:numPr>
          <w:ilvl w:val="0"/>
          <w:numId w:val="90"/>
        </w:numPr>
      </w:pPr>
      <w:r>
        <w:rPr>
          <w:rFonts w:ascii="Calibri" w:hAnsi="Calibri" w:eastAsia="Microsoft YaHei"/>
          <w:b w:val="0"/>
          <w:i w:val="0"/>
          <w:color w:val="203040"/>
          <w:sz w:val="19"/>
        </w:rPr>
        <w:t>仅公告而不识别已知债权人、仅变更登记而不保存债务处理证据，都会削弱减资的稳妥性。</w:t>
      </w:r>
    </w:p>
    <w:p>
      <w:pPr>
        <w:pStyle w:val="Heading1"/>
        <w:keepNext/>
      </w:pPr>
      <w:r>
        <w:rPr>
          <w:rFonts w:ascii="Calibri" w:hAnsi="Calibri" w:eastAsia="Microsoft YaHei"/>
          <w:b/>
          <w:i w:val="0"/>
          <w:color w:val="2E74B5"/>
          <w:sz w:val="32"/>
        </w:rPr>
        <w:t>四、税务判断：把视频个案与普遍规则分开</w:t>
      </w:r>
    </w:p>
    <w:p>
      <w:pPr>
        <w:pStyle w:val="Heading2"/>
        <w:keepNext/>
      </w:pPr>
      <w:r>
        <w:rPr>
          <w:rFonts w:ascii="Calibri" w:hAnsi="Calibri" w:eastAsia="Microsoft YaHei"/>
          <w:b/>
          <w:i w:val="0"/>
          <w:color w:val="2E74B5"/>
          <w:sz w:val="26"/>
        </w:rPr>
        <w:t>1. 视频中的个案结论</w:t>
      </w:r>
    </w:p>
    <w:p>
      <w:pPr>
        <w:spacing w:after="16" w:line="259" w:lineRule="auto"/>
        <w:numPr>
          <w:ilvl w:val="0"/>
          <w:numId w:val="90"/>
        </w:numPr>
      </w:pPr>
      <w:r>
        <w:rPr>
          <w:rFonts w:ascii="Calibri" w:hAnsi="Calibri" w:eastAsia="Microsoft YaHei"/>
          <w:b w:val="0"/>
          <w:i w:val="0"/>
          <w:color w:val="203040"/>
          <w:sz w:val="19"/>
        </w:rPr>
        <w:t>视频00:38称：未实缴部分减资无需纳税；实缴部分若返还不超过投资额且不分配未分配利润，也无需纳税。视频还说明这是与当地税务机关沟通后的处理。</w:t>
      </w:r>
    </w:p>
    <w:p>
      <w:pPr>
        <w:spacing w:after="16" w:line="259" w:lineRule="auto"/>
        <w:numPr>
          <w:ilvl w:val="0"/>
          <w:numId w:val="90"/>
        </w:numPr>
      </w:pPr>
      <w:r>
        <w:rPr>
          <w:rFonts w:ascii="Calibri" w:hAnsi="Calibri" w:eastAsia="Microsoft YaHei"/>
          <w:b w:val="0"/>
          <w:i w:val="0"/>
          <w:color w:val="203040"/>
          <w:sz w:val="19"/>
        </w:rPr>
        <w:t>该表述可以作为案例思路，但不能直接复制。是否产生所得、由谁纳税以及申报程序，要以股东身份、支付金额、净资产和属地口径为准。</w:t>
      </w:r>
    </w:p>
    <w:p>
      <w:pPr>
        <w:pStyle w:val="Heading2"/>
        <w:keepNext/>
      </w:pPr>
      <w:r>
        <w:rPr>
          <w:rFonts w:ascii="Calibri" w:hAnsi="Calibri" w:eastAsia="Microsoft YaHei"/>
          <w:b/>
          <w:i w:val="0"/>
          <w:color w:val="2E74B5"/>
          <w:sz w:val="26"/>
        </w:rPr>
        <w:t>2. 居民企业股东的官方口径</w:t>
      </w:r>
    </w:p>
    <w:p>
      <w:pPr>
        <w:spacing w:after="16" w:line="259" w:lineRule="auto"/>
        <w:numPr>
          <w:ilvl w:val="0"/>
          <w:numId w:val="90"/>
        </w:numPr>
      </w:pPr>
      <w:r>
        <w:rPr>
          <w:rFonts w:ascii="Calibri" w:hAnsi="Calibri" w:eastAsia="Microsoft YaHei"/>
          <w:b w:val="0"/>
          <w:i w:val="0"/>
          <w:color w:val="203040"/>
          <w:sz w:val="19"/>
        </w:rPr>
        <w:t>国家税务总局公告2011年第34号规定，投资企业撤回或减少投资取得的资产中：相当于初始出资的部分确认为投资收回；相当于累计未分配利润和盈余公积按减少实收资本比例计算的部分确认为股息所得；其余部分确认为投资资产转让所得。</w:t>
      </w:r>
    </w:p>
    <w:p>
      <w:pPr>
        <w:spacing w:after="16" w:line="259" w:lineRule="auto"/>
        <w:numPr>
          <w:ilvl w:val="0"/>
          <w:numId w:val="90"/>
        </w:numPr>
      </w:pPr>
      <w:r>
        <w:rPr>
          <w:rFonts w:ascii="Calibri" w:hAnsi="Calibri" w:eastAsia="Microsoft YaHei"/>
          <w:b w:val="0"/>
          <w:i w:val="0"/>
          <w:color w:val="203040"/>
          <w:sz w:val="19"/>
        </w:rPr>
        <w:t>因此“返还金额不超过投资成本”也不能替代对留存收益比例和股东税务身份的完整判断。应形成计算底稿并留存政策依据。</w:t>
      </w:r>
    </w:p>
    <w:p>
      <w:pPr>
        <w:pStyle w:val="Heading2"/>
        <w:keepNext/>
      </w:pPr>
      <w:r>
        <w:rPr>
          <w:rFonts w:ascii="Calibri" w:hAnsi="Calibri" w:eastAsia="Microsoft YaHei"/>
          <w:b/>
          <w:i w:val="0"/>
          <w:color w:val="2E74B5"/>
          <w:sz w:val="26"/>
        </w:rPr>
        <w:t>3. 自然人及其他股东</w:t>
      </w:r>
    </w:p>
    <w:p>
      <w:pPr>
        <w:spacing w:after="16" w:line="259" w:lineRule="auto"/>
        <w:numPr>
          <w:ilvl w:val="0"/>
          <w:numId w:val="90"/>
        </w:numPr>
      </w:pPr>
      <w:r>
        <w:rPr>
          <w:rFonts w:ascii="Calibri" w:hAnsi="Calibri" w:eastAsia="Microsoft YaHei"/>
          <w:b w:val="0"/>
          <w:i w:val="0"/>
          <w:color w:val="203040"/>
          <w:sz w:val="19"/>
        </w:rPr>
        <w:t>自然人股东、合伙企业和非居民股东适用的所得税规则、扣缴义务和申报材料不同；部分地区登记前还会要求完成涉税申报或信息核验。</w:t>
      </w:r>
    </w:p>
    <w:p>
      <w:pPr>
        <w:spacing w:after="16" w:line="259" w:lineRule="auto"/>
        <w:numPr>
          <w:ilvl w:val="0"/>
          <w:numId w:val="90"/>
        </w:numPr>
      </w:pPr>
      <w:r>
        <w:rPr>
          <w:rFonts w:ascii="Calibri" w:hAnsi="Calibri" w:eastAsia="Microsoft YaHei"/>
          <w:b w:val="0"/>
          <w:i w:val="0"/>
          <w:color w:val="203040"/>
          <w:sz w:val="19"/>
        </w:rPr>
        <w:t>应在支付前向主管税务机关或专业顾问确认，不要把企业所得税公告直接套到自然人股东。</w:t>
      </w:r>
    </w:p>
    <w:p>
      <w:pPr>
        <w:pStyle w:val="Heading1"/>
        <w:keepNext/>
      </w:pPr>
      <w:r>
        <w:rPr>
          <w:rFonts w:ascii="Calibri" w:hAnsi="Calibri" w:eastAsia="Microsoft YaHei"/>
          <w:b/>
          <w:i w:val="0"/>
          <w:color w:val="2E74B5"/>
          <w:sz w:val="32"/>
        </w:rPr>
        <w:t>五、会计与资金处理：认缴调减和实缴返还不是一回事</w:t>
      </w:r>
    </w:p>
    <w:p>
      <w:pPr>
        <w:pStyle w:val="Heading2"/>
        <w:keepNext/>
      </w:pPr>
      <w:r>
        <w:rPr>
          <w:rFonts w:ascii="Calibri" w:hAnsi="Calibri" w:eastAsia="Microsoft YaHei"/>
          <w:b/>
          <w:i w:val="0"/>
          <w:color w:val="2E74B5"/>
          <w:sz w:val="26"/>
        </w:rPr>
        <w:t>1. 未实缴部分</w:t>
      </w:r>
    </w:p>
    <w:p>
      <w:pPr>
        <w:spacing w:after="16" w:line="259" w:lineRule="auto"/>
        <w:numPr>
          <w:ilvl w:val="0"/>
          <w:numId w:val="90"/>
        </w:numPr>
      </w:pPr>
      <w:r>
        <w:rPr>
          <w:rFonts w:ascii="Calibri" w:hAnsi="Calibri" w:eastAsia="Microsoft YaHei"/>
          <w:b w:val="0"/>
          <w:i w:val="0"/>
          <w:color w:val="203040"/>
          <w:sz w:val="19"/>
        </w:rPr>
        <w:t>对尚未形成公司资产的认缴额调减，重点是股东权利义务、章程、登记和公示的变化；不能凭原注册资本金额虚构公司已拥有的资产。</w:t>
      </w:r>
    </w:p>
    <w:p>
      <w:pPr>
        <w:spacing w:after="16" w:line="259" w:lineRule="auto"/>
        <w:numPr>
          <w:ilvl w:val="0"/>
          <w:numId w:val="90"/>
        </w:numPr>
      </w:pPr>
      <w:r>
        <w:rPr>
          <w:rFonts w:ascii="Calibri" w:hAnsi="Calibri" w:eastAsia="Microsoft YaHei"/>
          <w:b w:val="0"/>
          <w:i w:val="0"/>
          <w:color w:val="203040"/>
          <w:sz w:val="19"/>
        </w:rPr>
        <w:t>需核对历史是否已作不恰当账务处理，并确保实收资本/股本、其他应收款等科目与真实出资一致。</w:t>
      </w:r>
    </w:p>
    <w:p>
      <w:pPr>
        <w:pStyle w:val="Heading2"/>
        <w:keepNext/>
      </w:pPr>
      <w:r>
        <w:rPr>
          <w:rFonts w:ascii="Calibri" w:hAnsi="Calibri" w:eastAsia="Microsoft YaHei"/>
          <w:b/>
          <w:i w:val="0"/>
          <w:color w:val="2E74B5"/>
          <w:sz w:val="26"/>
        </w:rPr>
        <w:t>2. 已实缴部分</w:t>
      </w:r>
    </w:p>
    <w:p>
      <w:pPr>
        <w:spacing w:after="16" w:line="259" w:lineRule="auto"/>
        <w:numPr>
          <w:ilvl w:val="0"/>
          <w:numId w:val="90"/>
        </w:numPr>
      </w:pPr>
      <w:r>
        <w:rPr>
          <w:rFonts w:ascii="Calibri" w:hAnsi="Calibri" w:eastAsia="Microsoft YaHei"/>
          <w:b w:val="0"/>
          <w:i w:val="0"/>
          <w:color w:val="203040"/>
          <w:sz w:val="19"/>
        </w:rPr>
        <w:t>返还实缴资本会减少公司可用资产和所有者权益。付款前要完成债务保护、税务判断和授权审批，付款对象、金额和银行流水与决议一致。</w:t>
      </w:r>
    </w:p>
    <w:p>
      <w:pPr>
        <w:spacing w:after="16" w:line="259" w:lineRule="auto"/>
        <w:numPr>
          <w:ilvl w:val="0"/>
          <w:numId w:val="90"/>
        </w:numPr>
      </w:pPr>
      <w:r>
        <w:rPr>
          <w:rFonts w:ascii="Calibri" w:hAnsi="Calibri" w:eastAsia="Microsoft YaHei"/>
          <w:b w:val="0"/>
          <w:i w:val="0"/>
          <w:color w:val="203040"/>
          <w:sz w:val="19"/>
        </w:rPr>
        <w:t>若同时向股东分配留存收益，不应简单包装为“退还本金”；会计记录、税务属性和现金用途应分别清晰。</w:t>
      </w:r>
    </w:p>
    <w:p>
      <w:pPr>
        <w:pStyle w:val="Heading2"/>
        <w:keepNext/>
      </w:pPr>
      <w:r>
        <w:rPr>
          <w:rFonts w:ascii="Calibri" w:hAnsi="Calibri" w:eastAsia="Microsoft YaHei"/>
          <w:b/>
          <w:i w:val="0"/>
          <w:color w:val="2E74B5"/>
          <w:sz w:val="26"/>
        </w:rPr>
        <w:t>3. 证据链</w:t>
      </w:r>
    </w:p>
    <w:p>
      <w:pPr>
        <w:spacing w:after="16" w:line="259" w:lineRule="auto"/>
        <w:numPr>
          <w:ilvl w:val="0"/>
          <w:numId w:val="90"/>
        </w:numPr>
      </w:pPr>
      <w:r>
        <w:rPr>
          <w:rFonts w:ascii="Calibri" w:hAnsi="Calibri" w:eastAsia="Microsoft YaHei"/>
          <w:b w:val="0"/>
          <w:i w:val="0"/>
          <w:color w:val="203040"/>
          <w:sz w:val="19"/>
        </w:rPr>
        <w:t>建议归档股东会决议、章程、资产负债表、财产清单、债权人名册、通知回执、公告证明、债务清偿/担保材料、登记文件、税务沟通记录、计算底稿和付款凭证。</w:t>
      </w:r>
    </w:p>
    <w:p>
      <w:pPr>
        <w:pStyle w:val="Heading1"/>
        <w:keepNext/>
      </w:pPr>
      <w:r>
        <w:rPr>
          <w:rFonts w:ascii="Calibri" w:hAnsi="Calibri" w:eastAsia="Microsoft YaHei"/>
          <w:b/>
          <w:i w:val="0"/>
          <w:color w:val="2E74B5"/>
          <w:sz w:val="32"/>
        </w:rPr>
        <w:t>六、减资后资金配置：结构性存款收益不是无风险奖金</w:t>
      </w:r>
    </w:p>
    <w:p>
      <w:pPr>
        <w:pStyle w:val="Heading2"/>
        <w:keepNext/>
      </w:pPr>
      <w:r>
        <w:rPr>
          <w:rFonts w:ascii="Calibri" w:hAnsi="Calibri" w:eastAsia="Microsoft YaHei"/>
          <w:b/>
          <w:i w:val="0"/>
          <w:color w:val="2E74B5"/>
          <w:sz w:val="26"/>
        </w:rPr>
        <w:t>1. 视频中的资金承接</w:t>
      </w:r>
    </w:p>
    <w:p>
      <w:pPr>
        <w:spacing w:after="16" w:line="259" w:lineRule="auto"/>
        <w:numPr>
          <w:ilvl w:val="0"/>
          <w:numId w:val="90"/>
        </w:numPr>
      </w:pPr>
      <w:r>
        <w:rPr>
          <w:rFonts w:ascii="Calibri" w:hAnsi="Calibri" w:eastAsia="Microsoft YaHei"/>
          <w:b w:val="0"/>
          <w:i w:val="0"/>
          <w:color w:val="203040"/>
          <w:sz w:val="19"/>
        </w:rPr>
        <w:t>视频01:34提到，收回的投资款部分做了结构性存款，理财收益约十几万元。这展示了财务负责人从资本结构调整延伸到资金管理。</w:t>
      </w:r>
    </w:p>
    <w:p>
      <w:pPr>
        <w:spacing w:after="16" w:line="259" w:lineRule="auto"/>
        <w:numPr>
          <w:ilvl w:val="0"/>
          <w:numId w:val="90"/>
        </w:numPr>
      </w:pPr>
      <w:r>
        <w:rPr>
          <w:rFonts w:ascii="Calibri" w:hAnsi="Calibri" w:eastAsia="Microsoft YaHei"/>
          <w:b w:val="0"/>
          <w:i w:val="0"/>
          <w:color w:val="203040"/>
          <w:sz w:val="19"/>
        </w:rPr>
        <w:t>“十几万元”是案例结果，受本金、期限、产品结构和市场条件影响，不能作为收益承诺。</w:t>
      </w:r>
    </w:p>
    <w:p>
      <w:pPr>
        <w:pStyle w:val="Heading2"/>
        <w:keepNext/>
      </w:pPr>
      <w:r>
        <w:rPr>
          <w:rFonts w:ascii="Calibri" w:hAnsi="Calibri" w:eastAsia="Microsoft YaHei"/>
          <w:b/>
          <w:i w:val="0"/>
          <w:color w:val="2E74B5"/>
          <w:sz w:val="26"/>
        </w:rPr>
        <w:t>2. 先排序，再投资</w:t>
      </w:r>
    </w:p>
    <w:p>
      <w:pPr>
        <w:spacing w:after="16" w:line="259" w:lineRule="auto"/>
        <w:numPr>
          <w:ilvl w:val="0"/>
          <w:numId w:val="90"/>
        </w:numPr>
      </w:pPr>
      <w:r>
        <w:rPr>
          <w:rFonts w:ascii="Calibri" w:hAnsi="Calibri" w:eastAsia="Microsoft YaHei"/>
          <w:b w:val="0"/>
          <w:i w:val="0"/>
          <w:color w:val="203040"/>
          <w:sz w:val="19"/>
        </w:rPr>
        <w:t>资金应先满足税费、工资、采购、债务和应急现金，再确定可投资期限和额度；不得用短期要支付的钱购买期限或流动性不匹配的产品。</w:t>
      </w:r>
    </w:p>
    <w:p>
      <w:pPr>
        <w:spacing w:after="16" w:line="259" w:lineRule="auto"/>
        <w:numPr>
          <w:ilvl w:val="0"/>
          <w:numId w:val="90"/>
        </w:numPr>
      </w:pPr>
      <w:r>
        <w:rPr>
          <w:rFonts w:ascii="Calibri" w:hAnsi="Calibri" w:eastAsia="Microsoft YaHei"/>
          <w:b w:val="0"/>
          <w:i w:val="0"/>
          <w:color w:val="203040"/>
          <w:sz w:val="19"/>
        </w:rPr>
        <w:t>结构性存款通常含衍生结构，收益条件、保本范围、提前支取和银行信用风险需逐项阅读，不应仅比较最高收益率。</w:t>
      </w:r>
    </w:p>
    <w:p>
      <w:pPr>
        <w:pStyle w:val="Heading2"/>
        <w:keepNext/>
      </w:pPr>
      <w:r>
        <w:rPr>
          <w:rFonts w:ascii="Calibri" w:hAnsi="Calibri" w:eastAsia="Microsoft YaHei"/>
          <w:b/>
          <w:i w:val="0"/>
          <w:color w:val="2E74B5"/>
          <w:sz w:val="26"/>
        </w:rPr>
        <w:t>3. 授权与核算</w:t>
      </w:r>
    </w:p>
    <w:p>
      <w:pPr>
        <w:spacing w:after="16" w:line="259" w:lineRule="auto"/>
        <w:numPr>
          <w:ilvl w:val="0"/>
          <w:numId w:val="90"/>
        </w:numPr>
      </w:pPr>
      <w:r>
        <w:rPr>
          <w:rFonts w:ascii="Calibri" w:hAnsi="Calibri" w:eastAsia="Microsoft YaHei"/>
          <w:b w:val="0"/>
          <w:i w:val="0"/>
          <w:color w:val="203040"/>
          <w:sz w:val="19"/>
        </w:rPr>
        <w:t>建立产品准入、交易对手限额、期限分层、审批、双人操作、银行对账和到期提醒；会计分类与收益确认应按合同实质和适用准则处理。</w:t>
      </w:r>
    </w:p>
    <w:p>
      <w:pPr>
        <w:pStyle w:val="Heading1"/>
        <w:keepNext/>
      </w:pPr>
      <w:r>
        <w:rPr>
          <w:rFonts w:ascii="Calibri" w:hAnsi="Calibri" w:eastAsia="Microsoft YaHei"/>
          <w:b/>
          <w:i w:val="0"/>
          <w:color w:val="2E74B5"/>
          <w:sz w:val="32"/>
        </w:rPr>
        <w:t>七、容易踩的坑：把减资当成简单工商变更</w:t>
      </w:r>
    </w:p>
    <w:p>
      <w:pPr>
        <w:pStyle w:val="Heading2"/>
        <w:keepNext/>
      </w:pPr>
      <w:r>
        <w:rPr>
          <w:rFonts w:ascii="Calibri" w:hAnsi="Calibri" w:eastAsia="Microsoft YaHei"/>
          <w:b/>
          <w:i w:val="0"/>
          <w:color w:val="2E74B5"/>
          <w:sz w:val="26"/>
        </w:rPr>
        <w:t>1. 只看注册资本数字</w:t>
      </w:r>
    </w:p>
    <w:p>
      <w:pPr>
        <w:spacing w:after="16" w:line="259" w:lineRule="auto"/>
        <w:numPr>
          <w:ilvl w:val="0"/>
          <w:numId w:val="90"/>
        </w:numPr>
      </w:pPr>
      <w:r>
        <w:rPr>
          <w:rFonts w:ascii="Calibri" w:hAnsi="Calibri" w:eastAsia="Microsoft YaHei"/>
          <w:b w:val="0"/>
          <w:i w:val="0"/>
          <w:color w:val="203040"/>
          <w:sz w:val="19"/>
        </w:rPr>
        <w:t>未核对实缴、净资产和债务就决定减资金额，可能造成偿债能力不足、股东利益失衡或账实不符。</w:t>
      </w:r>
    </w:p>
    <w:p>
      <w:pPr>
        <w:pStyle w:val="Heading2"/>
        <w:keepNext/>
      </w:pPr>
      <w:r>
        <w:rPr>
          <w:rFonts w:ascii="Calibri" w:hAnsi="Calibri" w:eastAsia="Microsoft YaHei"/>
          <w:b/>
          <w:i w:val="0"/>
          <w:color w:val="2E74B5"/>
          <w:sz w:val="26"/>
        </w:rPr>
        <w:t>2. 认为未实缴就没有债权人影响</w:t>
      </w:r>
    </w:p>
    <w:p>
      <w:pPr>
        <w:spacing w:after="16" w:line="259" w:lineRule="auto"/>
        <w:numPr>
          <w:ilvl w:val="0"/>
          <w:numId w:val="90"/>
        </w:numPr>
      </w:pPr>
      <w:r>
        <w:rPr>
          <w:rFonts w:ascii="Calibri" w:hAnsi="Calibri" w:eastAsia="Microsoft YaHei"/>
          <w:b w:val="0"/>
          <w:i w:val="0"/>
          <w:color w:val="203040"/>
          <w:sz w:val="19"/>
        </w:rPr>
        <w:t>认缴出资是股东对公司的义务，也构成债权人对资本责任的合理预期。依法通知公告和处理债权不能省略。</w:t>
      </w:r>
    </w:p>
    <w:p>
      <w:pPr>
        <w:pStyle w:val="Heading2"/>
        <w:keepNext/>
      </w:pPr>
      <w:r>
        <w:rPr>
          <w:rFonts w:ascii="Calibri" w:hAnsi="Calibri" w:eastAsia="Microsoft YaHei"/>
          <w:b/>
          <w:i w:val="0"/>
          <w:color w:val="2E74B5"/>
          <w:sz w:val="26"/>
        </w:rPr>
        <w:t>3. 把当地个案答复当成全国统一免税证明</w:t>
      </w:r>
    </w:p>
    <w:p>
      <w:pPr>
        <w:spacing w:after="16" w:line="259" w:lineRule="auto"/>
        <w:numPr>
          <w:ilvl w:val="0"/>
          <w:numId w:val="90"/>
        </w:numPr>
      </w:pPr>
      <w:r>
        <w:rPr>
          <w:rFonts w:ascii="Calibri" w:hAnsi="Calibri" w:eastAsia="Microsoft YaHei"/>
          <w:b w:val="0"/>
          <w:i w:val="0"/>
          <w:color w:val="203040"/>
          <w:sz w:val="19"/>
        </w:rPr>
        <w:t>口头咨询应尽量形成可留存记录，申报前提交完整事实。股东身份、留存收益、返还金额或交易结构变化后，结论需要重新判断。</w:t>
      </w:r>
    </w:p>
    <w:p>
      <w:pPr>
        <w:pStyle w:val="Heading2"/>
        <w:keepNext/>
      </w:pPr>
      <w:r>
        <w:rPr>
          <w:rFonts w:ascii="Calibri" w:hAnsi="Calibri" w:eastAsia="Microsoft YaHei"/>
          <w:b/>
          <w:i w:val="0"/>
          <w:color w:val="2E74B5"/>
          <w:sz w:val="26"/>
        </w:rPr>
        <w:t>4. 减资后立即把资金投满</w:t>
      </w:r>
    </w:p>
    <w:p>
      <w:pPr>
        <w:spacing w:after="16" w:line="259" w:lineRule="auto"/>
        <w:numPr>
          <w:ilvl w:val="0"/>
          <w:numId w:val="90"/>
        </w:numPr>
      </w:pPr>
      <w:r>
        <w:rPr>
          <w:rFonts w:ascii="Calibri" w:hAnsi="Calibri" w:eastAsia="Microsoft YaHei"/>
          <w:b w:val="0"/>
          <w:i w:val="0"/>
          <w:color w:val="203040"/>
          <w:sz w:val="19"/>
        </w:rPr>
        <w:t>先评估股东或集团现金安排和产品期限，避免资金回收后又因理财锁定形成新的流动性风险。</w:t>
      </w:r>
    </w:p>
    <w:p>
      <w:pPr>
        <w:pStyle w:val="Heading1"/>
        <w:keepNext/>
      </w:pPr>
      <w:r>
        <w:rPr>
          <w:rFonts w:ascii="Calibri" w:hAnsi="Calibri" w:eastAsia="Microsoft YaHei"/>
          <w:b/>
          <w:i w:val="0"/>
          <w:color w:val="2E74B5"/>
          <w:sz w:val="32"/>
        </w:rPr>
        <w:t>八、财务经理可复制的稳妥执行清单</w:t>
      </w:r>
    </w:p>
    <w:p>
      <w:pPr>
        <w:pStyle w:val="Heading2"/>
        <w:keepNext/>
      </w:pPr>
      <w:r>
        <w:rPr>
          <w:rFonts w:ascii="Calibri" w:hAnsi="Calibri" w:eastAsia="Microsoft YaHei"/>
          <w:b/>
          <w:i w:val="0"/>
          <w:color w:val="2E74B5"/>
          <w:sz w:val="26"/>
        </w:rPr>
        <w:t>1. 决策前</w:t>
      </w:r>
    </w:p>
    <w:p>
      <w:pPr>
        <w:spacing w:after="16" w:line="259" w:lineRule="auto"/>
        <w:numPr>
          <w:ilvl w:val="0"/>
          <w:numId w:val="90"/>
        </w:numPr>
      </w:pPr>
      <w:r>
        <w:rPr>
          <w:rFonts w:ascii="Calibri" w:hAnsi="Calibri" w:eastAsia="Microsoft YaHei"/>
          <w:b w:val="0"/>
          <w:i w:val="0"/>
          <w:color w:val="203040"/>
          <w:sz w:val="19"/>
        </w:rPr>
        <w:t>确认减资目的、真实资本需求和偿债能力；整理四张底表；让法务、税务和财务对同一版事实出具意见。</w:t>
      </w:r>
    </w:p>
    <w:p>
      <w:pPr>
        <w:pStyle w:val="Heading2"/>
        <w:keepNext/>
      </w:pPr>
      <w:r>
        <w:rPr>
          <w:rFonts w:ascii="Calibri" w:hAnsi="Calibri" w:eastAsia="Microsoft YaHei"/>
          <w:b/>
          <w:i w:val="0"/>
          <w:color w:val="2E74B5"/>
          <w:sz w:val="26"/>
        </w:rPr>
        <w:t>2. 执行中</w:t>
      </w:r>
    </w:p>
    <w:p>
      <w:pPr>
        <w:spacing w:after="16" w:line="259" w:lineRule="auto"/>
        <w:numPr>
          <w:ilvl w:val="0"/>
          <w:numId w:val="90"/>
        </w:numPr>
      </w:pPr>
      <w:r>
        <w:rPr>
          <w:rFonts w:ascii="Calibri" w:hAnsi="Calibri" w:eastAsia="Microsoft YaHei"/>
          <w:b w:val="0"/>
          <w:i w:val="0"/>
          <w:color w:val="203040"/>
          <w:sz w:val="19"/>
        </w:rPr>
        <w:t>按照法定时限完成决议、报表清单、债权人通知公告、清偿或担保、税务计算、变更登记和信息公示；建立单一项目台账。</w:t>
      </w:r>
    </w:p>
    <w:p>
      <w:pPr>
        <w:pStyle w:val="Heading2"/>
        <w:keepNext/>
      </w:pPr>
      <w:r>
        <w:rPr>
          <w:rFonts w:ascii="Calibri" w:hAnsi="Calibri" w:eastAsia="Microsoft YaHei"/>
          <w:b/>
          <w:i w:val="0"/>
          <w:color w:val="2E74B5"/>
          <w:sz w:val="26"/>
        </w:rPr>
        <w:t>3. 完成后</w:t>
      </w:r>
    </w:p>
    <w:p>
      <w:pPr>
        <w:spacing w:after="16" w:line="259" w:lineRule="auto"/>
        <w:numPr>
          <w:ilvl w:val="0"/>
          <w:numId w:val="90"/>
        </w:numPr>
      </w:pPr>
      <w:r>
        <w:rPr>
          <w:rFonts w:ascii="Calibri" w:hAnsi="Calibri" w:eastAsia="Microsoft YaHei"/>
          <w:b w:val="0"/>
          <w:i w:val="0"/>
          <w:color w:val="203040"/>
          <w:sz w:val="19"/>
        </w:rPr>
        <w:t>核对营业执照、章程、公示信息、总账、股东台账和银行流水；复盘税务申报与债权人反馈；对收回资金执行流动性分层和经授权的配置。</w:t>
      </w:r>
    </w:p>
    <w:p>
      <w:pPr>
        <w:pStyle w:val="Heading2"/>
        <w:keepNext/>
      </w:pPr>
      <w:r>
        <w:rPr>
          <w:rFonts w:ascii="Calibri" w:hAnsi="Calibri" w:eastAsia="Microsoft YaHei"/>
          <w:b/>
          <w:i w:val="0"/>
          <w:color w:val="2E74B5"/>
          <w:sz w:val="26"/>
        </w:rPr>
        <w:t>4. 向管理层汇报</w:t>
      </w:r>
    </w:p>
    <w:p>
      <w:pPr>
        <w:spacing w:after="16" w:line="259" w:lineRule="auto"/>
        <w:numPr>
          <w:ilvl w:val="0"/>
          <w:numId w:val="90"/>
        </w:numPr>
      </w:pPr>
      <w:r>
        <w:rPr>
          <w:rFonts w:ascii="Calibri" w:hAnsi="Calibri" w:eastAsia="Microsoft YaHei"/>
          <w:b w:val="0"/>
          <w:i w:val="0"/>
          <w:color w:val="203040"/>
          <w:sz w:val="19"/>
        </w:rPr>
        <w:t>汇报不只说“从5000万降到100万”，还要说明减少了多少未到期出资义务、返还多少现金、债务如何保护、税务如何判断、资金去向和剩余风险。</w:t>
      </w:r>
    </w:p>
    <w:sectPr w:rsidR="00FC693F" w:rsidRPr="0006063C" w:rsidSect="00034616">
      <w:headerReference w:type="default" r:id="rId9"/>
      <w:footerReference w:type="default" r:id="rId10"/>
      <w:pgSz w:w="12240" w:h="15840"/>
      <w:pgMar w:top="1037"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748B"/>
        <w:sz w:val="18"/>
      </w:rPr>
      <w:t xml:space="preserve">第 </w:t>
    </w:r>
    <w:r>
      <w:rPr>
        <w:rFonts w:ascii="Calibri" w:hAnsi="Calibri" w:eastAsia="Microsoft YaHei"/>
        <w:b w:val="0"/>
        <w:i w:val="0"/>
        <w:color w:val="64748B"/>
        <w:sz w:val="18"/>
      </w:rPr>
      <w:fldChar w:fldCharType="begin"/>
      <w:instrText xml:space="preserve">PAGE</w:instrText>
      <w:fldChar w:fldCharType="end"/>
    </w:r>
    <w:r>
      <w:rPr>
        <w:rFonts w:ascii="Calibri" w:hAnsi="Calibri" w:eastAsia="Microsoft YaHei"/>
        <w:b w:val="0"/>
        <w:i w:val="0"/>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i w:val="0"/>
        <w:color w:val="64748B"/>
        <w:sz w:val="18"/>
      </w:rPr>
      <w:t>齐昊老师 · 学员实战案例 第 44 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abstractNum w:abstractNumId="9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Microsoft YaHe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Calibri" w:hAnsi="Calibr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齐昊老师学员实战案例第44集：公司从5000万减资到100万的实操</dc:title>
  <dc:subject>财务管理与财务总监实战案例整理</dc:subject>
  <dc:creator>Codex</dc:creator>
  <cp:keywords>财务管理, 财务经理, 财务总监, 业财融合, 实战案例</cp:keywords>
  <dc:description>generated by python-docx</dc:description>
  <cp:lastModifiedBy/>
  <cp:revision>1</cp:revision>
  <dcterms:created xsi:type="dcterms:W3CDTF">2013-12-23T23:15:00Z</dcterms:created>
  <dcterms:modified xsi:type="dcterms:W3CDTF">2013-12-23T23:15:00Z</dcterms:modified>
  <cp:category/>
</cp:coreProperties>
</file>