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Calibri" w:hAnsi="Calibri" w:eastAsia="Microsoft YaHei"/>
          <w:b/>
          <w:i w:val="0"/>
          <w:color w:val="A66B14"/>
          <w:sz w:val="22"/>
        </w:rPr>
        <w:t>财务管理实战案例</w:t>
      </w:r>
    </w:p>
    <w:p>
      <w:pPr>
        <w:spacing w:after="200"/>
        <w:jc w:val="center"/>
      </w:pPr>
      <w:r>
        <w:rPr>
          <w:rFonts w:ascii="Calibri" w:hAnsi="Calibri" w:eastAsia="Microsoft YaHei"/>
          <w:b/>
          <w:i w:val="0"/>
          <w:color w:val="1F4D78"/>
          <w:sz w:val="44"/>
        </w:rPr>
        <w:t>第 45 集｜“出6进4”服务业分配模式</w:t>
      </w:r>
    </w:p>
    <w:p>
      <w:pPr>
        <w:spacing w:after="520"/>
        <w:jc w:val="center"/>
      </w:pPr>
      <w:r>
        <w:rPr>
          <w:rFonts w:ascii="Calibri" w:hAnsi="Calibri" w:eastAsia="Microsoft YaHei"/>
          <w:b w:val="0"/>
          <w:i w:val="0"/>
          <w:color w:val="2E74B5"/>
          <w:sz w:val="28"/>
        </w:rPr>
        <w:t>员工分成、轮岗内控、营销增量与单位经济模型</w:t>
      </w:r>
    </w:p>
    <w:p>
      <w:pPr>
        <w:spacing w:after="60"/>
        <w:jc w:val="center"/>
      </w:pPr>
      <w:r>
        <w:rPr>
          <w:rFonts w:ascii="Calibri" w:hAnsi="Calibri" w:eastAsia="Microsoft YaHei"/>
          <w:b/>
          <w:i w:val="0"/>
          <w:color w:val="64748B"/>
          <w:sz w:val="21"/>
        </w:rPr>
        <w:t>主讲账号：</w:t>
      </w:r>
      <w:r>
        <w:rPr>
          <w:rFonts w:ascii="Calibri" w:hAnsi="Calibri" w:eastAsia="Microsoft YaHei"/>
          <w:b w:val="0"/>
          <w:i w:val="0"/>
          <w:color w:val="203040"/>
          <w:sz w:val="21"/>
        </w:rPr>
        <w:t>齐昊老师</w:t>
      </w:r>
    </w:p>
    <w:p>
      <w:pPr>
        <w:spacing w:after="60"/>
        <w:jc w:val="center"/>
      </w:pPr>
      <w:r>
        <w:rPr>
          <w:rFonts w:ascii="Calibri" w:hAnsi="Calibri" w:eastAsia="Microsoft YaHei"/>
          <w:b/>
          <w:i w:val="0"/>
          <w:color w:val="64748B"/>
          <w:sz w:val="21"/>
        </w:rPr>
        <w:t>发布时间：</w:t>
      </w:r>
      <w:r>
        <w:rPr>
          <w:rFonts w:ascii="Calibri" w:hAnsi="Calibri" w:eastAsia="Microsoft YaHei"/>
          <w:b w:val="0"/>
          <w:i w:val="0"/>
          <w:color w:val="203040"/>
          <w:sz w:val="21"/>
        </w:rPr>
        <w:t>2025-10-07</w:t>
      </w:r>
    </w:p>
    <w:p>
      <w:pPr>
        <w:spacing w:after="60"/>
        <w:jc w:val="center"/>
      </w:pPr>
      <w:r>
        <w:rPr>
          <w:rFonts w:ascii="Calibri" w:hAnsi="Calibri" w:eastAsia="Microsoft YaHei"/>
          <w:b/>
          <w:i w:val="0"/>
          <w:color w:val="64748B"/>
          <w:sz w:val="21"/>
        </w:rPr>
        <w:t>视频时长：</w:t>
      </w:r>
      <w:r>
        <w:rPr>
          <w:rFonts w:ascii="Calibri" w:hAnsi="Calibri" w:eastAsia="Microsoft YaHei"/>
          <w:b w:val="0"/>
          <w:i w:val="0"/>
          <w:color w:val="203040"/>
          <w:sz w:val="21"/>
        </w:rPr>
        <w:t>08:32</w:t>
      </w:r>
    </w:p>
    <w:p>
      <w:pPr>
        <w:spacing w:after="60"/>
        <w:jc w:val="center"/>
      </w:pPr>
      <w:r>
        <w:rPr>
          <w:rFonts w:ascii="Calibri" w:hAnsi="Calibri" w:eastAsia="Microsoft YaHei"/>
          <w:b/>
          <w:i w:val="0"/>
          <w:color w:val="64748B"/>
          <w:sz w:val="21"/>
        </w:rPr>
        <w:t>视频编号：</w:t>
      </w:r>
      <w:r>
        <w:rPr>
          <w:rFonts w:ascii="Calibri" w:hAnsi="Calibri" w:eastAsia="Microsoft YaHei"/>
          <w:b w:val="0"/>
          <w:i w:val="0"/>
          <w:color w:val="203040"/>
          <w:sz w:val="21"/>
        </w:rPr>
        <w:t>7558147756636769576</w:t>
      </w:r>
    </w:p>
    <w:p>
      <w:pPr>
        <w:spacing w:after="320"/>
      </w:pPr>
    </w:p>
    <w:p>
      <w:pPr>
        <w:shd w:fill="EAF3EE"/>
        <w:pBdr>
          <w:left w:val="single" w:sz="18" w:space="8" w:color="2F6B4F"/>
        </w:pBdr>
        <w:spacing w:before="100" w:after="140" w:line="288" w:lineRule="auto"/>
        <w:ind w:left="173" w:right="86"/>
      </w:pPr>
      <w:r>
        <w:rPr>
          <w:rFonts w:ascii="Calibri" w:hAnsi="Calibri" w:eastAsia="Microsoft YaHei"/>
          <w:b/>
          <w:i w:val="0"/>
          <w:color w:val="2F6B4F"/>
          <w:sz w:val="21"/>
        </w:rPr>
        <w:t xml:space="preserve">核心结论  </w:t>
      </w:r>
      <w:r>
        <w:rPr>
          <w:rFonts w:ascii="Calibri" w:hAnsi="Calibri" w:eastAsia="Microsoft YaHei"/>
          <w:b w:val="0"/>
          <w:i w:val="0"/>
          <w:color w:val="203040"/>
          <w:sz w:val="21"/>
        </w:rPr>
        <w:t>视频介绍浙商服务业的“出6进4”模式：员工团队拿营业额的60%，老板拿40%并承担全部成本。它表面上是老板让出大头，底层则是用高分成激发一线获客和服务动力，再以更高流水摊薄房租等固定成本。模式能否成立取决于单位经济：老板的40%必须覆盖材料、房租、水电、平台、税费、折旧、管理及其他成本后仍有利润。视频还通过酒吧、足浴和音乐烧烤/餐厅案例说明产品、运营、服务、轮岗和营销如何提升流水，并以“足够的金钱＋开心的工作环境”总结留人要素。财务的职责是把激励、合规、质量和利润写进同一套试点规则。</w:t>
      </w:r>
    </w:p>
    <w:p>
      <w:pPr>
        <w:shd w:fill="F4F6F9"/>
        <w:pBdr>
          <w:left w:val="single" w:sz="18" w:space="8" w:color="64748B"/>
        </w:pBdr>
        <w:spacing w:before="100" w:after="140" w:line="288" w:lineRule="auto"/>
        <w:ind w:left="173" w:right="86"/>
      </w:pPr>
      <w:r>
        <w:rPr>
          <w:rFonts w:ascii="Calibri" w:hAnsi="Calibri" w:eastAsia="Microsoft YaHei"/>
          <w:b/>
          <w:i w:val="0"/>
          <w:color w:val="64748B"/>
          <w:sz w:val="21"/>
        </w:rPr>
        <w:t xml:space="preserve">整理口径  </w:t>
      </w:r>
      <w:r>
        <w:rPr>
          <w:rFonts w:ascii="Calibri" w:hAnsi="Calibri" w:eastAsia="Microsoft YaHei"/>
          <w:b w:val="0"/>
          <w:i w:val="0"/>
          <w:color w:val="203040"/>
          <w:sz w:val="21"/>
        </w:rPr>
        <w:t>依据公开视频页面中的标题、时间轴和AI章节要点进行静音核对，并结合服务业经营与财务管理逻辑结构化改写；不是逐字稿。视频中的分成比例、毛利率及营销做法均属于案例信息，不是行业标准或普遍建议。劳动报酬、社会保险、个人所得税、消费者权益和数据使用应按实际用工关系与最新规则执行。</w:t>
      </w:r>
    </w:p>
    <w:p>
      <w:r>
        <w:br w:type="page"/>
      </w:r>
    </w:p>
    <w:p>
      <w:pPr>
        <w:pStyle w:val="Heading1"/>
        <w:keepNext/>
      </w:pPr>
      <w:r>
        <w:rPr>
          <w:rFonts w:ascii="Calibri" w:hAnsi="Calibri" w:eastAsia="Microsoft YaHei"/>
          <w:b/>
          <w:i w:val="0"/>
          <w:color w:val="2E74B5"/>
          <w:sz w:val="32"/>
        </w:rPr>
        <w:t>一页总览</w:t>
      </w: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tcMar>
              <w:top w:w="80" w:type="dxa"/>
              <w:start w:w="120" w:type="dxa"/>
              <w:bottom w:w="80" w:type="dxa"/>
              <w:end w:w="120" w:type="dxa"/>
            </w:tcMar>
            <w:vAlign w:val="center"/>
          </w:tcPr>
          <w:p>
            <w:pPr>
              <w:jc w:val="center"/>
            </w:pPr>
            <w:r>
              <w:rPr>
                <w:rFonts w:ascii="Calibri" w:hAnsi="Calibri" w:eastAsia="Microsoft YaHei"/>
                <w:b/>
                <w:i w:val="0"/>
                <w:color w:val="1F4D78"/>
                <w:sz w:val="21"/>
              </w:rPr>
              <w:t>节点</w:t>
            </w:r>
          </w:p>
        </w:tc>
        <w:tc>
          <w:tcPr>
            <w:tcW w:type="dxa" w:w="7056"/>
            <w:shd w:fill="E8EEF5"/>
            <w:tcMar>
              <w:top w:w="80" w:type="dxa"/>
              <w:start w:w="120" w:type="dxa"/>
              <w:bottom w:w="80" w:type="dxa"/>
              <w:end w:w="120" w:type="dxa"/>
            </w:tcMar>
            <w:vAlign w:val="center"/>
          </w:tcPr>
          <w:p>
            <w:pPr>
              <w:jc w:val="center"/>
            </w:pPr>
            <w:r>
              <w:rPr>
                <w:rFonts w:ascii="Calibri" w:hAnsi="Calibri" w:eastAsia="Microsoft YaHei"/>
                <w:b/>
                <w:i w:val="0"/>
                <w:color w:val="1F4D78"/>
                <w:sz w:val="21"/>
              </w:rPr>
              <w:t>核心内容</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分配机制</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员工团队拿营业额60% → 老板留40%并承担所有成本</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盈利前提</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40%收入份额 − 材料/房租/水电/平台/税费等老板成本 &gt; 0</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增长抓手</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产品过关＋运营服务＋营销增量＋轮岗控风险 → 提升流水、摊薄固定成本</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组织结果</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员工收入与客户订单绑定 → 动力增强；同时要防争单、短期销售和服务失真</w:t>
            </w:r>
          </w:p>
        </w:tc>
      </w:tr>
    </w:tbl>
    <w:p>
      <w:pPr>
        <w:shd w:fill="FFF7E8"/>
        <w:pBdr>
          <w:left w:val="single" w:sz="18" w:space="8" w:color="A66B14"/>
        </w:pBdr>
        <w:spacing w:before="100" w:after="140" w:line="288" w:lineRule="auto"/>
        <w:ind w:left="173" w:right="86"/>
      </w:pPr>
      <w:r>
        <w:rPr>
          <w:rFonts w:ascii="Calibri" w:hAnsi="Calibri" w:eastAsia="Microsoft YaHei"/>
          <w:b/>
          <w:i w:val="0"/>
          <w:color w:val="A66B14"/>
          <w:sz w:val="21"/>
        </w:rPr>
        <w:t xml:space="preserve">逻辑主线  </w:t>
      </w:r>
      <w:r>
        <w:rPr>
          <w:rFonts w:ascii="Calibri" w:hAnsi="Calibri" w:eastAsia="Microsoft YaHei"/>
          <w:b w:val="0"/>
          <w:i w:val="0"/>
          <w:color w:val="203040"/>
          <w:sz w:val="21"/>
        </w:rPr>
        <w:t>识别商业事实 → 找到管理根因 → 把财务控制嵌入业务流程 → 用数据支持经营决策</w:t>
      </w:r>
    </w:p>
    <w:p>
      <w:pPr>
        <w:pStyle w:val="Heading1"/>
        <w:keepNext/>
      </w:pPr>
      <w:r>
        <w:rPr>
          <w:rFonts w:ascii="Calibri" w:hAnsi="Calibri" w:eastAsia="Microsoft YaHei"/>
          <w:b/>
          <w:i w:val="0"/>
          <w:color w:val="2E74B5"/>
          <w:sz w:val="32"/>
        </w:rPr>
        <w:t>一、模式定义：为什么“员工拿六成，老板拿四成”看似反常</w:t>
      </w:r>
    </w:p>
    <w:p>
      <w:pPr>
        <w:pStyle w:val="Heading2"/>
        <w:keepNext/>
      </w:pPr>
      <w:r>
        <w:rPr>
          <w:rFonts w:ascii="Calibri" w:hAnsi="Calibri" w:eastAsia="Microsoft YaHei"/>
          <w:b/>
          <w:i w:val="0"/>
          <w:color w:val="2E74B5"/>
          <w:sz w:val="26"/>
        </w:rPr>
        <w:t>1. 视频中的出6进4</w:t>
      </w:r>
    </w:p>
    <w:p>
      <w:pPr>
        <w:spacing w:after="30" w:line="276" w:lineRule="auto"/>
        <w:numPr>
          <w:ilvl w:val="0"/>
          <w:numId w:val="90"/>
        </w:numPr>
      </w:pPr>
      <w:r>
        <w:rPr>
          <w:rFonts w:ascii="Calibri" w:hAnsi="Calibri" w:eastAsia="Microsoft YaHei"/>
          <w:b w:val="0"/>
          <w:i w:val="0"/>
          <w:color w:val="203040"/>
          <w:sz w:val="20"/>
        </w:rPr>
        <w:t>视频00:30介绍：员工拿营业额的60%，老板拿40%，并由老板承担所有成本。员工通常围绕客户订单共同分配，而不是简单按个人销售额各自结算。</w:t>
      </w:r>
    </w:p>
    <w:p>
      <w:pPr>
        <w:spacing w:after="30" w:line="276" w:lineRule="auto"/>
        <w:numPr>
          <w:ilvl w:val="0"/>
          <w:numId w:val="90"/>
        </w:numPr>
      </w:pPr>
      <w:r>
        <w:rPr>
          <w:rFonts w:ascii="Calibri" w:hAnsi="Calibri" w:eastAsia="Microsoft YaHei"/>
          <w:b w:val="0"/>
          <w:i w:val="0"/>
          <w:color w:val="203040"/>
          <w:sz w:val="20"/>
        </w:rPr>
        <w:t>它把一部分传统固定工资或低比例提成改成与订单绑定的高比例分享，目的是让一线主动拉客、服务和促成复购。</w:t>
      </w:r>
    </w:p>
    <w:p>
      <w:pPr>
        <w:pStyle w:val="Heading2"/>
        <w:keepNext/>
      </w:pPr>
      <w:r>
        <w:rPr>
          <w:rFonts w:ascii="Calibri" w:hAnsi="Calibri" w:eastAsia="Microsoft YaHei"/>
          <w:b/>
          <w:i w:val="0"/>
          <w:color w:val="2E74B5"/>
          <w:sz w:val="26"/>
        </w:rPr>
        <w:t>2. 老板为什么可能更赚</w:t>
      </w:r>
    </w:p>
    <w:p>
      <w:pPr>
        <w:spacing w:after="30" w:line="276" w:lineRule="auto"/>
        <w:numPr>
          <w:ilvl w:val="0"/>
          <w:numId w:val="90"/>
        </w:numPr>
      </w:pPr>
      <w:r>
        <w:rPr>
          <w:rFonts w:ascii="Calibri" w:hAnsi="Calibri" w:eastAsia="Microsoft YaHei"/>
          <w:b w:val="0"/>
          <w:i w:val="0"/>
          <w:color w:val="203040"/>
          <w:sz w:val="20"/>
        </w:rPr>
        <w:t>如果高分成显著提高客流、转化、加购和复购，房租、装修折旧等固定成本会被更大流水摊薄，老板保留的40%绝对额可能增长。</w:t>
      </w:r>
    </w:p>
    <w:p>
      <w:pPr>
        <w:spacing w:after="30" w:line="276" w:lineRule="auto"/>
        <w:numPr>
          <w:ilvl w:val="0"/>
          <w:numId w:val="90"/>
        </w:numPr>
      </w:pPr>
      <w:r>
        <w:rPr>
          <w:rFonts w:ascii="Calibri" w:hAnsi="Calibri" w:eastAsia="Microsoft YaHei"/>
          <w:b w:val="0"/>
          <w:i w:val="0"/>
          <w:color w:val="203040"/>
          <w:sz w:val="20"/>
        </w:rPr>
        <w:t>但流水增长不自动等于利润增长；只要老板承担的各项成本超过40%份额，模式就会亏损。</w:t>
      </w:r>
    </w:p>
    <w:p>
      <w:pPr>
        <w:pStyle w:val="Heading1"/>
        <w:keepNext/>
      </w:pPr>
      <w:r>
        <w:rPr>
          <w:rFonts w:ascii="Calibri" w:hAnsi="Calibri" w:eastAsia="Microsoft YaHei"/>
          <w:b/>
          <w:i w:val="0"/>
          <w:color w:val="2E74B5"/>
          <w:sz w:val="32"/>
        </w:rPr>
        <w:t>二、单位经济：用一个公式判断模式能不能跑</w:t>
      </w:r>
    </w:p>
    <w:p>
      <w:pPr>
        <w:pStyle w:val="Heading2"/>
        <w:keepNext/>
      </w:pPr>
      <w:r>
        <w:rPr>
          <w:rFonts w:ascii="Calibri" w:hAnsi="Calibri" w:eastAsia="Microsoft YaHei"/>
          <w:b/>
          <w:i w:val="0"/>
          <w:color w:val="2E74B5"/>
          <w:sz w:val="26"/>
        </w:rPr>
        <w:t>1. 老板侧贡献利润</w:t>
      </w:r>
    </w:p>
    <w:p>
      <w:pPr>
        <w:spacing w:after="30" w:line="276" w:lineRule="auto"/>
        <w:numPr>
          <w:ilvl w:val="0"/>
          <w:numId w:val="90"/>
        </w:numPr>
      </w:pPr>
      <w:r>
        <w:rPr>
          <w:rFonts w:ascii="Calibri" w:hAnsi="Calibri" w:eastAsia="Microsoft YaHei"/>
          <w:b w:val="0"/>
          <w:i w:val="0"/>
          <w:color w:val="203040"/>
          <w:sz w:val="20"/>
        </w:rPr>
        <w:t>可用简式理解：老板贡献利润＝营业额×40%－由老板承担的材料、平台、支付、营销、税费等变动成本－房租、水电、折旧、管理等固定成本。</w:t>
      </w:r>
    </w:p>
    <w:p>
      <w:pPr>
        <w:spacing w:after="30" w:line="276" w:lineRule="auto"/>
        <w:numPr>
          <w:ilvl w:val="0"/>
          <w:numId w:val="90"/>
        </w:numPr>
      </w:pPr>
      <w:r>
        <w:rPr>
          <w:rFonts w:ascii="Calibri" w:hAnsi="Calibri" w:eastAsia="Microsoft YaHei"/>
          <w:b w:val="0"/>
          <w:i w:val="0"/>
          <w:color w:val="203040"/>
          <w:sz w:val="20"/>
        </w:rPr>
        <w:t>如果员工60%并非包含全部工资福利，还要把基本工资、社保和其他用工成本另行计入，不能重复遗漏或模糊处理。</w:t>
      </w:r>
    </w:p>
    <w:p>
      <w:pPr>
        <w:pStyle w:val="Heading2"/>
        <w:keepNext/>
      </w:pPr>
      <w:r>
        <w:rPr>
          <w:rFonts w:ascii="Calibri" w:hAnsi="Calibri" w:eastAsia="Microsoft YaHei"/>
          <w:b/>
          <w:i w:val="0"/>
          <w:color w:val="2E74B5"/>
          <w:sz w:val="26"/>
        </w:rPr>
        <w:t>2. 保本流水</w:t>
      </w:r>
    </w:p>
    <w:p>
      <w:pPr>
        <w:spacing w:after="30" w:line="276" w:lineRule="auto"/>
        <w:numPr>
          <w:ilvl w:val="0"/>
          <w:numId w:val="90"/>
        </w:numPr>
      </w:pPr>
      <w:r>
        <w:rPr>
          <w:rFonts w:ascii="Calibri" w:hAnsi="Calibri" w:eastAsia="Microsoft YaHei"/>
          <w:b w:val="0"/>
          <w:i w:val="0"/>
          <w:color w:val="203040"/>
          <w:sz w:val="20"/>
        </w:rPr>
        <w:t>保本流水＝固定成本÷〔40%－其他变动成本率〕。当其他变动成本率接近或超过40%时，分母很小甚至为负，再高流水也难以盈利。</w:t>
      </w:r>
    </w:p>
    <w:p>
      <w:pPr>
        <w:spacing w:after="30" w:line="276" w:lineRule="auto"/>
        <w:numPr>
          <w:ilvl w:val="0"/>
          <w:numId w:val="90"/>
        </w:numPr>
      </w:pPr>
      <w:r>
        <w:rPr>
          <w:rFonts w:ascii="Calibri" w:hAnsi="Calibri" w:eastAsia="Microsoft YaHei"/>
          <w:b w:val="0"/>
          <w:i w:val="0"/>
          <w:color w:val="203040"/>
          <w:sz w:val="20"/>
        </w:rPr>
        <w:t>财务应按店型和项目测算，不使用笼统的“服务业毛利高”替代真实数据。</w:t>
      </w:r>
    </w:p>
    <w:p>
      <w:pPr>
        <w:pStyle w:val="Heading2"/>
        <w:keepNext/>
      </w:pPr>
      <w:r>
        <w:rPr>
          <w:rFonts w:ascii="Calibri" w:hAnsi="Calibri" w:eastAsia="Microsoft YaHei"/>
          <w:b/>
          <w:i w:val="0"/>
          <w:color w:val="2E74B5"/>
          <w:sz w:val="26"/>
        </w:rPr>
        <w:t>3. 三种压力测试</w:t>
      </w:r>
    </w:p>
    <w:p>
      <w:pPr>
        <w:spacing w:after="30" w:line="276" w:lineRule="auto"/>
        <w:numPr>
          <w:ilvl w:val="0"/>
          <w:numId w:val="90"/>
        </w:numPr>
      </w:pPr>
      <w:r>
        <w:rPr>
          <w:rFonts w:ascii="Calibri" w:hAnsi="Calibri" w:eastAsia="Microsoft YaHei"/>
          <w:b w:val="0"/>
          <w:i w:val="0"/>
          <w:color w:val="203040"/>
          <w:sz w:val="20"/>
        </w:rPr>
        <w:t>至少测试正常、淡季和促销三种情景，观察客单下降、材料涨价、退款增加或平台抽佣变化后，老板40%能否覆盖成本。</w:t>
      </w:r>
    </w:p>
    <w:p>
      <w:pPr>
        <w:spacing w:after="30" w:line="276" w:lineRule="auto"/>
        <w:numPr>
          <w:ilvl w:val="0"/>
          <w:numId w:val="90"/>
        </w:numPr>
      </w:pPr>
      <w:r>
        <w:rPr>
          <w:rFonts w:ascii="Calibri" w:hAnsi="Calibri" w:eastAsia="Microsoft YaHei"/>
          <w:b w:val="0"/>
          <w:i w:val="0"/>
          <w:color w:val="203040"/>
          <w:sz w:val="20"/>
        </w:rPr>
        <w:t>设置亏损预警线、单店试点周期和退出条件，避免一上线就覆盖全部门店。</w:t>
      </w:r>
    </w:p>
    <w:p>
      <w:pPr>
        <w:pStyle w:val="Heading1"/>
        <w:keepNext/>
      </w:pPr>
      <w:r>
        <w:rPr>
          <w:rFonts w:ascii="Calibri" w:hAnsi="Calibri" w:eastAsia="Microsoft YaHei"/>
          <w:b/>
          <w:i w:val="0"/>
          <w:color w:val="2E74B5"/>
          <w:sz w:val="32"/>
        </w:rPr>
        <w:t>三、适用条件：高毛利服务业也不是都适合</w:t>
      </w:r>
    </w:p>
    <w:p>
      <w:pPr>
        <w:pStyle w:val="Heading2"/>
        <w:keepNext/>
      </w:pPr>
      <w:r>
        <w:rPr>
          <w:rFonts w:ascii="Calibri" w:hAnsi="Calibri" w:eastAsia="Microsoft YaHei"/>
          <w:b/>
          <w:i w:val="0"/>
          <w:color w:val="2E74B5"/>
          <w:sz w:val="26"/>
        </w:rPr>
        <w:t>1. 视频归纳的行业共性</w:t>
      </w:r>
    </w:p>
    <w:p>
      <w:pPr>
        <w:spacing w:after="30" w:line="276" w:lineRule="auto"/>
        <w:numPr>
          <w:ilvl w:val="0"/>
          <w:numId w:val="90"/>
        </w:numPr>
      </w:pPr>
      <w:r>
        <w:rPr>
          <w:rFonts w:ascii="Calibri" w:hAnsi="Calibri" w:eastAsia="Microsoft YaHei"/>
          <w:b w:val="0"/>
          <w:i w:val="0"/>
          <w:color w:val="203040"/>
          <w:sz w:val="20"/>
        </w:rPr>
        <w:t>视频01:13指出酒吧、足浴和音乐餐厅/烧烤等案例都属于服务业，平均毛利率较高，提高毛利的关键之一是提升流水。</w:t>
      </w:r>
    </w:p>
    <w:p>
      <w:pPr>
        <w:spacing w:after="30" w:line="276" w:lineRule="auto"/>
        <w:numPr>
          <w:ilvl w:val="0"/>
          <w:numId w:val="90"/>
        </w:numPr>
      </w:pPr>
      <w:r>
        <w:rPr>
          <w:rFonts w:ascii="Calibri" w:hAnsi="Calibri" w:eastAsia="Microsoft YaHei"/>
          <w:b w:val="0"/>
          <w:i w:val="0"/>
          <w:color w:val="203040"/>
          <w:sz w:val="20"/>
        </w:rPr>
        <w:t>这些行业的一线员工直接影响获客、体验、加购和复购，因此收入分享更可能改变行为。</w:t>
      </w:r>
    </w:p>
    <w:p>
      <w:pPr>
        <w:pStyle w:val="Heading2"/>
        <w:keepNext/>
      </w:pPr>
      <w:r>
        <w:rPr>
          <w:rFonts w:ascii="Calibri" w:hAnsi="Calibri" w:eastAsia="Microsoft YaHei"/>
          <w:b/>
          <w:i w:val="0"/>
          <w:color w:val="2E74B5"/>
          <w:sz w:val="26"/>
        </w:rPr>
        <w:t>2. 更适合的业务特征</w:t>
      </w:r>
    </w:p>
    <w:p>
      <w:pPr>
        <w:spacing w:after="30" w:line="276" w:lineRule="auto"/>
        <w:numPr>
          <w:ilvl w:val="0"/>
          <w:numId w:val="90"/>
        </w:numPr>
      </w:pPr>
      <w:r>
        <w:rPr>
          <w:rFonts w:ascii="Calibri" w:hAnsi="Calibri" w:eastAsia="Microsoft YaHei"/>
          <w:b w:val="0"/>
          <w:i w:val="0"/>
          <w:color w:val="203040"/>
          <w:sz w:val="20"/>
        </w:rPr>
        <w:t>单位材料成本较低、固定场地成本高、产能在淡时段闲置、服务质量可衡量、订单可追溯且员工对客户转化有明显影响。</w:t>
      </w:r>
    </w:p>
    <w:p>
      <w:pPr>
        <w:spacing w:after="30" w:line="276" w:lineRule="auto"/>
        <w:numPr>
          <w:ilvl w:val="0"/>
          <w:numId w:val="90"/>
        </w:numPr>
      </w:pPr>
      <w:r>
        <w:rPr>
          <w:rFonts w:ascii="Calibri" w:hAnsi="Calibri" w:eastAsia="Microsoft YaHei"/>
          <w:b w:val="0"/>
          <w:i w:val="0"/>
          <w:color w:val="203040"/>
          <w:sz w:val="20"/>
        </w:rPr>
        <w:t>同时要求老板能标准化产品和服务，否则员工只追订单量可能放大投诉与品牌损失。</w:t>
      </w:r>
    </w:p>
    <w:p>
      <w:pPr>
        <w:pStyle w:val="Heading2"/>
        <w:keepNext/>
      </w:pPr>
      <w:r>
        <w:rPr>
          <w:rFonts w:ascii="Calibri" w:hAnsi="Calibri" w:eastAsia="Microsoft YaHei"/>
          <w:b/>
          <w:i w:val="0"/>
          <w:color w:val="2E74B5"/>
          <w:sz w:val="26"/>
        </w:rPr>
        <w:t>3. 谨慎或不适合的场景</w:t>
      </w:r>
    </w:p>
    <w:p>
      <w:pPr>
        <w:spacing w:after="30" w:line="276" w:lineRule="auto"/>
        <w:numPr>
          <w:ilvl w:val="0"/>
          <w:numId w:val="90"/>
        </w:numPr>
      </w:pPr>
      <w:r>
        <w:rPr>
          <w:rFonts w:ascii="Calibri" w:hAnsi="Calibri" w:eastAsia="Microsoft YaHei"/>
          <w:b w:val="0"/>
          <w:i w:val="0"/>
          <w:color w:val="203040"/>
          <w:sz w:val="20"/>
        </w:rPr>
        <w:t>商品成本率高、单笔退款/赔付大、强合规或安全责任高、订单归属难确认、跨团队协作复杂的业务，应慎用高收入分成。</w:t>
      </w:r>
    </w:p>
    <w:p>
      <w:pPr>
        <w:spacing w:after="30" w:line="276" w:lineRule="auto"/>
        <w:numPr>
          <w:ilvl w:val="0"/>
          <w:numId w:val="90"/>
        </w:numPr>
      </w:pPr>
      <w:r>
        <w:rPr>
          <w:rFonts w:ascii="Calibri" w:hAnsi="Calibri" w:eastAsia="Microsoft YaHei"/>
          <w:b w:val="0"/>
          <w:i w:val="0"/>
          <w:color w:val="203040"/>
          <w:sz w:val="20"/>
        </w:rPr>
        <w:t>创业初期流水不稳定时，员工收入波动和企业现金压力也可能同时放大，需要设置基本保障和试点上限。</w:t>
      </w:r>
    </w:p>
    <w:p>
      <w:pPr>
        <w:pStyle w:val="Heading1"/>
        <w:keepNext/>
      </w:pPr>
      <w:r>
        <w:rPr>
          <w:rFonts w:ascii="Calibri" w:hAnsi="Calibri" w:eastAsia="Microsoft YaHei"/>
          <w:b/>
          <w:i w:val="0"/>
          <w:color w:val="2E74B5"/>
          <w:sz w:val="32"/>
        </w:rPr>
        <w:t>四、订单如何分：共享客户与团队分配减少内耗</w:t>
      </w:r>
    </w:p>
    <w:p>
      <w:pPr>
        <w:pStyle w:val="Heading2"/>
        <w:keepNext/>
      </w:pPr>
      <w:r>
        <w:rPr>
          <w:rFonts w:ascii="Calibri" w:hAnsi="Calibri" w:eastAsia="Microsoft YaHei"/>
          <w:b/>
          <w:i w:val="0"/>
          <w:color w:val="2E74B5"/>
          <w:sz w:val="26"/>
        </w:rPr>
        <w:t>1. 围绕客户订单共同拿</w:t>
      </w:r>
    </w:p>
    <w:p>
      <w:pPr>
        <w:spacing w:after="30" w:line="276" w:lineRule="auto"/>
        <w:numPr>
          <w:ilvl w:val="0"/>
          <w:numId w:val="90"/>
        </w:numPr>
      </w:pPr>
      <w:r>
        <w:rPr>
          <w:rFonts w:ascii="Calibri" w:hAnsi="Calibri" w:eastAsia="Microsoft YaHei"/>
          <w:b w:val="0"/>
          <w:i w:val="0"/>
          <w:color w:val="203040"/>
          <w:sz w:val="20"/>
        </w:rPr>
        <w:t>视频02:25提出，围绕客户服务的人一起拿客户订单。这有助于让引流、接待、服务、后勤等角色共同关注客户，而不是只奖励最后成交者。</w:t>
      </w:r>
    </w:p>
    <w:p>
      <w:pPr>
        <w:spacing w:after="30" w:line="276" w:lineRule="auto"/>
        <w:numPr>
          <w:ilvl w:val="0"/>
          <w:numId w:val="90"/>
        </w:numPr>
      </w:pPr>
      <w:r>
        <w:rPr>
          <w:rFonts w:ascii="Calibri" w:hAnsi="Calibri" w:eastAsia="Microsoft YaHei"/>
          <w:b w:val="0"/>
          <w:i w:val="0"/>
          <w:color w:val="203040"/>
          <w:sz w:val="20"/>
        </w:rPr>
        <w:t>分配规则要明确订单池、参与角色、权重、退款扣回、跨班次和争议处理，并可由系统留痕。</w:t>
      </w:r>
    </w:p>
    <w:p>
      <w:pPr>
        <w:pStyle w:val="Heading2"/>
        <w:keepNext/>
      </w:pPr>
      <w:r>
        <w:rPr>
          <w:rFonts w:ascii="Calibri" w:hAnsi="Calibri" w:eastAsia="Microsoft YaHei"/>
          <w:b/>
          <w:i w:val="0"/>
          <w:color w:val="2E74B5"/>
          <w:sz w:val="26"/>
        </w:rPr>
        <w:t>2. 防止争单与短期行为</w:t>
      </w:r>
    </w:p>
    <w:p>
      <w:pPr>
        <w:spacing w:after="30" w:line="276" w:lineRule="auto"/>
        <w:numPr>
          <w:ilvl w:val="0"/>
          <w:numId w:val="90"/>
        </w:numPr>
      </w:pPr>
      <w:r>
        <w:rPr>
          <w:rFonts w:ascii="Calibri" w:hAnsi="Calibri" w:eastAsia="Microsoft YaHei"/>
          <w:b w:val="0"/>
          <w:i w:val="0"/>
          <w:color w:val="203040"/>
          <w:sz w:val="20"/>
        </w:rPr>
        <w:t>只按当期营业额分成可能诱导抢客、过度推销、隐藏投诉或承诺无法兑现的服务。应加入复购、投诉、退款、质量和合规等校正指标。</w:t>
      </w:r>
    </w:p>
    <w:p>
      <w:pPr>
        <w:spacing w:after="30" w:line="276" w:lineRule="auto"/>
        <w:numPr>
          <w:ilvl w:val="0"/>
          <w:numId w:val="90"/>
        </w:numPr>
      </w:pPr>
      <w:r>
        <w:rPr>
          <w:rFonts w:ascii="Calibri" w:hAnsi="Calibri" w:eastAsia="Microsoft YaHei"/>
          <w:b w:val="0"/>
          <w:i w:val="0"/>
          <w:color w:val="203040"/>
          <w:sz w:val="20"/>
        </w:rPr>
        <w:t>对因团队协作产生的订单，可设置共享池和透明计算，减少员工为归属争夺客户。</w:t>
      </w:r>
    </w:p>
    <w:p>
      <w:pPr>
        <w:pStyle w:val="Heading1"/>
        <w:keepNext/>
      </w:pPr>
      <w:r>
        <w:rPr>
          <w:rFonts w:ascii="Calibri" w:hAnsi="Calibri" w:eastAsia="Microsoft YaHei"/>
          <w:b/>
          <w:i w:val="0"/>
          <w:color w:val="2E74B5"/>
          <w:sz w:val="32"/>
        </w:rPr>
        <w:t>五、轮岗制度：既提升单兵能力，也降低关键环节舞弊</w:t>
      </w:r>
    </w:p>
    <w:p>
      <w:pPr>
        <w:pStyle w:val="Heading2"/>
        <w:keepNext/>
      </w:pPr>
      <w:r>
        <w:rPr>
          <w:rFonts w:ascii="Calibri" w:hAnsi="Calibri" w:eastAsia="Microsoft YaHei"/>
          <w:b/>
          <w:i w:val="0"/>
          <w:color w:val="2E74B5"/>
          <w:sz w:val="26"/>
        </w:rPr>
        <w:t>1. 视频中的轮岗作用</w:t>
      </w:r>
    </w:p>
    <w:p>
      <w:pPr>
        <w:spacing w:after="30" w:line="276" w:lineRule="auto"/>
        <w:numPr>
          <w:ilvl w:val="0"/>
          <w:numId w:val="90"/>
        </w:numPr>
      </w:pPr>
      <w:r>
        <w:rPr>
          <w:rFonts w:ascii="Calibri" w:hAnsi="Calibri" w:eastAsia="Microsoft YaHei"/>
          <w:b w:val="0"/>
          <w:i w:val="0"/>
          <w:color w:val="203040"/>
          <w:sz w:val="20"/>
        </w:rPr>
        <w:t>视频指出轮岗可以防止贪腐，并提升单兵作战能力。轮岗让员工理解不同服务环节，也降低某个人长期控制客户、收款、物料或排班形成的信息垄断。</w:t>
      </w:r>
    </w:p>
    <w:p>
      <w:pPr>
        <w:spacing w:after="30" w:line="276" w:lineRule="auto"/>
        <w:numPr>
          <w:ilvl w:val="0"/>
          <w:numId w:val="90"/>
        </w:numPr>
      </w:pPr>
      <w:r>
        <w:rPr>
          <w:rFonts w:ascii="Calibri" w:hAnsi="Calibri" w:eastAsia="Microsoft YaHei"/>
          <w:b w:val="0"/>
          <w:i w:val="0"/>
          <w:color w:val="203040"/>
          <w:sz w:val="20"/>
        </w:rPr>
        <w:t>轮岗应有交接清单、权限变更、培训和复核，不能只是换班表。</w:t>
      </w:r>
    </w:p>
    <w:p>
      <w:pPr>
        <w:pStyle w:val="Heading2"/>
        <w:keepNext/>
      </w:pPr>
      <w:r>
        <w:rPr>
          <w:rFonts w:ascii="Calibri" w:hAnsi="Calibri" w:eastAsia="Microsoft YaHei"/>
          <w:b/>
          <w:i w:val="0"/>
          <w:color w:val="2E74B5"/>
          <w:sz w:val="26"/>
        </w:rPr>
        <w:t>2. 轮岗不能替代内控</w:t>
      </w:r>
    </w:p>
    <w:p>
      <w:pPr>
        <w:spacing w:after="30" w:line="276" w:lineRule="auto"/>
        <w:numPr>
          <w:ilvl w:val="0"/>
          <w:numId w:val="90"/>
        </w:numPr>
      </w:pPr>
      <w:r>
        <w:rPr>
          <w:rFonts w:ascii="Calibri" w:hAnsi="Calibri" w:eastAsia="Microsoft YaHei"/>
          <w:b w:val="0"/>
          <w:i w:val="0"/>
          <w:color w:val="203040"/>
          <w:sz w:val="20"/>
        </w:rPr>
        <w:t>收款、退款、折扣、赠送、库存和分成计算仍需职责分离、系统权限和定期对账。高分成会放大篡改单据的经济动机，数据控制必须同步加强。</w:t>
      </w:r>
    </w:p>
    <w:p>
      <w:pPr>
        <w:spacing w:after="30" w:line="276" w:lineRule="auto"/>
        <w:numPr>
          <w:ilvl w:val="0"/>
          <w:numId w:val="90"/>
        </w:numPr>
      </w:pPr>
      <w:r>
        <w:rPr>
          <w:rFonts w:ascii="Calibri" w:hAnsi="Calibri" w:eastAsia="Microsoft YaHei"/>
          <w:b w:val="0"/>
          <w:i w:val="0"/>
          <w:color w:val="203040"/>
          <w:sz w:val="20"/>
        </w:rPr>
        <w:t>对异常高客单、高退款、集中赠送、跨员工改单和现金差异设置预警，并保留调查证据。</w:t>
      </w:r>
    </w:p>
    <w:p>
      <w:pPr>
        <w:pStyle w:val="Heading1"/>
        <w:keepNext/>
      </w:pPr>
      <w:r>
        <w:rPr>
          <w:rFonts w:ascii="Calibri" w:hAnsi="Calibri" w:eastAsia="Microsoft YaHei"/>
          <w:b/>
          <w:i w:val="0"/>
          <w:color w:val="2E74B5"/>
          <w:sz w:val="32"/>
        </w:rPr>
        <w:t>六、先把产品、运营和服务做好，高激励才不会放大坏体验</w:t>
      </w:r>
    </w:p>
    <w:p>
      <w:pPr>
        <w:pStyle w:val="Heading2"/>
        <w:keepNext/>
      </w:pPr>
      <w:r>
        <w:rPr>
          <w:rFonts w:ascii="Calibri" w:hAnsi="Calibri" w:eastAsia="Microsoft YaHei"/>
          <w:b/>
          <w:i w:val="0"/>
          <w:color w:val="2E74B5"/>
          <w:sz w:val="26"/>
        </w:rPr>
        <w:t>1. 视频的三项基础</w:t>
      </w:r>
    </w:p>
    <w:p>
      <w:pPr>
        <w:spacing w:after="30" w:line="276" w:lineRule="auto"/>
        <w:numPr>
          <w:ilvl w:val="0"/>
          <w:numId w:val="90"/>
        </w:numPr>
      </w:pPr>
      <w:r>
        <w:rPr>
          <w:rFonts w:ascii="Calibri" w:hAnsi="Calibri" w:eastAsia="Microsoft YaHei"/>
          <w:b w:val="0"/>
          <w:i w:val="0"/>
          <w:color w:val="203040"/>
          <w:sz w:val="20"/>
        </w:rPr>
        <w:t>视频03:47强调，提高毛利率要有好的产品，并把运营和服务做好。高分成只能增强动力，不能弥补产品差、流程慢或环境不安全。</w:t>
      </w:r>
    </w:p>
    <w:p>
      <w:pPr>
        <w:spacing w:after="30" w:line="276" w:lineRule="auto"/>
        <w:numPr>
          <w:ilvl w:val="0"/>
          <w:numId w:val="90"/>
        </w:numPr>
      </w:pPr>
      <w:r>
        <w:rPr>
          <w:rFonts w:ascii="Calibri" w:hAnsi="Calibri" w:eastAsia="Microsoft YaHei"/>
          <w:b w:val="0"/>
          <w:i w:val="0"/>
          <w:color w:val="203040"/>
          <w:sz w:val="20"/>
        </w:rPr>
        <w:t>老板侧应提供稳定供应、服务标准、排班产能、培训、投诉补救和营销资源，让员工的努力能转化为客户体验。</w:t>
      </w:r>
    </w:p>
    <w:p>
      <w:pPr>
        <w:pStyle w:val="Heading2"/>
        <w:keepNext/>
      </w:pPr>
      <w:r>
        <w:rPr>
          <w:rFonts w:ascii="Calibri" w:hAnsi="Calibri" w:eastAsia="Microsoft YaHei"/>
          <w:b/>
          <w:i w:val="0"/>
          <w:color w:val="2E74B5"/>
          <w:sz w:val="26"/>
        </w:rPr>
        <w:t>2. 质量否决项</w:t>
      </w:r>
    </w:p>
    <w:p>
      <w:pPr>
        <w:spacing w:after="30" w:line="276" w:lineRule="auto"/>
        <w:numPr>
          <w:ilvl w:val="0"/>
          <w:numId w:val="90"/>
        </w:numPr>
      </w:pPr>
      <w:r>
        <w:rPr>
          <w:rFonts w:ascii="Calibri" w:hAnsi="Calibri" w:eastAsia="Microsoft YaHei"/>
          <w:b w:val="0"/>
          <w:i w:val="0"/>
          <w:color w:val="203040"/>
          <w:sz w:val="20"/>
        </w:rPr>
        <w:t>对食品安全、价格透明、消费者权益、隐私和人身安全设置不可用营业额抵消的红线。发生重大违规时，应按制度停止分成或追责，而不是以完成流水为由放行。</w:t>
      </w:r>
    </w:p>
    <w:p>
      <w:pPr>
        <w:pStyle w:val="Heading1"/>
        <w:keepNext/>
      </w:pPr>
      <w:r>
        <w:rPr>
          <w:rFonts w:ascii="Calibri" w:hAnsi="Calibri" w:eastAsia="Microsoft YaHei"/>
          <w:b/>
          <w:i w:val="0"/>
          <w:color w:val="2E74B5"/>
          <w:sz w:val="32"/>
        </w:rPr>
        <w:t>七、三类营销案例：所有活动最终都要回到增量贡献利润</w:t>
      </w:r>
    </w:p>
    <w:p>
      <w:pPr>
        <w:pStyle w:val="Heading2"/>
        <w:keepNext/>
      </w:pPr>
      <w:r>
        <w:rPr>
          <w:rFonts w:ascii="Calibri" w:hAnsi="Calibri" w:eastAsia="Microsoft YaHei"/>
          <w:b/>
          <w:i w:val="0"/>
          <w:color w:val="2E74B5"/>
          <w:sz w:val="26"/>
        </w:rPr>
        <w:t>1. 酒吧：网红驻唱与特调酒</w:t>
      </w:r>
    </w:p>
    <w:p>
      <w:pPr>
        <w:spacing w:after="30" w:line="276" w:lineRule="auto"/>
        <w:numPr>
          <w:ilvl w:val="0"/>
          <w:numId w:val="90"/>
        </w:numPr>
      </w:pPr>
      <w:r>
        <w:rPr>
          <w:rFonts w:ascii="Calibri" w:hAnsi="Calibri" w:eastAsia="Microsoft YaHei"/>
          <w:b w:val="0"/>
          <w:i w:val="0"/>
          <w:color w:val="203040"/>
          <w:sz w:val="20"/>
        </w:rPr>
        <w:t>视频04:01提到酒吧用网红驻唱和特调酒提高营业额。财务要分开核算演出成本、引流人数、特调酒毛利、客单和复购，判断是否只是一次性热度。</w:t>
      </w:r>
    </w:p>
    <w:p>
      <w:pPr>
        <w:pStyle w:val="Heading2"/>
        <w:keepNext/>
      </w:pPr>
      <w:r>
        <w:rPr>
          <w:rFonts w:ascii="Calibri" w:hAnsi="Calibri" w:eastAsia="Microsoft YaHei"/>
          <w:b/>
          <w:i w:val="0"/>
          <w:color w:val="2E74B5"/>
          <w:sz w:val="26"/>
        </w:rPr>
        <w:t>2. 足浴：最后10分钟提升加钟率</w:t>
      </w:r>
    </w:p>
    <w:p>
      <w:pPr>
        <w:spacing w:after="30" w:line="276" w:lineRule="auto"/>
        <w:numPr>
          <w:ilvl w:val="0"/>
          <w:numId w:val="90"/>
        </w:numPr>
      </w:pPr>
      <w:r>
        <w:rPr>
          <w:rFonts w:ascii="Calibri" w:hAnsi="Calibri" w:eastAsia="Microsoft YaHei"/>
          <w:b w:val="0"/>
          <w:i w:val="0"/>
          <w:color w:val="203040"/>
          <w:sz w:val="20"/>
        </w:rPr>
        <w:t>视频案例把服务最后10分钟作为精准理解客户、提高加钟率的关键节点。落地时应以尊重客户意愿和透明收费为前提，避免强推销损害体验。</w:t>
      </w:r>
    </w:p>
    <w:p>
      <w:pPr>
        <w:spacing w:after="30" w:line="276" w:lineRule="auto"/>
        <w:numPr>
          <w:ilvl w:val="0"/>
          <w:numId w:val="90"/>
        </w:numPr>
      </w:pPr>
      <w:r>
        <w:rPr>
          <w:rFonts w:ascii="Calibri" w:hAnsi="Calibri" w:eastAsia="Microsoft YaHei"/>
          <w:b w:val="0"/>
          <w:i w:val="0"/>
          <w:color w:val="203040"/>
          <w:sz w:val="20"/>
        </w:rPr>
        <w:t>可跟踪加钟率、投诉率、复购率和技师产能，防止只奖励加钟而忽略服务质量。</w:t>
      </w:r>
    </w:p>
    <w:p>
      <w:pPr>
        <w:pStyle w:val="Heading2"/>
        <w:keepNext/>
      </w:pPr>
      <w:r>
        <w:rPr>
          <w:rFonts w:ascii="Calibri" w:hAnsi="Calibri" w:eastAsia="Microsoft YaHei"/>
          <w:b/>
          <w:i w:val="0"/>
          <w:color w:val="2E74B5"/>
          <w:sz w:val="26"/>
        </w:rPr>
        <w:t>3. 音乐烧烤/餐厅：驻唱与满减</w:t>
      </w:r>
    </w:p>
    <w:p>
      <w:pPr>
        <w:spacing w:after="30" w:line="276" w:lineRule="auto"/>
        <w:numPr>
          <w:ilvl w:val="0"/>
          <w:numId w:val="90"/>
        </w:numPr>
      </w:pPr>
      <w:r>
        <w:rPr>
          <w:rFonts w:ascii="Calibri" w:hAnsi="Calibri" w:eastAsia="Microsoft YaHei"/>
          <w:b w:val="0"/>
          <w:i w:val="0"/>
          <w:color w:val="203040"/>
          <w:sz w:val="20"/>
        </w:rPr>
        <w:t>驻唱创造氛围，满减提高下单，但折扣会直接压缩贡献利润。活动评估应比较自然基线、活动新增流水、赠送折扣、材料成本和分成增加。</w:t>
      </w:r>
    </w:p>
    <w:p>
      <w:pPr>
        <w:spacing w:after="30" w:line="276" w:lineRule="auto"/>
        <w:numPr>
          <w:ilvl w:val="0"/>
          <w:numId w:val="90"/>
        </w:numPr>
      </w:pPr>
      <w:r>
        <w:rPr>
          <w:rFonts w:ascii="Calibri" w:hAnsi="Calibri" w:eastAsia="Microsoft YaHei"/>
          <w:b w:val="0"/>
          <w:i w:val="0"/>
          <w:color w:val="203040"/>
          <w:sz w:val="20"/>
        </w:rPr>
        <w:t>只有扣除活动增量成本和员工分成后仍增加利润，才是真正有效的营销。</w:t>
      </w:r>
    </w:p>
    <w:p>
      <w:pPr>
        <w:pStyle w:val="Heading1"/>
        <w:keepNext/>
      </w:pPr>
      <w:r>
        <w:rPr>
          <w:rFonts w:ascii="Calibri" w:hAnsi="Calibri" w:eastAsia="Microsoft YaHei"/>
          <w:b/>
          <w:i w:val="0"/>
          <w:color w:val="2E74B5"/>
          <w:sz w:val="32"/>
        </w:rPr>
        <w:t>八、留住员工：金钱和开心都要变成可执行的制度</w:t>
      </w:r>
    </w:p>
    <w:p>
      <w:pPr>
        <w:pStyle w:val="Heading2"/>
        <w:keepNext/>
      </w:pPr>
      <w:r>
        <w:rPr>
          <w:rFonts w:ascii="Calibri" w:hAnsi="Calibri" w:eastAsia="Microsoft YaHei"/>
          <w:b/>
          <w:i w:val="0"/>
          <w:color w:val="2E74B5"/>
          <w:sz w:val="26"/>
        </w:rPr>
        <w:t>1. 足够的金钱</w:t>
      </w:r>
    </w:p>
    <w:p>
      <w:pPr>
        <w:spacing w:after="30" w:line="276" w:lineRule="auto"/>
        <w:numPr>
          <w:ilvl w:val="0"/>
          <w:numId w:val="90"/>
        </w:numPr>
      </w:pPr>
      <w:r>
        <w:rPr>
          <w:rFonts w:ascii="Calibri" w:hAnsi="Calibri" w:eastAsia="Microsoft YaHei"/>
          <w:b w:val="0"/>
          <w:i w:val="0"/>
          <w:color w:val="203040"/>
          <w:sz w:val="20"/>
        </w:rPr>
        <w:t>视频07:32总结留人的关键之一是足够的金钱。高分成让收入与客户价值连接，但必须说明计算口径、结算周期、退款扣回、最低保障和异常调整，做到可核对。</w:t>
      </w:r>
    </w:p>
    <w:p>
      <w:pPr>
        <w:spacing w:after="30" w:line="276" w:lineRule="auto"/>
        <w:numPr>
          <w:ilvl w:val="0"/>
          <w:numId w:val="90"/>
        </w:numPr>
      </w:pPr>
      <w:r>
        <w:rPr>
          <w:rFonts w:ascii="Calibri" w:hAnsi="Calibri" w:eastAsia="Microsoft YaHei"/>
          <w:b w:val="0"/>
          <w:i w:val="0"/>
          <w:color w:val="203040"/>
          <w:sz w:val="20"/>
        </w:rPr>
        <w:t>用工关系下的工资、加班、社会保险和个人所得税等仍需依法处理，不能用“合伙”或“分成”名称规避真实义务。</w:t>
      </w:r>
    </w:p>
    <w:p>
      <w:pPr>
        <w:pStyle w:val="Heading2"/>
        <w:keepNext/>
      </w:pPr>
      <w:r>
        <w:rPr>
          <w:rFonts w:ascii="Calibri" w:hAnsi="Calibri" w:eastAsia="Microsoft YaHei"/>
          <w:b/>
          <w:i w:val="0"/>
          <w:color w:val="2E74B5"/>
          <w:sz w:val="26"/>
        </w:rPr>
        <w:t>2. 开心的工作环境</w:t>
      </w:r>
    </w:p>
    <w:p>
      <w:pPr>
        <w:spacing w:after="30" w:line="276" w:lineRule="auto"/>
        <w:numPr>
          <w:ilvl w:val="0"/>
          <w:numId w:val="90"/>
        </w:numPr>
      </w:pPr>
      <w:r>
        <w:rPr>
          <w:rFonts w:ascii="Calibri" w:hAnsi="Calibri" w:eastAsia="Microsoft YaHei"/>
          <w:b w:val="0"/>
          <w:i w:val="0"/>
          <w:color w:val="203040"/>
          <w:sz w:val="20"/>
        </w:rPr>
        <w:t>开心不是只靠团建，而是公平排班、透明分配、尊重、成长机会、设备安全和管理者及时解决冲突。</w:t>
      </w:r>
    </w:p>
    <w:p>
      <w:pPr>
        <w:spacing w:after="30" w:line="276" w:lineRule="auto"/>
        <w:numPr>
          <w:ilvl w:val="0"/>
          <w:numId w:val="90"/>
        </w:numPr>
      </w:pPr>
      <w:r>
        <w:rPr>
          <w:rFonts w:ascii="Calibri" w:hAnsi="Calibri" w:eastAsia="Microsoft YaHei"/>
          <w:b w:val="0"/>
          <w:i w:val="0"/>
          <w:color w:val="203040"/>
          <w:sz w:val="20"/>
        </w:rPr>
        <w:t>员工满意度与客户满意度、离职率、缺勤和投诉可结合观察，避免环境问题被高收入暂时掩盖。</w:t>
      </w:r>
    </w:p>
    <w:p>
      <w:pPr>
        <w:pStyle w:val="Heading1"/>
        <w:keepNext/>
      </w:pPr>
      <w:r>
        <w:rPr>
          <w:rFonts w:ascii="Calibri" w:hAnsi="Calibri" w:eastAsia="Microsoft YaHei"/>
          <w:b/>
          <w:i w:val="0"/>
          <w:color w:val="2E74B5"/>
          <w:sz w:val="32"/>
        </w:rPr>
        <w:t>九、视频毛利数据：只作案例参照，不作行业预算</w:t>
      </w:r>
    </w:p>
    <w:p>
      <w:pPr>
        <w:pStyle w:val="Heading2"/>
        <w:keepNext/>
      </w:pPr>
      <w:r>
        <w:rPr>
          <w:rFonts w:ascii="Calibri" w:hAnsi="Calibri" w:eastAsia="Microsoft YaHei"/>
          <w:b/>
          <w:i w:val="0"/>
          <w:color w:val="2E74B5"/>
          <w:sz w:val="26"/>
        </w:rPr>
        <w:t>1. 三组案例数字</w:t>
      </w:r>
    </w:p>
    <w:p>
      <w:pPr>
        <w:spacing w:after="30" w:line="276" w:lineRule="auto"/>
        <w:numPr>
          <w:ilvl w:val="0"/>
          <w:numId w:val="90"/>
        </w:numPr>
      </w:pPr>
      <w:r>
        <w:rPr>
          <w:rFonts w:ascii="Calibri" w:hAnsi="Calibri" w:eastAsia="Microsoft YaHei"/>
          <w:b w:val="0"/>
          <w:i w:val="0"/>
          <w:color w:val="203040"/>
          <w:sz w:val="20"/>
        </w:rPr>
        <w:t>视频07:44提到：酒吧毛利率80%以上、烧烤约70%、足浴约65%。这些数字受毛利定义、商品结构、地区和期间影响，不能直接复制到其他企业。</w:t>
      </w:r>
    </w:p>
    <w:p>
      <w:pPr>
        <w:spacing w:after="30" w:line="276" w:lineRule="auto"/>
        <w:numPr>
          <w:ilvl w:val="0"/>
          <w:numId w:val="90"/>
        </w:numPr>
      </w:pPr>
      <w:r>
        <w:rPr>
          <w:rFonts w:ascii="Calibri" w:hAnsi="Calibri" w:eastAsia="Microsoft YaHei"/>
          <w:b w:val="0"/>
          <w:i w:val="0"/>
          <w:color w:val="203040"/>
          <w:sz w:val="20"/>
        </w:rPr>
        <w:t>尤其要确认毛利是否扣除了员工60%分成；若分成被列入费用而非营业成本，不同企业的“毛利率”将不可直接比较。</w:t>
      </w:r>
    </w:p>
    <w:p>
      <w:pPr>
        <w:pStyle w:val="Heading2"/>
        <w:keepNext/>
      </w:pPr>
      <w:r>
        <w:rPr>
          <w:rFonts w:ascii="Calibri" w:hAnsi="Calibri" w:eastAsia="Microsoft YaHei"/>
          <w:b/>
          <w:i w:val="0"/>
          <w:color w:val="2E74B5"/>
          <w:sz w:val="26"/>
        </w:rPr>
        <w:t>2. 统一经营口径</w:t>
      </w:r>
    </w:p>
    <w:p>
      <w:pPr>
        <w:spacing w:after="30" w:line="276" w:lineRule="auto"/>
        <w:numPr>
          <w:ilvl w:val="0"/>
          <w:numId w:val="90"/>
        </w:numPr>
      </w:pPr>
      <w:r>
        <w:rPr>
          <w:rFonts w:ascii="Calibri" w:hAnsi="Calibri" w:eastAsia="Microsoft YaHei"/>
          <w:b w:val="0"/>
          <w:i w:val="0"/>
          <w:color w:val="203040"/>
          <w:sz w:val="20"/>
        </w:rPr>
        <w:t>建议同时展示商品/服务毛利、员工分成后贡献利润、门店可控利润和最终净利润，清楚标注每层扣除了什么。</w:t>
      </w:r>
    </w:p>
    <w:p>
      <w:pPr>
        <w:spacing w:after="30" w:line="276" w:lineRule="auto"/>
        <w:numPr>
          <w:ilvl w:val="0"/>
          <w:numId w:val="90"/>
        </w:numPr>
      </w:pPr>
      <w:r>
        <w:rPr>
          <w:rFonts w:ascii="Calibri" w:hAnsi="Calibri" w:eastAsia="Microsoft YaHei"/>
          <w:b w:val="0"/>
          <w:i w:val="0"/>
          <w:color w:val="203040"/>
          <w:sz w:val="20"/>
        </w:rPr>
        <w:t>管理层应看同口径趋势和现金结果，而不是追求一个看起来很高的毛利率。</w:t>
      </w:r>
    </w:p>
    <w:p>
      <w:pPr>
        <w:pStyle w:val="Heading1"/>
        <w:keepNext/>
      </w:pPr>
      <w:r>
        <w:rPr>
          <w:rFonts w:ascii="Calibri" w:hAnsi="Calibri" w:eastAsia="Microsoft YaHei"/>
          <w:b/>
          <w:i w:val="0"/>
          <w:color w:val="2E74B5"/>
          <w:sz w:val="32"/>
        </w:rPr>
        <w:t>十、财务落地：先试一家店，再决定是否复制</w:t>
      </w:r>
    </w:p>
    <w:p>
      <w:pPr>
        <w:pStyle w:val="Heading2"/>
        <w:keepNext/>
      </w:pPr>
      <w:r>
        <w:rPr>
          <w:rFonts w:ascii="Calibri" w:hAnsi="Calibri" w:eastAsia="Microsoft YaHei"/>
          <w:b/>
          <w:i w:val="0"/>
          <w:color w:val="2E74B5"/>
          <w:sz w:val="26"/>
        </w:rPr>
        <w:t>1. 试点前</w:t>
      </w:r>
    </w:p>
    <w:p>
      <w:pPr>
        <w:spacing w:after="30" w:line="276" w:lineRule="auto"/>
        <w:numPr>
          <w:ilvl w:val="0"/>
          <w:numId w:val="90"/>
        </w:numPr>
      </w:pPr>
      <w:r>
        <w:rPr>
          <w:rFonts w:ascii="Calibri" w:hAnsi="Calibri" w:eastAsia="Microsoft YaHei"/>
          <w:b w:val="0"/>
          <w:i w:val="0"/>
          <w:color w:val="203040"/>
          <w:sz w:val="20"/>
        </w:rPr>
        <w:t>选取数据完整、管理稳定的门店，锁定基线流水、毛利、人员收入、投诉、复购和现金；完成劳动/合作协议、分配公式、权限和税务复核。</w:t>
      </w:r>
    </w:p>
    <w:p>
      <w:pPr>
        <w:pStyle w:val="Heading2"/>
        <w:keepNext/>
      </w:pPr>
      <w:r>
        <w:rPr>
          <w:rFonts w:ascii="Calibri" w:hAnsi="Calibri" w:eastAsia="Microsoft YaHei"/>
          <w:b/>
          <w:i w:val="0"/>
          <w:color w:val="2E74B5"/>
          <w:sz w:val="26"/>
        </w:rPr>
        <w:t>2. 试点中</w:t>
      </w:r>
    </w:p>
    <w:p>
      <w:pPr>
        <w:spacing w:after="30" w:line="276" w:lineRule="auto"/>
        <w:numPr>
          <w:ilvl w:val="0"/>
          <w:numId w:val="90"/>
        </w:numPr>
      </w:pPr>
      <w:r>
        <w:rPr>
          <w:rFonts w:ascii="Calibri" w:hAnsi="Calibri" w:eastAsia="Microsoft YaHei"/>
          <w:b w:val="0"/>
          <w:i w:val="0"/>
          <w:color w:val="203040"/>
          <w:sz w:val="20"/>
        </w:rPr>
        <w:t>按日核对订单、退款、折扣、现金和分成，按周复盘员工行为、客户体验与贡献利润；设置质量合规否决、异常追回和争议处理机制。</w:t>
      </w:r>
    </w:p>
    <w:p>
      <w:pPr>
        <w:pStyle w:val="Heading2"/>
        <w:keepNext/>
      </w:pPr>
      <w:r>
        <w:rPr>
          <w:rFonts w:ascii="Calibri" w:hAnsi="Calibri" w:eastAsia="Microsoft YaHei"/>
          <w:b/>
          <w:i w:val="0"/>
          <w:color w:val="2E74B5"/>
          <w:sz w:val="26"/>
        </w:rPr>
        <w:t>3. 试点后</w:t>
      </w:r>
    </w:p>
    <w:p>
      <w:pPr>
        <w:spacing w:after="30" w:line="276" w:lineRule="auto"/>
        <w:numPr>
          <w:ilvl w:val="0"/>
          <w:numId w:val="90"/>
        </w:numPr>
      </w:pPr>
      <w:r>
        <w:rPr>
          <w:rFonts w:ascii="Calibri" w:hAnsi="Calibri" w:eastAsia="Microsoft YaHei"/>
          <w:b w:val="0"/>
          <w:i w:val="0"/>
          <w:color w:val="203040"/>
          <w:sz w:val="20"/>
        </w:rPr>
        <w:t>比较试点前后增量流水、增量毛利、员工收入、老板利润、复购和投诉。只有员工与老板同时获得可持续改善，才进入多店复制。</w:t>
      </w:r>
    </w:p>
    <w:p>
      <w:pPr>
        <w:pStyle w:val="Heading2"/>
        <w:keepNext/>
      </w:pPr>
      <w:r>
        <w:rPr>
          <w:rFonts w:ascii="Calibri" w:hAnsi="Calibri" w:eastAsia="Microsoft YaHei"/>
          <w:b/>
          <w:i w:val="0"/>
          <w:color w:val="2E74B5"/>
          <w:sz w:val="26"/>
        </w:rPr>
        <w:t>4. 财务总监视角</w:t>
      </w:r>
    </w:p>
    <w:p>
      <w:pPr>
        <w:spacing w:after="30" w:line="276" w:lineRule="auto"/>
        <w:numPr>
          <w:ilvl w:val="0"/>
          <w:numId w:val="90"/>
        </w:numPr>
      </w:pPr>
      <w:r>
        <w:rPr>
          <w:rFonts w:ascii="Calibri" w:hAnsi="Calibri" w:eastAsia="Microsoft YaHei"/>
          <w:b w:val="0"/>
          <w:i w:val="0"/>
          <w:color w:val="203040"/>
          <w:sz w:val="20"/>
        </w:rPr>
        <w:t>这不是单纯薪酬方案，而是一套商业模式。财务要把分配、产能、营销、现金、内控和合规放在同一模型中，让“员工拿大头、老板更赚钱”由数据验证而不是靠口号。</w:t>
      </w:r>
    </w:p>
    <w:sectPr w:rsidR="00FC693F" w:rsidRPr="0006063C" w:rsidSect="00034616">
      <w:headerReference w:type="default" r:id="rId9"/>
      <w:footerReference w:type="default" r:id="rId10"/>
      <w:pgSz w:w="12240" w:h="15840"/>
      <w:pgMar w:top="1267" w:right="1440" w:bottom="1267"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64748B"/>
        <w:sz w:val="18"/>
      </w:rPr>
      <w:t xml:space="preserve">第 </w:t>
    </w:r>
    <w:r>
      <w:rPr>
        <w:rFonts w:ascii="Calibri" w:hAnsi="Calibri" w:eastAsia="Microsoft YaHei"/>
        <w:b w:val="0"/>
        <w:i w:val="0"/>
        <w:color w:val="64748B"/>
        <w:sz w:val="18"/>
      </w:rPr>
      <w:fldChar w:fldCharType="begin"/>
      <w:instrText xml:space="preserve">PAGE</w:instrText>
      <w:fldChar w:fldCharType="end"/>
    </w:r>
    <w:r>
      <w:rPr>
        <w:rFonts w:ascii="Calibri" w:hAnsi="Calibri" w:eastAsia="Microsoft YaHei"/>
        <w:b w:val="0"/>
        <w:i w:val="0"/>
        <w:color w:val="64748B"/>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YaHei"/>
        <w:b/>
        <w:i w:val="0"/>
        <w:color w:val="64748B"/>
        <w:sz w:val="18"/>
      </w:rPr>
      <w:t>齐昊老师 · 学员实战案例 第 45 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suff w:val="tab"/>
      <w:pPr>
        <w:tabs>
          <w:tab w:val="num" w:pos="540"/>
        </w:tabs>
        <w:ind w:left="540" w:hanging="270"/>
        <w:spacing w:after="80" w:line="300" w:lineRule="auto"/>
      </w:pPr>
      <w:rPr>
        <w:rFonts w:ascii="Calibri" w:hAnsi="Calibri" w:eastAsia="Microsoft YaHei"/>
      </w:rPr>
    </w:lvl>
  </w:abstractNum>
  <w:abstractNum w:abstractNumId="91">
    <w:multiLevelType w:val="singleLevel"/>
    <w:lvl w:ilvl="0">
      <w:start w:val="1"/>
      <w:numFmt w:val="decimal"/>
      <w:lvlText w:val="%1."/>
      <w:suff w:val="tab"/>
      <w:pPr>
        <w:tabs>
          <w:tab w:val="num" w:pos="540"/>
        </w:tabs>
        <w:ind w:left="540" w:hanging="270"/>
        <w:spacing w:after="80" w:line="300" w:lineRule="auto"/>
      </w:pPr>
      <w:rPr>
        <w:rFonts w:ascii="Calibri" w:hAnsi="Calibri" w:eastAsia="Microsoft YaHei"/>
      </w:rPr>
    </w:lvl>
  </w:abstract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88" w:lineRule="auto"/>
    </w:pPr>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Microsoft YaHe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Microsoft YaHe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Microsoft YaHe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齐昊老师学员实战案例第45集：“出6进4”服务业分配模式</dc:title>
  <dc:subject>财务管理与财务总监实战案例整理</dc:subject>
  <dc:creator>Codex</dc:creator>
  <cp:keywords>财务管理, 财务经理, 财务总监, 业财融合, 实战案例</cp:keywords>
  <dc:description>generated by python-docx</dc:description>
  <cp:lastModifiedBy/>
  <cp:revision>1</cp:revision>
  <dcterms:created xsi:type="dcterms:W3CDTF">2013-12-23T23:15:00Z</dcterms:created>
  <dcterms:modified xsi:type="dcterms:W3CDTF">2013-12-23T23:15:00Z</dcterms:modified>
  <cp:category/>
</cp:coreProperties>
</file>