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48 集｜A股与港股上市中的财务整改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库存、ERP、收入、成本、研发、持股平台与资金流水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2025-11-25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16:05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7576493786080103731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上市整改不是上市前临时把报表做漂亮，而是把业务、系统、账务、证据和治理统一起来。视频围绕七个难点展开：库房账实不符、ERP老旧与流程断裂、收入确认方式调整、成本核算不能还原产品构成、研发费归集不规范、员工持股平台风险，以及资金流水核查。财务总监的核心任务，是让数据从业务源头真实产生、在系统中完整流转、按一致政策进入报表，并能接受中介机构和监管审核；同时保护企业正常经营和团队长期利益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IPO财务整改项目管理逻辑结构化改写；不是逐字稿。视频由财务总监“叮当总”分享其A股与港股上市经历，本文保留七类问题主线并补充责任、证据和落地顺序。已参考财政部《企业会计准则第14号——收入》、中国证监会《监管规则适用指引——发行类第5号》及《境内企业境外发行证券和上市管理试行办法》。A股、港股及其他市场的具体口径并不完全相同，申报时应以企业事实、适用准则、交易所规则和中介机构最新专业意见为准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业务底层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库房盘点 → 账实一致 → 批次追溯 → 毛利可信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系统底座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ERP蓝图 → 主数据 → 业务财务一体 → 权限与日志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会计核心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收入控制权 → 成本还原 → 研发真实准确完整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治理核查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员工持股 → 资金流水 → 关联与体外循环 → 整改复测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最终目标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满足申报要求 → 提升经营效率 → 企业与团队双赢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一、案例全景：亲历A股与港股上市的七类财务难题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视频的七个节点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视频依次讨论库房管理、ERP系统、收入确认、成本核算、研发费归集、员工持股平台和资金流水核查。这七类问题相互影响，不是七个孤立的会计科目。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库存不准会扭曲成本与毛利；系统断裂会削弱收入和成本证据；股权与资金异常会进一步影响独立性、内控和信息披露。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财务整改的四层结构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第一层是业务真实，第二层是流程与系统可追溯，第三层是会计政策一致，第四层是治理与披露完整。只改凭证而不改前三层，问题会重复出现。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二、库房管理：先解决账实不符，才谈成本和毛利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视频中的问题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视频00:55指出库房管理混乱、账实不符，会影响成本核算和毛利率。上市核查中，库存数量和状态无法证实，会同时影响资产、成本和利润真实性。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先做一次可信的基准盘点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冻结收发时点，按仓库、货位、SKU、批次和状态盘点；区分良品、不良品、在制品、寄售、受托和第三方仓库存。差异由业务、仓储和财务共同查因。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盘盈盘亏不能直接一笔调整了事，要追溯单据延迟、BOM错误、单位换算、串货、报废、系统接口或舞弊风险。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建立持续控制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统一物料编码、收发权限和单据时点；设置循环盘点、库龄分析、报废审批、第三方函证/监盘和负库存预警。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把盘点差异率、长库龄占比、无动态库存、负库存和关账延迟纳入月度经营看板。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三、ERP升级：信息系统要按未来业务和申报要求前瞻设计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视频中的系统断点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视频02:28指出ERP老旧、业务流断裂，会影响业务发展和IPO。系统问题并非只影响效率，还会削弱数据完整性、权限控制和审计轨迹。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先画业务蓝图，再选软件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梳理从销售预测、订单、采购、生产、仓储、发运、验收、开票、回款到总账的完整链路，明确每一步的数据来源、责任人和控制点。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系统架构要考虑多主体、多工厂、多币种、多会计准则、合并报表和未来扩张，避免只解决当前一个部门的局部痛点。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数据治理与权限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建立客户、供应商、物料、BOM、价格和会计科目的主数据管理；限制创建、修改、审批和记账权限，保留变更日志和接口对账。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中国证监会发行类指引要求关注信息系统基础数据质量、业务财务数据一致性、权限和异常数据。ERP上线应同步准备可供核查的数据字典、权限表、测试和迁移证据。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四、收入确认：从开票或收款转向“控制权转移”的证据链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视频强调的变化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视频04:55指出收入确认方式需要调整，并以控制权转移作为核心判断。财政部《企业会计准则第14号——收入》以履约义务和商品/服务控制权转移为主线。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不能机械地以开票、发货或收款作为所有业务的统一确认时点，应根据合同条款和实际履约判断。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建立合同—履约—会计映射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识别客户与合同、履约义务、交易价格及分摊，再判断在某一时点还是某一时段履约。对验收、退货、质保、折扣、返利、代销和总额/净额问题单独分析。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每类收入政策都要对应合同、订单、出库/物流、签收/验收、发票和回款证据，系统字段与会计凭证可追溯。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政策变更要有完整底稿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若历史政策不恰当，应评估差错更正、比较期影响、税务差异和系统改造，不要只从申报期开始改变口径。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用月度截止测试、退货分析、期后回款和客户函证检验政策是否被一致执行。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五、成本核算：用平行结转思路还原每种产品的成本构成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视频中的方法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视频06:03提到采用平行结转法，便于还原产品成本构成。其核心价值是让材料、人工和制造费用按生产步骤归集并最终分配到完工产品，而不让半成品成本在流程中失真。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成本核算的基础条件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BOM、工艺路线、工时、机时、领退料、产量、在制品和费用中心必须真实。分配基础要与资源消耗具有因果关系并保持一致。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标准成本与实际成本并用时，应定期分析材料价差/量差、人工效率、产能利用和制造费用差异，并及时更新标准。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与经营分析连接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按产品、客户、工厂和订单观察毛利，解释原材料价格、产品组合、良率、产能和会计估计对毛利的影响。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核算方案要由生产、计划、仓储、IT和财务共同设计，不能由财务在月末用一个比例倒挤。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六、研发费归集：真实、准确、完整比追求“高比例”更重要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视频的核心要求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视频08:38强调研发费归集需真实、准确、完整，并建立规范流程。研发项目、人员和活动应具备真实商业与技术内容，不能为满足指标临时拼凑。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项目全周期证据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从立项、预算、人员、任务、领料、工时、试制、测试、变更、验收到结项形成一条证据链；共用人员、设备和材料要有合理一致的分摊依据。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研发与生产、售后、质量改进和客户定制要有清晰边界。异常工时、跨项目重复归集和期末集中调整应重点复核。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会计、税务和披露口径协调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研发费用会计核算、税前加计扣除、高新技术企业和上市披露可能存在口径差异，应分别建表、解释差异，不能用一套数字硬套所有目的。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资本化判断需要满足适用准则条件并有持续证据，不能为了利润目标随意改变。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七、员工持股平台：先看上市主体，再看退出、锁定和团队预期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视频提醒关注的三件事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视频11:01提出关注上市主体、退出机制和锁定期。员工持股如果投错主体、退出规则含糊或锁定期与员工预期不一致，容易从激励工具变成纠纷来源。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结构与权利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明确平台形式、普通合伙人/管理人、实际持有人、授予价格、资金来源、表决权、分红权、离职回购和继承安排，并核对是否存在代持或利益输送。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穿透展示持有人、份额与上市主体股份的对应关系，保证工商、协议、付款、账务和信息披露一致。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上市与退出情景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分别测算成功上市、延期、未上市、员工离职和公司回购情景；说明锁定期、税费、减持程序和价格机制。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与员工沟通时避免只宣传潜在收益，应同步说明流动性、估值和上市不确定性。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八、资金流水核查：解释交易背景，排查体外资金循环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视频中的核查重点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视频13:12强调资金流水要解释交易背景和原因，并排查体外资金循环。核查对象可能不仅是公司账户，还可能结合风险覆盖控股股东、实控人、董监高和关键岗位人员。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建立完整账户与异常标准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整理公司及相关人员账户清单，记录开户、用途、控制人和报告期。按金额、频率、对手方、日期接近、现金存取和无形服务采购等设置异常标准。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对大额或异常流水逐笔取得合同、发票、业务单据、对手方说明和资金去向；解释应与业务模式、财务记录和税务资料一致。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监管核查逻辑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中国证监会发行类指引关注资金内控缺陷、未入账账户、异常大额往来、关联方/客户/供应商往来、频繁取现，以及是否存在体外资金循环形成销售回款或承担成本费用。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不能通过临时归还、删除备注或统一口径掩盖问题。应先还原事实、评估影响、纠正账务和税务，再建立持续控制并复测。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九、A股与港股项目的共同底层与差异边界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共同底层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不论目标市场，业务真实性、内部控制、财务记录、股权清晰、系统数据和治理有效都是基础。高质量整改应同时改善经营，而不只是满足一次申报。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差异要交给适用规则判断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不同市场在会计准则、报告期、披露、上市门槛、公司治理和审核实践上存在差异。企业应建立差异清单，由熟悉目标市场的保荐/承销、律师和会计师确认。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境内企业赴境外上市还应判断中国证监会备案及其他适用要求，不能把A股经验原样复制到港股，或反向照搬。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十、企业与团队双赢：把上市整改变成治理升级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财务与法务要有前置话语权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视频强调上市过程中财务和法务的话语权。前置参与不是阻碍业务，而是在合同、系统、股权和交易发生前降低返工与合规成本。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分阶段路线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0—30天完成问题诊断、责任划分和重大风险止血；31—90天完成盘点、政策、系统和台账整改；90天后通过月结、盘点、权限复核和内部审计持续运行。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整改验收不以“文件已发布”为标准，而以数据一致、控制连续执行、异常得到闭环和中介可复核为标准。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双赢的衡量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企业得到更可信的数据、更快的关账、更低的舞弊与返工风险；团队得到清晰职责、规范激励和可迁移的专业能力。上市只是阶段性结果，治理能力才是长期资产。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48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齐昊老师学员实战案例第48集：A股与港股上市中的财务整改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