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Calibri" w:hAnsi="Calibri" w:eastAsia="Microsoft YaHei"/>
          <w:b/>
          <w:i w:val="0"/>
          <w:color w:val="A66B14"/>
          <w:sz w:val="22"/>
        </w:rPr>
        <w:t>财务管理实战案例</w:t>
      </w:r>
    </w:p>
    <w:p>
      <w:pPr>
        <w:spacing w:after="200"/>
        <w:jc w:val="center"/>
      </w:pPr>
      <w:r>
        <w:rPr>
          <w:rFonts w:ascii="Calibri" w:hAnsi="Calibri" w:eastAsia="Microsoft YaHei"/>
          <w:b/>
          <w:i w:val="0"/>
          <w:color w:val="1F4D78"/>
          <w:sz w:val="44"/>
        </w:rPr>
        <w:t>第 49 集｜合并报表：从底层逻辑到六步实操</w:t>
      </w:r>
    </w:p>
    <w:p>
      <w:pPr>
        <w:spacing w:after="520"/>
        <w:jc w:val="center"/>
      </w:pPr>
      <w:r>
        <w:rPr>
          <w:rFonts w:ascii="Calibri" w:hAnsi="Calibri" w:eastAsia="Microsoft YaHei"/>
          <w:b w:val="0"/>
          <w:i w:val="0"/>
          <w:color w:val="2E74B5"/>
          <w:sz w:val="28"/>
        </w:rPr>
        <w:t>集团视角、内部抵销、现金流合并与日本上市公司经验</w:t>
      </w:r>
    </w:p>
    <w:p>
      <w:pPr>
        <w:spacing w:after="60"/>
        <w:jc w:val="center"/>
      </w:pPr>
      <w:r>
        <w:rPr>
          <w:rFonts w:ascii="Calibri" w:hAnsi="Calibri" w:eastAsia="Microsoft YaHei"/>
          <w:b/>
          <w:i w:val="0"/>
          <w:color w:val="64748B"/>
          <w:sz w:val="21"/>
        </w:rPr>
        <w:t>主讲账号：</w:t>
      </w:r>
      <w:r>
        <w:rPr>
          <w:rFonts w:ascii="Calibri" w:hAnsi="Calibri" w:eastAsia="Microsoft YaHei"/>
          <w:b w:val="0"/>
          <w:i w:val="0"/>
          <w:color w:val="203040"/>
          <w:sz w:val="21"/>
        </w:rPr>
        <w:t>齐昊老师</w:t>
      </w:r>
    </w:p>
    <w:p>
      <w:pPr>
        <w:spacing w:after="60"/>
        <w:jc w:val="center"/>
      </w:pPr>
      <w:r>
        <w:rPr>
          <w:rFonts w:ascii="Calibri" w:hAnsi="Calibri" w:eastAsia="Microsoft YaHei"/>
          <w:b/>
          <w:i w:val="0"/>
          <w:color w:val="64748B"/>
          <w:sz w:val="21"/>
        </w:rPr>
        <w:t>发布时间：</w:t>
      </w:r>
      <w:r>
        <w:rPr>
          <w:rFonts w:ascii="Calibri" w:hAnsi="Calibri" w:eastAsia="Microsoft YaHei"/>
          <w:b w:val="0"/>
          <w:i w:val="0"/>
          <w:color w:val="203040"/>
          <w:sz w:val="21"/>
        </w:rPr>
        <w:t>2025-12-26</w:t>
      </w:r>
    </w:p>
    <w:p>
      <w:pPr>
        <w:spacing w:after="60"/>
        <w:jc w:val="center"/>
      </w:pPr>
      <w:r>
        <w:rPr>
          <w:rFonts w:ascii="Calibri" w:hAnsi="Calibri" w:eastAsia="Microsoft YaHei"/>
          <w:b/>
          <w:i w:val="0"/>
          <w:color w:val="64748B"/>
          <w:sz w:val="21"/>
        </w:rPr>
        <w:t>视频时长：</w:t>
      </w:r>
      <w:r>
        <w:rPr>
          <w:rFonts w:ascii="Calibri" w:hAnsi="Calibri" w:eastAsia="Microsoft YaHei"/>
          <w:b w:val="0"/>
          <w:i w:val="0"/>
          <w:color w:val="203040"/>
          <w:sz w:val="21"/>
        </w:rPr>
        <w:t>14:53</w:t>
      </w:r>
    </w:p>
    <w:p>
      <w:pPr>
        <w:spacing w:after="60"/>
        <w:jc w:val="center"/>
      </w:pPr>
      <w:r>
        <w:rPr>
          <w:rFonts w:ascii="Calibri" w:hAnsi="Calibri" w:eastAsia="Microsoft YaHei"/>
          <w:b/>
          <w:i w:val="0"/>
          <w:color w:val="64748B"/>
          <w:sz w:val="21"/>
        </w:rPr>
        <w:t>视频编号：</w:t>
      </w:r>
      <w:r>
        <w:rPr>
          <w:rFonts w:ascii="Calibri" w:hAnsi="Calibri" w:eastAsia="Microsoft YaHei"/>
          <w:b w:val="0"/>
          <w:i w:val="0"/>
          <w:color w:val="203040"/>
          <w:sz w:val="21"/>
        </w:rPr>
        <w:t>7587992286105980175</w:t>
      </w:r>
    </w:p>
    <w:p>
      <w:pPr>
        <w:spacing w:after="320"/>
      </w:pPr>
    </w:p>
    <w:p>
      <w:pPr>
        <w:shd w:fill="EAF3EE"/>
        <w:pBdr>
          <w:left w:val="single" w:sz="18" w:space="8" w:color="2F6B4F"/>
        </w:pBdr>
        <w:spacing w:before="100" w:after="140" w:line="288" w:lineRule="auto"/>
        <w:ind w:left="173" w:right="86"/>
      </w:pPr>
      <w:r>
        <w:rPr>
          <w:rFonts w:ascii="Calibri" w:hAnsi="Calibri" w:eastAsia="Microsoft YaHei"/>
          <w:b/>
          <w:i w:val="0"/>
          <w:color w:val="2F6B4F"/>
          <w:sz w:val="21"/>
        </w:rPr>
        <w:t xml:space="preserve">核心结论  </w:t>
      </w:r>
      <w:r>
        <w:rPr>
          <w:rFonts w:ascii="Calibri" w:hAnsi="Calibri" w:eastAsia="Microsoft YaHei"/>
          <w:b w:val="0"/>
          <w:i w:val="0"/>
          <w:color w:val="203040"/>
          <w:sz w:val="21"/>
        </w:rPr>
        <w:t>合并报表不是把各公司报表简单相加，而是站在企业集团这个单一会计主体的视角，把母子公司数据先统一、汇总，再消除集团内部重复确认的投资、权益、往来、交易、损益和现金流。真正拉开财务人员能力差距的，是能否看懂交易实质、组织好合并资料、建立抵销逻辑、定位差异并把流程沉淀为可复用的底稿与制度。</w:t>
      </w:r>
    </w:p>
    <w:p>
      <w:pPr>
        <w:shd w:fill="F4F6F9"/>
        <w:pBdr>
          <w:left w:val="single" w:sz="18" w:space="8" w:color="64748B"/>
        </w:pBdr>
        <w:spacing w:before="100" w:after="140" w:line="288" w:lineRule="auto"/>
        <w:ind w:left="173" w:right="86"/>
      </w:pPr>
      <w:r>
        <w:rPr>
          <w:rFonts w:ascii="Calibri" w:hAnsi="Calibri" w:eastAsia="Microsoft YaHei"/>
          <w:b/>
          <w:i w:val="0"/>
          <w:color w:val="64748B"/>
          <w:sz w:val="21"/>
        </w:rPr>
        <w:t xml:space="preserve">整理口径  </w:t>
      </w:r>
      <w:r>
        <w:rPr>
          <w:rFonts w:ascii="Calibri" w:hAnsi="Calibri" w:eastAsia="Microsoft YaHei"/>
          <w:b w:val="0"/>
          <w:i w:val="0"/>
          <w:color w:val="203040"/>
          <w:sz w:val="21"/>
        </w:rPr>
        <w:t>依据公开视频页面中的标题、时长、时间轴和AI章节要点进行静音核对，并结合合并报表实务结构化改写；不是逐字稿。视频主线包括合并报表的集团视角、六步实操、一位学员在日本上市公司的工作经验，以及日本企业的制度、预算、培训与职场关系观察。本文同步参考财政部《企业会计准则第33号——合并财务报表》及2025年年报工作通知：合并范围以控制为基础，编制时将集团视为一个会计主体，统一会计政策并抵销内部交易影响。不同国家或集团适用的具体准则、税务和披露要求，应由专业人员按企业实际复核。</w:t>
      </w:r>
    </w:p>
    <w:p>
      <w:r>
        <w:br w:type="page"/>
      </w:r>
    </w:p>
    <w:p>
      <w:pPr>
        <w:pStyle w:val="Heading1"/>
        <w:keepNext/>
      </w:pPr>
      <w:r>
        <w:rPr>
          <w:rFonts w:ascii="Calibri" w:hAnsi="Calibri" w:eastAsia="Microsoft YaHei"/>
          <w:b/>
          <w:i w:val="0"/>
          <w:color w:val="2E74B5"/>
          <w:sz w:val="32"/>
        </w:rPr>
        <w:t>一页总览</w:t>
      </w: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80" w:type="dxa"/>
              <w:start w:w="120" w:type="dxa"/>
              <w:bottom w:w="80" w:type="dxa"/>
              <w:end w:w="120" w:type="dxa"/>
            </w:tcMar>
            <w:vAlign w:val="center"/>
          </w:tcPr>
          <w:p>
            <w:pPr>
              <w:jc w:val="center"/>
            </w:pPr>
            <w:r>
              <w:rPr>
                <w:rFonts w:ascii="Calibri" w:hAnsi="Calibri" w:eastAsia="Microsoft YaHei"/>
                <w:b/>
                <w:i w:val="0"/>
                <w:color w:val="1F4D78"/>
                <w:sz w:val="21"/>
              </w:rPr>
              <w:t>节点</w:t>
            </w:r>
          </w:p>
        </w:tc>
        <w:tc>
          <w:tcPr>
            <w:tcW w:type="dxa" w:w="7056"/>
            <w:shd w:fill="E8EEF5"/>
            <w:tcMar>
              <w:top w:w="80" w:type="dxa"/>
              <w:start w:w="120" w:type="dxa"/>
              <w:bottom w:w="80" w:type="dxa"/>
              <w:end w:w="120" w:type="dxa"/>
            </w:tcMar>
            <w:vAlign w:val="center"/>
          </w:tcPr>
          <w:p>
            <w:pPr>
              <w:jc w:val="center"/>
            </w:pPr>
            <w:r>
              <w:rPr>
                <w:rFonts w:ascii="Calibri" w:hAnsi="Calibri" w:eastAsia="Microsoft YaHei"/>
                <w:b/>
                <w:i w:val="0"/>
                <w:color w:val="1F4D78"/>
                <w:sz w:val="21"/>
              </w:rPr>
              <w:t>核心内容</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底层逻辑</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确定控制范围 → 统一口径 → 汇总数据 → 抵销内部影响 → 对外呈现集团整体</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六步实操</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统一政策科目 → 识别交易实质 → 收集合并资料 → 编制抵销分录 → 勾稽复核 → 合并现金流</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高频难点</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内部往来不平 → 未实现损益 → 外币折算 → 准则差异 → 现金流抵销</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能力升级</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会编报表 → 会追差异 → 会建模板 → 会定规则 → 会组织集团关账</w:t>
            </w:r>
          </w:p>
        </w:tc>
      </w:tr>
    </w:tbl>
    <w:p>
      <w:pPr>
        <w:shd w:fill="FFF7E8"/>
        <w:pBdr>
          <w:left w:val="single" w:sz="18" w:space="8" w:color="A66B14"/>
        </w:pBdr>
        <w:spacing w:before="100" w:after="140" w:line="288" w:lineRule="auto"/>
        <w:ind w:left="173" w:right="86"/>
      </w:pPr>
      <w:r>
        <w:rPr>
          <w:rFonts w:ascii="Calibri" w:hAnsi="Calibri" w:eastAsia="Microsoft YaHei"/>
          <w:b/>
          <w:i w:val="0"/>
          <w:color w:val="A66B14"/>
          <w:sz w:val="21"/>
        </w:rPr>
        <w:t xml:space="preserve">逻辑主线  </w:t>
      </w:r>
      <w:r>
        <w:rPr>
          <w:rFonts w:ascii="Calibri" w:hAnsi="Calibri" w:eastAsia="Microsoft YaHei"/>
          <w:b w:val="0"/>
          <w:i w:val="0"/>
          <w:color w:val="203040"/>
          <w:sz w:val="21"/>
        </w:rPr>
        <w:t>识别商业事实 → 找到管理根因 → 把财务控制嵌入业务流程 → 用数据支持经营决策</w:t>
      </w:r>
    </w:p>
    <w:p>
      <w:pPr>
        <w:pStyle w:val="Heading1"/>
        <w:keepNext/>
      </w:pPr>
      <w:r>
        <w:rPr>
          <w:rFonts w:ascii="Calibri" w:hAnsi="Calibri" w:eastAsia="Microsoft YaHei"/>
          <w:b/>
          <w:i w:val="0"/>
          <w:color w:val="2E74B5"/>
          <w:sz w:val="32"/>
        </w:rPr>
        <w:t>一、为什么合并报表能力能提升财务人的职业价值</w:t>
      </w:r>
    </w:p>
    <w:p>
      <w:pPr>
        <w:pStyle w:val="Heading2"/>
        <w:keepNext/>
      </w:pPr>
      <w:r>
        <w:rPr>
          <w:rFonts w:ascii="Calibri" w:hAnsi="Calibri" w:eastAsia="Microsoft YaHei"/>
          <w:b/>
          <w:i w:val="0"/>
          <w:color w:val="2E74B5"/>
          <w:sz w:val="26"/>
        </w:rPr>
        <w:t>1. 它检验的是综合能力，而非单点会计处理</w:t>
      </w:r>
    </w:p>
    <w:p>
      <w:pPr>
        <w:spacing w:after="16" w:line="259" w:lineRule="auto"/>
        <w:numPr>
          <w:ilvl w:val="0"/>
          <w:numId w:val="90"/>
        </w:numPr>
      </w:pPr>
      <w:r>
        <w:rPr>
          <w:rFonts w:ascii="Calibri" w:hAnsi="Calibri" w:eastAsia="Microsoft YaHei"/>
          <w:b w:val="0"/>
          <w:i w:val="0"/>
          <w:color w:val="203040"/>
          <w:sz w:val="19"/>
        </w:rPr>
        <w:t>视频00:00以“懂合并报表为什么工资可能翻倍”引入。合并工作同时考验准则理解、业务判断、数据治理、跨公司协调、系统能力和项目管理，远超单体记账。</w:t>
      </w:r>
    </w:p>
    <w:p>
      <w:pPr>
        <w:spacing w:after="16" w:line="259" w:lineRule="auto"/>
        <w:numPr>
          <w:ilvl w:val="0"/>
          <w:numId w:val="90"/>
        </w:numPr>
      </w:pPr>
      <w:r>
        <w:rPr>
          <w:rFonts w:ascii="Calibri" w:hAnsi="Calibri" w:eastAsia="Microsoft YaHei"/>
          <w:b w:val="0"/>
          <w:i w:val="0"/>
          <w:color w:val="203040"/>
          <w:sz w:val="19"/>
        </w:rPr>
        <w:t>财务人员不仅要知道分录怎么写，还要解释合并范围、交易实质、差异来源和报表影响，并推动各主体按统一节奏交数。</w:t>
      </w:r>
    </w:p>
    <w:p>
      <w:pPr>
        <w:pStyle w:val="Heading2"/>
        <w:keepNext/>
      </w:pPr>
      <w:r>
        <w:rPr>
          <w:rFonts w:ascii="Calibri" w:hAnsi="Calibri" w:eastAsia="Microsoft YaHei"/>
          <w:b/>
          <w:i w:val="0"/>
          <w:color w:val="2E74B5"/>
          <w:sz w:val="26"/>
        </w:rPr>
        <w:t>2. 它让财务从核算岗位走向集团管理视角</w:t>
      </w:r>
    </w:p>
    <w:p>
      <w:pPr>
        <w:spacing w:after="16" w:line="259" w:lineRule="auto"/>
        <w:numPr>
          <w:ilvl w:val="0"/>
          <w:numId w:val="90"/>
        </w:numPr>
      </w:pPr>
      <w:r>
        <w:rPr>
          <w:rFonts w:ascii="Calibri" w:hAnsi="Calibri" w:eastAsia="Microsoft YaHei"/>
          <w:b w:val="0"/>
          <w:i w:val="0"/>
          <w:color w:val="203040"/>
          <w:sz w:val="19"/>
        </w:rPr>
        <w:t>单体报表回答“一家公司发生了什么”，合并报表回答“整个集团对外拥有多少资产、承担多少负债、赚了多少利润、产生多少现金流”。</w:t>
      </w:r>
    </w:p>
    <w:p>
      <w:pPr>
        <w:spacing w:after="16" w:line="259" w:lineRule="auto"/>
        <w:numPr>
          <w:ilvl w:val="0"/>
          <w:numId w:val="90"/>
        </w:numPr>
      </w:pPr>
      <w:r>
        <w:rPr>
          <w:rFonts w:ascii="Calibri" w:hAnsi="Calibri" w:eastAsia="Microsoft YaHei"/>
          <w:b w:val="0"/>
          <w:i w:val="0"/>
          <w:color w:val="203040"/>
          <w:sz w:val="19"/>
        </w:rPr>
        <w:t>能从集团角度发现重复交易、资金占用、低效结构和异常差异，才具备财务经理、集团报表负责人乃至财务总监所需的全局视角。</w:t>
      </w:r>
    </w:p>
    <w:p>
      <w:pPr>
        <w:pStyle w:val="Heading2"/>
        <w:keepNext/>
      </w:pPr>
      <w:r>
        <w:rPr>
          <w:rFonts w:ascii="Calibri" w:hAnsi="Calibri" w:eastAsia="Microsoft YaHei"/>
          <w:b/>
          <w:i w:val="0"/>
          <w:color w:val="2E74B5"/>
          <w:sz w:val="26"/>
        </w:rPr>
        <w:t>3. 高价值来自可复制的交付能力</w:t>
      </w:r>
    </w:p>
    <w:p>
      <w:pPr>
        <w:spacing w:after="16" w:line="259" w:lineRule="auto"/>
        <w:numPr>
          <w:ilvl w:val="0"/>
          <w:numId w:val="90"/>
        </w:numPr>
      </w:pPr>
      <w:r>
        <w:rPr>
          <w:rFonts w:ascii="Calibri" w:hAnsi="Calibri" w:eastAsia="Microsoft YaHei"/>
          <w:b w:val="0"/>
          <w:i w:val="0"/>
          <w:color w:val="203040"/>
          <w:sz w:val="19"/>
        </w:rPr>
        <w:t>偶尔把一套报表做平不等于掌握合并。更高层级的能力是建立统一包、抵销规则、差异清单、复核证据和关账日历，让团队稳定重复交付。</w:t>
      </w:r>
    </w:p>
    <w:p>
      <w:pPr>
        <w:pStyle w:val="Heading1"/>
        <w:keepNext/>
      </w:pPr>
      <w:r>
        <w:rPr>
          <w:rFonts w:ascii="Calibri" w:hAnsi="Calibri" w:eastAsia="Microsoft YaHei"/>
          <w:b/>
          <w:i w:val="0"/>
          <w:color w:val="2E74B5"/>
          <w:sz w:val="32"/>
        </w:rPr>
        <w:t>二、底层逻辑：把集团当作一个会计主体</w:t>
      </w:r>
    </w:p>
    <w:p>
      <w:pPr>
        <w:pStyle w:val="Heading2"/>
        <w:keepNext/>
      </w:pPr>
      <w:r>
        <w:rPr>
          <w:rFonts w:ascii="Calibri" w:hAnsi="Calibri" w:eastAsia="Microsoft YaHei"/>
          <w:b/>
          <w:i w:val="0"/>
          <w:color w:val="2E74B5"/>
          <w:sz w:val="26"/>
        </w:rPr>
        <w:t>1. 先确定哪些主体应纳入</w:t>
      </w:r>
    </w:p>
    <w:p>
      <w:pPr>
        <w:spacing w:after="16" w:line="259" w:lineRule="auto"/>
        <w:numPr>
          <w:ilvl w:val="0"/>
          <w:numId w:val="90"/>
        </w:numPr>
      </w:pPr>
      <w:r>
        <w:rPr>
          <w:rFonts w:ascii="Calibri" w:hAnsi="Calibri" w:eastAsia="Microsoft YaHei"/>
          <w:b w:val="0"/>
          <w:i w:val="0"/>
          <w:color w:val="203040"/>
          <w:sz w:val="19"/>
        </w:rPr>
        <w:t>财政部准则要求合并范围以控制为基础。实务上要持续判断集团是否拥有对被投资方的权力、是否享有可变回报，以及是否能够运用权力影响回报。</w:t>
      </w:r>
    </w:p>
    <w:p>
      <w:pPr>
        <w:spacing w:after="16" w:line="259" w:lineRule="auto"/>
        <w:numPr>
          <w:ilvl w:val="0"/>
          <w:numId w:val="90"/>
        </w:numPr>
      </w:pPr>
      <w:r>
        <w:rPr>
          <w:rFonts w:ascii="Calibri" w:hAnsi="Calibri" w:eastAsia="Microsoft YaHei"/>
          <w:b w:val="0"/>
          <w:i w:val="0"/>
          <w:color w:val="203040"/>
          <w:sz w:val="19"/>
        </w:rPr>
        <w:t>股权比例是重要线索，但不能替代控制判断；协议安排、潜在表决权、结构化主体和事实变化都可能影响结论。</w:t>
      </w:r>
    </w:p>
    <w:p>
      <w:pPr>
        <w:pStyle w:val="Heading2"/>
        <w:keepNext/>
      </w:pPr>
      <w:r>
        <w:rPr>
          <w:rFonts w:ascii="Calibri" w:hAnsi="Calibri" w:eastAsia="Microsoft YaHei"/>
          <w:b/>
          <w:i w:val="0"/>
          <w:color w:val="2E74B5"/>
          <w:sz w:val="26"/>
        </w:rPr>
        <w:t>2. 再把不同公司的数据变成同一种语言</w:t>
      </w:r>
    </w:p>
    <w:p>
      <w:pPr>
        <w:spacing w:after="16" w:line="259" w:lineRule="auto"/>
        <w:numPr>
          <w:ilvl w:val="0"/>
          <w:numId w:val="90"/>
        </w:numPr>
      </w:pPr>
      <w:r>
        <w:rPr>
          <w:rFonts w:ascii="Calibri" w:hAnsi="Calibri" w:eastAsia="Microsoft YaHei"/>
          <w:b w:val="0"/>
          <w:i w:val="0"/>
          <w:color w:val="203040"/>
          <w:sz w:val="19"/>
        </w:rPr>
        <w:t>统一会计政策、会计期间、科目映射、币种折算规则和重要性标准。若子公司政策或期间不同，应先调整后汇总，避免同一业务出现多种口径。</w:t>
      </w:r>
    </w:p>
    <w:p>
      <w:pPr>
        <w:spacing w:after="16" w:line="259" w:lineRule="auto"/>
        <w:numPr>
          <w:ilvl w:val="0"/>
          <w:numId w:val="90"/>
        </w:numPr>
      </w:pPr>
      <w:r>
        <w:rPr>
          <w:rFonts w:ascii="Calibri" w:hAnsi="Calibri" w:eastAsia="Microsoft YaHei"/>
          <w:b w:val="0"/>
          <w:i w:val="0"/>
          <w:color w:val="203040"/>
          <w:sz w:val="19"/>
        </w:rPr>
        <w:t>统一并不只是改科目名称，还包括确认时点、计量方法、估计参数和披露口径。</w:t>
      </w:r>
    </w:p>
    <w:p>
      <w:pPr>
        <w:pStyle w:val="Heading2"/>
        <w:keepNext/>
      </w:pPr>
      <w:r>
        <w:rPr>
          <w:rFonts w:ascii="Calibri" w:hAnsi="Calibri" w:eastAsia="Microsoft YaHei"/>
          <w:b/>
          <w:i w:val="0"/>
          <w:color w:val="2E74B5"/>
          <w:sz w:val="26"/>
        </w:rPr>
        <w:t>3. 简单相加只是中间步骤</w:t>
      </w:r>
    </w:p>
    <w:p>
      <w:pPr>
        <w:spacing w:after="16" w:line="259" w:lineRule="auto"/>
        <w:numPr>
          <w:ilvl w:val="0"/>
          <w:numId w:val="90"/>
        </w:numPr>
      </w:pPr>
      <w:r>
        <w:rPr>
          <w:rFonts w:ascii="Calibri" w:hAnsi="Calibri" w:eastAsia="Microsoft YaHei"/>
          <w:b w:val="0"/>
          <w:i w:val="0"/>
          <w:color w:val="203040"/>
          <w:sz w:val="19"/>
        </w:rPr>
        <w:t>视频01:21概括合并逻辑：先把子公司报表相加，再剔除重复部分。更准确地说，是先完成范围与口径统一，再汇总母子公司项目并抵销集团内部影响。</w:t>
      </w:r>
    </w:p>
    <w:p>
      <w:pPr>
        <w:spacing w:after="16" w:line="259" w:lineRule="auto"/>
        <w:numPr>
          <w:ilvl w:val="0"/>
          <w:numId w:val="90"/>
        </w:numPr>
      </w:pPr>
      <w:r>
        <w:rPr>
          <w:rFonts w:ascii="Calibri" w:hAnsi="Calibri" w:eastAsia="Microsoft YaHei"/>
          <w:b w:val="0"/>
          <w:i w:val="0"/>
          <w:color w:val="203040"/>
          <w:sz w:val="19"/>
        </w:rPr>
        <w:t>集团内部的债权债务、收入成本和资金流，对单体公司可能真实存在，但从集团整体看不能形成对外资产、负债、收入、利润或现金流。</w:t>
      </w:r>
    </w:p>
    <w:p>
      <w:pPr>
        <w:pStyle w:val="Heading1"/>
        <w:keepNext/>
      </w:pPr>
      <w:r>
        <w:rPr>
          <w:rFonts w:ascii="Calibri" w:hAnsi="Calibri" w:eastAsia="Microsoft YaHei"/>
          <w:b/>
          <w:i w:val="0"/>
          <w:color w:val="2E74B5"/>
          <w:sz w:val="32"/>
        </w:rPr>
        <w:t>三、六步实操：从合并准备到现金流量表</w:t>
      </w:r>
    </w:p>
    <w:p>
      <w:pPr>
        <w:pStyle w:val="Heading2"/>
        <w:keepNext/>
      </w:pPr>
      <w:r>
        <w:rPr>
          <w:rFonts w:ascii="Calibri" w:hAnsi="Calibri" w:eastAsia="Microsoft YaHei"/>
          <w:b/>
          <w:i w:val="0"/>
          <w:color w:val="2E74B5"/>
          <w:sz w:val="26"/>
        </w:rPr>
        <w:t>1. 第一步：统一科目、政策、期间和主数据</w:t>
      </w:r>
    </w:p>
    <w:p>
      <w:pPr>
        <w:spacing w:after="16" w:line="259" w:lineRule="auto"/>
        <w:numPr>
          <w:ilvl w:val="0"/>
          <w:numId w:val="90"/>
        </w:numPr>
      </w:pPr>
      <w:r>
        <w:rPr>
          <w:rFonts w:ascii="Calibri" w:hAnsi="Calibri" w:eastAsia="Microsoft YaHei"/>
          <w:b w:val="0"/>
          <w:i w:val="0"/>
          <w:color w:val="203040"/>
          <w:sz w:val="19"/>
        </w:rPr>
        <w:t>建立集团科目与各主体科目的映射表，统一客户、供应商、关联方、币种和组织编码；明确报表日、关账截止和调整原则。</w:t>
      </w:r>
    </w:p>
    <w:p>
      <w:pPr>
        <w:spacing w:after="16" w:line="259" w:lineRule="auto"/>
        <w:numPr>
          <w:ilvl w:val="0"/>
          <w:numId w:val="90"/>
        </w:numPr>
      </w:pPr>
      <w:r>
        <w:rPr>
          <w:rFonts w:ascii="Calibri" w:hAnsi="Calibri" w:eastAsia="Microsoft YaHei"/>
          <w:b w:val="0"/>
          <w:i w:val="0"/>
          <w:color w:val="203040"/>
          <w:sz w:val="19"/>
        </w:rPr>
        <w:t>输出物包括会计政策差异表、科目映射表、关联方清单和合并范围变动表。</w:t>
      </w:r>
    </w:p>
    <w:p>
      <w:pPr>
        <w:pStyle w:val="Heading2"/>
        <w:keepNext/>
      </w:pPr>
      <w:r>
        <w:rPr>
          <w:rFonts w:ascii="Calibri" w:hAnsi="Calibri" w:eastAsia="Microsoft YaHei"/>
          <w:b/>
          <w:i w:val="0"/>
          <w:color w:val="2E74B5"/>
          <w:sz w:val="26"/>
        </w:rPr>
        <w:t>2. 第二步：理解交易实质并标记内部关系</w:t>
      </w:r>
    </w:p>
    <w:p>
      <w:pPr>
        <w:spacing w:after="16" w:line="259" w:lineRule="auto"/>
        <w:numPr>
          <w:ilvl w:val="0"/>
          <w:numId w:val="90"/>
        </w:numPr>
      </w:pPr>
      <w:r>
        <w:rPr>
          <w:rFonts w:ascii="Calibri" w:hAnsi="Calibri" w:eastAsia="Microsoft YaHei"/>
          <w:b w:val="0"/>
          <w:i w:val="0"/>
          <w:color w:val="203040"/>
          <w:sz w:val="19"/>
        </w:rPr>
        <w:t>逐类识别投资、采购销售、资金拆借、服务费、资产调拨、股利和担保等内部交易，确认交易双方、金额、期间、税额、结算状态和底层凭证。</w:t>
      </w:r>
    </w:p>
    <w:p>
      <w:pPr>
        <w:spacing w:after="16" w:line="259" w:lineRule="auto"/>
        <w:numPr>
          <w:ilvl w:val="0"/>
          <w:numId w:val="90"/>
        </w:numPr>
      </w:pPr>
      <w:r>
        <w:rPr>
          <w:rFonts w:ascii="Calibri" w:hAnsi="Calibri" w:eastAsia="Microsoft YaHei"/>
          <w:b w:val="0"/>
          <w:i w:val="0"/>
          <w:color w:val="203040"/>
          <w:sz w:val="19"/>
        </w:rPr>
        <w:t>不要一看到“关联方”就机械抵销；先判断交易是否发生在合并范围内、是否属于同一报告期间，以及是否形成未实现损益。</w:t>
      </w:r>
    </w:p>
    <w:p>
      <w:pPr>
        <w:pStyle w:val="Heading2"/>
        <w:keepNext/>
      </w:pPr>
      <w:r>
        <w:rPr>
          <w:rFonts w:ascii="Calibri" w:hAnsi="Calibri" w:eastAsia="Microsoft YaHei"/>
          <w:b/>
          <w:i w:val="0"/>
          <w:color w:val="2E74B5"/>
          <w:sz w:val="26"/>
        </w:rPr>
        <w:t>3. 第三步：收集并校验合并报表资料</w:t>
      </w:r>
    </w:p>
    <w:p>
      <w:pPr>
        <w:spacing w:after="16" w:line="259" w:lineRule="auto"/>
        <w:numPr>
          <w:ilvl w:val="0"/>
          <w:numId w:val="90"/>
        </w:numPr>
      </w:pPr>
      <w:r>
        <w:rPr>
          <w:rFonts w:ascii="Calibri" w:hAnsi="Calibri" w:eastAsia="Microsoft YaHei"/>
          <w:b w:val="0"/>
          <w:i w:val="0"/>
          <w:color w:val="203040"/>
          <w:sz w:val="19"/>
        </w:rPr>
        <w:t>要求各主体提交标准化合并包：主表、附表、内部往来明细、权益变动、现金流、外币折算和重大事项说明。</w:t>
      </w:r>
    </w:p>
    <w:p>
      <w:pPr>
        <w:spacing w:after="16" w:line="259" w:lineRule="auto"/>
        <w:numPr>
          <w:ilvl w:val="0"/>
          <w:numId w:val="90"/>
        </w:numPr>
      </w:pPr>
      <w:r>
        <w:rPr>
          <w:rFonts w:ascii="Calibri" w:hAnsi="Calibri" w:eastAsia="Microsoft YaHei"/>
          <w:b w:val="0"/>
          <w:i w:val="0"/>
          <w:color w:val="203040"/>
          <w:sz w:val="19"/>
        </w:rPr>
        <w:t>先完成单体报表勾稽、试算平衡、期初衔接和内部对账，再进入抵销；否则错误会在合并层被放大。</w:t>
      </w:r>
    </w:p>
    <w:p>
      <w:pPr>
        <w:pStyle w:val="Heading2"/>
        <w:keepNext/>
      </w:pPr>
      <w:r>
        <w:rPr>
          <w:rFonts w:ascii="Calibri" w:hAnsi="Calibri" w:eastAsia="Microsoft YaHei"/>
          <w:b/>
          <w:i w:val="0"/>
          <w:color w:val="2E74B5"/>
          <w:sz w:val="26"/>
        </w:rPr>
        <w:t>4. 第四步：编制调整与抵销分录</w:t>
      </w:r>
    </w:p>
    <w:p>
      <w:pPr>
        <w:spacing w:after="16" w:line="259" w:lineRule="auto"/>
        <w:numPr>
          <w:ilvl w:val="0"/>
          <w:numId w:val="90"/>
        </w:numPr>
      </w:pPr>
      <w:r>
        <w:rPr>
          <w:rFonts w:ascii="Calibri" w:hAnsi="Calibri" w:eastAsia="Microsoft YaHei"/>
          <w:b w:val="0"/>
          <w:i w:val="0"/>
          <w:color w:val="203040"/>
          <w:sz w:val="19"/>
        </w:rPr>
        <w:t>常见分录包括长期股权投资与子公司权益抵销、内部往来抵销、内部收入成本抵销、未实现内部损益抵销，以及相关折旧摊销和减值影响调整。</w:t>
      </w:r>
    </w:p>
    <w:p>
      <w:pPr>
        <w:spacing w:after="16" w:line="259" w:lineRule="auto"/>
        <w:numPr>
          <w:ilvl w:val="0"/>
          <w:numId w:val="90"/>
        </w:numPr>
      </w:pPr>
      <w:r>
        <w:rPr>
          <w:rFonts w:ascii="Calibri" w:hAnsi="Calibri" w:eastAsia="Microsoft YaHei"/>
          <w:b w:val="0"/>
          <w:i w:val="0"/>
          <w:color w:val="203040"/>
          <w:sz w:val="19"/>
        </w:rPr>
        <w:t>每笔分录应标明事项、主体、期间、底稿索引、依据、责任人和复核人，形成可以追溯的审计链。</w:t>
      </w:r>
    </w:p>
    <w:p>
      <w:pPr>
        <w:pStyle w:val="Heading2"/>
        <w:keepNext/>
      </w:pPr>
      <w:r>
        <w:rPr>
          <w:rFonts w:ascii="Calibri" w:hAnsi="Calibri" w:eastAsia="Microsoft YaHei"/>
          <w:b/>
          <w:i w:val="0"/>
          <w:color w:val="2E74B5"/>
          <w:sz w:val="26"/>
        </w:rPr>
        <w:t>5. 第五步：生成合并主表并做交叉复核</w:t>
      </w:r>
    </w:p>
    <w:p>
      <w:pPr>
        <w:spacing w:after="16" w:line="259" w:lineRule="auto"/>
        <w:numPr>
          <w:ilvl w:val="0"/>
          <w:numId w:val="90"/>
        </w:numPr>
      </w:pPr>
      <w:r>
        <w:rPr>
          <w:rFonts w:ascii="Calibri" w:hAnsi="Calibri" w:eastAsia="Microsoft YaHei"/>
          <w:b w:val="0"/>
          <w:i w:val="0"/>
          <w:color w:val="203040"/>
          <w:sz w:val="19"/>
        </w:rPr>
        <w:t>复核资产负债表是否平衡，利润表与权益变动是否衔接，期末未分配利润是否连续，少数股东权益和损益是否一致，附注与主表是否对应。</w:t>
      </w:r>
    </w:p>
    <w:p>
      <w:pPr>
        <w:spacing w:after="16" w:line="259" w:lineRule="auto"/>
        <w:numPr>
          <w:ilvl w:val="0"/>
          <w:numId w:val="90"/>
        </w:numPr>
      </w:pPr>
      <w:r>
        <w:rPr>
          <w:rFonts w:ascii="Calibri" w:hAnsi="Calibri" w:eastAsia="Microsoft YaHei"/>
          <w:b w:val="0"/>
          <w:i w:val="0"/>
          <w:color w:val="203040"/>
          <w:sz w:val="19"/>
        </w:rPr>
        <w:t>对重大波动、负数项目、零差异后突然反向、历史长期未清项设置异常阈值，不能只以“报表平了”作为完成标准。</w:t>
      </w:r>
    </w:p>
    <w:p>
      <w:pPr>
        <w:pStyle w:val="Heading2"/>
        <w:keepNext/>
      </w:pPr>
      <w:r>
        <w:rPr>
          <w:rFonts w:ascii="Calibri" w:hAnsi="Calibri" w:eastAsia="Microsoft YaHei"/>
          <w:b/>
          <w:i w:val="0"/>
          <w:color w:val="2E74B5"/>
          <w:sz w:val="26"/>
        </w:rPr>
        <w:t>6. 第六步：编制并抵销合并现金流量表</w:t>
      </w:r>
    </w:p>
    <w:p>
      <w:pPr>
        <w:spacing w:after="16" w:line="259" w:lineRule="auto"/>
        <w:numPr>
          <w:ilvl w:val="0"/>
          <w:numId w:val="90"/>
        </w:numPr>
      </w:pPr>
      <w:r>
        <w:rPr>
          <w:rFonts w:ascii="Calibri" w:hAnsi="Calibri" w:eastAsia="Microsoft YaHei"/>
          <w:b w:val="0"/>
          <w:i w:val="0"/>
          <w:color w:val="203040"/>
          <w:sz w:val="19"/>
        </w:rPr>
        <w:t>将各主体现金流按统一类别汇总，并抵销集团内部资金往来、内部购销结算、股利和其他内部现金流。</w:t>
      </w:r>
    </w:p>
    <w:p>
      <w:pPr>
        <w:spacing w:after="16" w:line="259" w:lineRule="auto"/>
        <w:numPr>
          <w:ilvl w:val="0"/>
          <w:numId w:val="90"/>
        </w:numPr>
      </w:pPr>
      <w:r>
        <w:rPr>
          <w:rFonts w:ascii="Calibri" w:hAnsi="Calibri" w:eastAsia="Microsoft YaHei"/>
          <w:b w:val="0"/>
          <w:i w:val="0"/>
          <w:color w:val="203040"/>
          <w:sz w:val="19"/>
        </w:rPr>
        <w:t>核对期初期末现金变动、汇率变动影响、资产负债表现金余额和现金流量表净增加额，必要时建立内部现金流双方确认表。</w:t>
      </w:r>
    </w:p>
    <w:p>
      <w:pPr>
        <w:pStyle w:val="Heading1"/>
        <w:keepNext/>
      </w:pPr>
      <w:r>
        <w:rPr>
          <w:rFonts w:ascii="Calibri" w:hAnsi="Calibri" w:eastAsia="Microsoft YaHei"/>
          <w:b/>
          <w:i w:val="0"/>
          <w:color w:val="2E74B5"/>
          <w:sz w:val="32"/>
        </w:rPr>
        <w:t>四、高频抵销事项：真正难在交易识别与差异追踪</w:t>
      </w:r>
    </w:p>
    <w:p>
      <w:pPr>
        <w:pStyle w:val="Heading2"/>
        <w:keepNext/>
      </w:pPr>
      <w:r>
        <w:rPr>
          <w:rFonts w:ascii="Calibri" w:hAnsi="Calibri" w:eastAsia="Microsoft YaHei"/>
          <w:b/>
          <w:i w:val="0"/>
          <w:color w:val="2E74B5"/>
          <w:sz w:val="26"/>
        </w:rPr>
        <w:t>1. 投资与权益</w:t>
      </w:r>
    </w:p>
    <w:p>
      <w:pPr>
        <w:spacing w:after="16" w:line="259" w:lineRule="auto"/>
        <w:numPr>
          <w:ilvl w:val="0"/>
          <w:numId w:val="90"/>
        </w:numPr>
      </w:pPr>
      <w:r>
        <w:rPr>
          <w:rFonts w:ascii="Calibri" w:hAnsi="Calibri" w:eastAsia="Microsoft YaHei"/>
          <w:b w:val="0"/>
          <w:i w:val="0"/>
          <w:color w:val="203040"/>
          <w:sz w:val="19"/>
        </w:rPr>
        <w:t>抵销母公司对子公司的长期股权投资与母公司享有的子公司权益份额，并正确呈现少数股东权益；购买日评估、商誉和后续权益变动需单独跟踪。</w:t>
      </w:r>
    </w:p>
    <w:p>
      <w:pPr>
        <w:spacing w:after="16" w:line="259" w:lineRule="auto"/>
        <w:numPr>
          <w:ilvl w:val="0"/>
          <w:numId w:val="90"/>
        </w:numPr>
      </w:pPr>
      <w:r>
        <w:rPr>
          <w:rFonts w:ascii="Calibri" w:hAnsi="Calibri" w:eastAsia="Microsoft YaHei"/>
          <w:b w:val="0"/>
          <w:i w:val="0"/>
          <w:color w:val="203040"/>
          <w:sz w:val="19"/>
        </w:rPr>
        <w:t>集团结构变化、分步收购、处置或丧失控制时，不能沿用日常抵销模板，应按交易时点重新判断。</w:t>
      </w:r>
    </w:p>
    <w:p>
      <w:pPr>
        <w:pStyle w:val="Heading2"/>
        <w:keepNext/>
      </w:pPr>
      <w:r>
        <w:rPr>
          <w:rFonts w:ascii="Calibri" w:hAnsi="Calibri" w:eastAsia="Microsoft YaHei"/>
          <w:b/>
          <w:i w:val="0"/>
          <w:color w:val="2E74B5"/>
          <w:sz w:val="26"/>
        </w:rPr>
        <w:t>2. 内部往来与内部交易</w:t>
      </w:r>
    </w:p>
    <w:p>
      <w:pPr>
        <w:spacing w:after="16" w:line="259" w:lineRule="auto"/>
        <w:numPr>
          <w:ilvl w:val="0"/>
          <w:numId w:val="90"/>
        </w:numPr>
      </w:pPr>
      <w:r>
        <w:rPr>
          <w:rFonts w:ascii="Calibri" w:hAnsi="Calibri" w:eastAsia="Microsoft YaHei"/>
          <w:b w:val="0"/>
          <w:i w:val="0"/>
          <w:color w:val="203040"/>
          <w:sz w:val="19"/>
        </w:rPr>
        <w:t>应收与应付、预收与预付、其他往来、内部借款及利息要双方配对。差异通常来自时间性、税额、币种、挂账主体或入账科目不同。</w:t>
      </w:r>
    </w:p>
    <w:p>
      <w:pPr>
        <w:spacing w:after="16" w:line="259" w:lineRule="auto"/>
        <w:numPr>
          <w:ilvl w:val="0"/>
          <w:numId w:val="90"/>
        </w:numPr>
      </w:pPr>
      <w:r>
        <w:rPr>
          <w:rFonts w:ascii="Calibri" w:hAnsi="Calibri" w:eastAsia="Microsoft YaHei"/>
          <w:b w:val="0"/>
          <w:i w:val="0"/>
          <w:color w:val="203040"/>
          <w:sz w:val="19"/>
        </w:rPr>
        <w:t>内部销售收入与成本要抵销；期末仍留在集团内的存货、固定资产或无形资产所含未实现内部损益，还要继续调整后续折旧、摊销或结转。</w:t>
      </w:r>
    </w:p>
    <w:p>
      <w:pPr>
        <w:pStyle w:val="Heading2"/>
        <w:keepNext/>
      </w:pPr>
      <w:r>
        <w:rPr>
          <w:rFonts w:ascii="Calibri" w:hAnsi="Calibri" w:eastAsia="Microsoft YaHei"/>
          <w:b/>
          <w:i w:val="0"/>
          <w:color w:val="2E74B5"/>
          <w:sz w:val="26"/>
        </w:rPr>
        <w:t>3. 现金流与非现金事项</w:t>
      </w:r>
    </w:p>
    <w:p>
      <w:pPr>
        <w:spacing w:after="16" w:line="259" w:lineRule="auto"/>
        <w:numPr>
          <w:ilvl w:val="0"/>
          <w:numId w:val="90"/>
        </w:numPr>
      </w:pPr>
      <w:r>
        <w:rPr>
          <w:rFonts w:ascii="Calibri" w:hAnsi="Calibri" w:eastAsia="Microsoft YaHei"/>
          <w:b w:val="0"/>
          <w:i w:val="0"/>
          <w:color w:val="203040"/>
          <w:sz w:val="19"/>
        </w:rPr>
        <w:t>内部收付款必须同时识别双方现金流类别，避免一方列经营、一方列投资或筹资；非现金交易不得误入现金流量表。</w:t>
      </w:r>
    </w:p>
    <w:p>
      <w:pPr>
        <w:spacing w:after="16" w:line="259" w:lineRule="auto"/>
        <w:numPr>
          <w:ilvl w:val="0"/>
          <w:numId w:val="90"/>
        </w:numPr>
      </w:pPr>
      <w:r>
        <w:rPr>
          <w:rFonts w:ascii="Calibri" w:hAnsi="Calibri" w:eastAsia="Microsoft YaHei"/>
          <w:b w:val="0"/>
          <w:i w:val="0"/>
          <w:color w:val="203040"/>
          <w:sz w:val="19"/>
        </w:rPr>
        <w:t>内部股利、资金归集、票据结算和跨币种资金调拨容易造成现金流抵销差异，应单独设置交易代码。</w:t>
      </w:r>
    </w:p>
    <w:p>
      <w:pPr>
        <w:pStyle w:val="Heading1"/>
        <w:keepNext/>
      </w:pPr>
      <w:r>
        <w:rPr>
          <w:rFonts w:ascii="Calibri" w:hAnsi="Calibri" w:eastAsia="Microsoft YaHei"/>
          <w:b/>
          <w:i w:val="0"/>
          <w:color w:val="2E74B5"/>
          <w:sz w:val="32"/>
        </w:rPr>
        <w:t>五、学员案例：日本上市公司里的合并报表工作</w:t>
      </w:r>
    </w:p>
    <w:p>
      <w:pPr>
        <w:pStyle w:val="Heading2"/>
        <w:keepNext/>
      </w:pPr>
      <w:r>
        <w:rPr>
          <w:rFonts w:ascii="Calibri" w:hAnsi="Calibri" w:eastAsia="Microsoft YaHei"/>
          <w:b/>
          <w:i w:val="0"/>
          <w:color w:val="2E74B5"/>
          <w:sz w:val="26"/>
        </w:rPr>
        <w:t>1. 大量资料与多层核对</w:t>
      </w:r>
    </w:p>
    <w:p>
      <w:pPr>
        <w:spacing w:after="16" w:line="259" w:lineRule="auto"/>
        <w:numPr>
          <w:ilvl w:val="0"/>
          <w:numId w:val="90"/>
        </w:numPr>
      </w:pPr>
      <w:r>
        <w:rPr>
          <w:rFonts w:ascii="Calibri" w:hAnsi="Calibri" w:eastAsia="Microsoft YaHei"/>
          <w:b w:val="0"/>
          <w:i w:val="0"/>
          <w:color w:val="203040"/>
          <w:sz w:val="19"/>
        </w:rPr>
        <w:t>视频08:05进入学员案例。上市公司合并工作往往涉及多主体、大量底稿和严格时点，重点不是手工速度，而是对资料版本、责任人、截止时间和复核状态进行管理。</w:t>
      </w:r>
    </w:p>
    <w:p>
      <w:pPr>
        <w:spacing w:after="16" w:line="259" w:lineRule="auto"/>
        <w:numPr>
          <w:ilvl w:val="0"/>
          <w:numId w:val="90"/>
        </w:numPr>
      </w:pPr>
      <w:r>
        <w:rPr>
          <w:rFonts w:ascii="Calibri" w:hAnsi="Calibri" w:eastAsia="Microsoft YaHei"/>
          <w:b w:val="0"/>
          <w:i w:val="0"/>
          <w:color w:val="203040"/>
          <w:sz w:val="19"/>
        </w:rPr>
        <w:t>建议使用合并包清单和问题台账记录“谁缺什么、差异多少、何时关闭”，避免问题散落在邮件和聊天中。</w:t>
      </w:r>
    </w:p>
    <w:p>
      <w:pPr>
        <w:pStyle w:val="Heading2"/>
        <w:keepNext/>
      </w:pPr>
      <w:r>
        <w:rPr>
          <w:rFonts w:ascii="Calibri" w:hAnsi="Calibri" w:eastAsia="Microsoft YaHei"/>
          <w:b/>
          <w:i w:val="0"/>
          <w:color w:val="2E74B5"/>
          <w:sz w:val="26"/>
        </w:rPr>
        <w:t>2. 准则调整与内部交易差异</w:t>
      </w:r>
    </w:p>
    <w:p>
      <w:pPr>
        <w:spacing w:after="16" w:line="259" w:lineRule="auto"/>
        <w:numPr>
          <w:ilvl w:val="0"/>
          <w:numId w:val="90"/>
        </w:numPr>
      </w:pPr>
      <w:r>
        <w:rPr>
          <w:rFonts w:ascii="Calibri" w:hAnsi="Calibri" w:eastAsia="Microsoft YaHei"/>
          <w:b w:val="0"/>
          <w:i w:val="0"/>
          <w:color w:val="203040"/>
          <w:sz w:val="19"/>
        </w:rPr>
        <w:t>跨国集团可能需要把当地准则或集团口径调整到报告准则，并处理不同币种、科目体系和披露要求。调整分录应区分当地账、集团账和合并层。</w:t>
      </w:r>
    </w:p>
    <w:p>
      <w:pPr>
        <w:spacing w:after="16" w:line="259" w:lineRule="auto"/>
        <w:numPr>
          <w:ilvl w:val="0"/>
          <w:numId w:val="90"/>
        </w:numPr>
      </w:pPr>
      <w:r>
        <w:rPr>
          <w:rFonts w:ascii="Calibri" w:hAnsi="Calibri" w:eastAsia="Microsoft YaHei"/>
          <w:b w:val="0"/>
          <w:i w:val="0"/>
          <w:color w:val="203040"/>
          <w:sz w:val="19"/>
        </w:rPr>
        <w:t>内部往来不平不能直接用单边“挤差”。应追溯双方凭证、截止性、汇率、税额与未达项目，明确当期调整和下期反转。</w:t>
      </w:r>
    </w:p>
    <w:p>
      <w:pPr>
        <w:pStyle w:val="Heading2"/>
        <w:keepNext/>
      </w:pPr>
      <w:r>
        <w:rPr>
          <w:rFonts w:ascii="Calibri" w:hAnsi="Calibri" w:eastAsia="Microsoft YaHei"/>
          <w:b/>
          <w:i w:val="0"/>
          <w:color w:val="2E74B5"/>
          <w:sz w:val="26"/>
        </w:rPr>
        <w:t>3. 从解决问题到搭建模板</w:t>
      </w:r>
    </w:p>
    <w:p>
      <w:pPr>
        <w:spacing w:after="16" w:line="259" w:lineRule="auto"/>
        <w:numPr>
          <w:ilvl w:val="0"/>
          <w:numId w:val="90"/>
        </w:numPr>
      </w:pPr>
      <w:r>
        <w:rPr>
          <w:rFonts w:ascii="Calibri" w:hAnsi="Calibri" w:eastAsia="Microsoft YaHei"/>
          <w:b w:val="0"/>
          <w:i w:val="0"/>
          <w:color w:val="203040"/>
          <w:sz w:val="19"/>
        </w:rPr>
        <w:t>学员经验表明，能快速定位差异后，下一步应把判断逻辑做成映射表、校验公式和标准模板，帮助其他同事减少重复错误。</w:t>
      </w:r>
    </w:p>
    <w:p>
      <w:pPr>
        <w:spacing w:after="16" w:line="259" w:lineRule="auto"/>
        <w:numPr>
          <w:ilvl w:val="0"/>
          <w:numId w:val="90"/>
        </w:numPr>
      </w:pPr>
      <w:r>
        <w:rPr>
          <w:rFonts w:ascii="Calibri" w:hAnsi="Calibri" w:eastAsia="Microsoft YaHei"/>
          <w:b w:val="0"/>
          <w:i w:val="0"/>
          <w:color w:val="203040"/>
          <w:sz w:val="19"/>
        </w:rPr>
        <w:t>模板的价值在于固化口径和证据，但不能替代专业判断；重大或新型交易仍需回到交易实质和适用准则。</w:t>
      </w:r>
    </w:p>
    <w:p>
      <w:pPr>
        <w:pStyle w:val="Heading1"/>
        <w:keepNext/>
      </w:pPr>
      <w:r>
        <w:rPr>
          <w:rFonts w:ascii="Calibri" w:hAnsi="Calibri" w:eastAsia="Microsoft YaHei"/>
          <w:b/>
          <w:i w:val="0"/>
          <w:color w:val="2E74B5"/>
          <w:sz w:val="32"/>
        </w:rPr>
        <w:t>六、日本企业财务管理观察：制度、预算、培训与关系</w:t>
      </w:r>
    </w:p>
    <w:p>
      <w:pPr>
        <w:pStyle w:val="Heading2"/>
        <w:keepNext/>
      </w:pPr>
      <w:r>
        <w:rPr>
          <w:rFonts w:ascii="Calibri" w:hAnsi="Calibri" w:eastAsia="Microsoft YaHei"/>
          <w:b/>
          <w:i w:val="0"/>
          <w:color w:val="2E74B5"/>
          <w:sz w:val="26"/>
        </w:rPr>
        <w:t>1. 严格制度与预算约束</w:t>
      </w:r>
    </w:p>
    <w:p>
      <w:pPr>
        <w:spacing w:after="16" w:line="259" w:lineRule="auto"/>
        <w:numPr>
          <w:ilvl w:val="0"/>
          <w:numId w:val="90"/>
        </w:numPr>
      </w:pPr>
      <w:r>
        <w:rPr>
          <w:rFonts w:ascii="Calibri" w:hAnsi="Calibri" w:eastAsia="Microsoft YaHei"/>
          <w:b w:val="0"/>
          <w:i w:val="0"/>
          <w:color w:val="203040"/>
          <w:sz w:val="19"/>
        </w:rPr>
        <w:t>视频12:05提到日本公司的规章制度较严格、重视预算。对财务负责人而言，制度要落到授权、预算责任、偏差说明和纠偏动作，而不是只形成手册。</w:t>
      </w:r>
    </w:p>
    <w:p>
      <w:pPr>
        <w:spacing w:after="16" w:line="259" w:lineRule="auto"/>
        <w:numPr>
          <w:ilvl w:val="0"/>
          <w:numId w:val="90"/>
        </w:numPr>
      </w:pPr>
      <w:r>
        <w:rPr>
          <w:rFonts w:ascii="Calibri" w:hAnsi="Calibri" w:eastAsia="Microsoft YaHei"/>
          <w:b w:val="0"/>
          <w:i w:val="0"/>
          <w:color w:val="203040"/>
          <w:sz w:val="19"/>
        </w:rPr>
        <w:t>预算与实际差异应追到业务驱动因素，区分价格、数量、结构、时间和一次性影响，并形成滚动预测。</w:t>
      </w:r>
    </w:p>
    <w:p>
      <w:pPr>
        <w:pStyle w:val="Heading2"/>
        <w:keepNext/>
      </w:pPr>
      <w:r>
        <w:rPr>
          <w:rFonts w:ascii="Calibri" w:hAnsi="Calibri" w:eastAsia="Microsoft YaHei"/>
          <w:b/>
          <w:i w:val="0"/>
          <w:color w:val="2E74B5"/>
          <w:sz w:val="26"/>
        </w:rPr>
        <w:t>2. 培训与能力传承</w:t>
      </w:r>
    </w:p>
    <w:p>
      <w:pPr>
        <w:spacing w:after="16" w:line="259" w:lineRule="auto"/>
        <w:numPr>
          <w:ilvl w:val="0"/>
          <w:numId w:val="90"/>
        </w:numPr>
      </w:pPr>
      <w:r>
        <w:rPr>
          <w:rFonts w:ascii="Calibri" w:hAnsi="Calibri" w:eastAsia="Microsoft YaHei"/>
          <w:b w:val="0"/>
          <w:i w:val="0"/>
          <w:color w:val="203040"/>
          <w:sz w:val="19"/>
        </w:rPr>
        <w:t>企业重视培训，有助于统一政策和工作方法。合并岗位尤其需要案例库、底稿示范、复核清单和轮岗机制，降低对单一关键人员的依赖。</w:t>
      </w:r>
    </w:p>
    <w:p>
      <w:pPr>
        <w:pStyle w:val="Heading2"/>
        <w:keepNext/>
      </w:pPr>
      <w:r>
        <w:rPr>
          <w:rFonts w:ascii="Calibri" w:hAnsi="Calibri" w:eastAsia="Microsoft YaHei"/>
          <w:b/>
          <w:i w:val="0"/>
          <w:color w:val="2E74B5"/>
          <w:sz w:val="26"/>
        </w:rPr>
        <w:t>3. 复杂人际关系与职场边界</w:t>
      </w:r>
    </w:p>
    <w:p>
      <w:pPr>
        <w:spacing w:after="16" w:line="259" w:lineRule="auto"/>
        <w:numPr>
          <w:ilvl w:val="0"/>
          <w:numId w:val="90"/>
        </w:numPr>
      </w:pPr>
      <w:r>
        <w:rPr>
          <w:rFonts w:ascii="Calibri" w:hAnsi="Calibri" w:eastAsia="Microsoft YaHei"/>
          <w:b w:val="0"/>
          <w:i w:val="0"/>
          <w:color w:val="203040"/>
          <w:sz w:val="19"/>
        </w:rPr>
        <w:t>视频同时提到人际关系复杂，以及女性可能遭遇职场骚扰。这类问题不应被视为“适应文化”的代价，应保留事实证据并使用公司合规、申诉或当地法律渠道。</w:t>
      </w:r>
    </w:p>
    <w:p>
      <w:pPr>
        <w:spacing w:after="16" w:line="259" w:lineRule="auto"/>
        <w:numPr>
          <w:ilvl w:val="0"/>
          <w:numId w:val="90"/>
        </w:numPr>
      </w:pPr>
      <w:r>
        <w:rPr>
          <w:rFonts w:ascii="Calibri" w:hAnsi="Calibri" w:eastAsia="Microsoft YaHei"/>
          <w:b w:val="0"/>
          <w:i w:val="0"/>
          <w:color w:val="203040"/>
          <w:sz w:val="19"/>
        </w:rPr>
        <w:t>财务管理者要建立尊重、专业和可升级的沟通环境；业务分歧应围绕事实、标准和风险，不能转化为人身压力。</w:t>
      </w:r>
    </w:p>
    <w:p>
      <w:pPr>
        <w:pStyle w:val="Heading1"/>
        <w:keepNext/>
      </w:pPr>
      <w:r>
        <w:rPr>
          <w:rFonts w:ascii="Calibri" w:hAnsi="Calibri" w:eastAsia="Microsoft YaHei"/>
          <w:b/>
          <w:i w:val="0"/>
          <w:color w:val="2E74B5"/>
          <w:sz w:val="32"/>
        </w:rPr>
        <w:t>七、把个人经验变成集团合并管理体系</w:t>
      </w:r>
    </w:p>
    <w:p>
      <w:pPr>
        <w:pStyle w:val="Heading2"/>
        <w:keepNext/>
      </w:pPr>
      <w:r>
        <w:rPr>
          <w:rFonts w:ascii="Calibri" w:hAnsi="Calibri" w:eastAsia="Microsoft YaHei"/>
          <w:b/>
          <w:i w:val="0"/>
          <w:color w:val="2E74B5"/>
          <w:sz w:val="26"/>
        </w:rPr>
        <w:t>1. 四张基础表</w:t>
      </w:r>
    </w:p>
    <w:p>
      <w:pPr>
        <w:spacing w:after="16" w:line="259" w:lineRule="auto"/>
        <w:numPr>
          <w:ilvl w:val="0"/>
          <w:numId w:val="90"/>
        </w:numPr>
      </w:pPr>
      <w:r>
        <w:rPr>
          <w:rFonts w:ascii="Calibri" w:hAnsi="Calibri" w:eastAsia="Microsoft YaHei"/>
          <w:b w:val="0"/>
          <w:i w:val="0"/>
          <w:color w:val="203040"/>
          <w:sz w:val="19"/>
        </w:rPr>
        <w:t>合并范围表：主体、持股、控制依据、纳入时点；政策差异表：准则、科目、估计和调整；内部交易表：双方、类型、金额、币种和差异；抵销分录表：逻辑、依据、影响和复核。</w:t>
      </w:r>
    </w:p>
    <w:p>
      <w:pPr>
        <w:spacing w:after="16" w:line="259" w:lineRule="auto"/>
        <w:numPr>
          <w:ilvl w:val="0"/>
          <w:numId w:val="90"/>
        </w:numPr>
      </w:pPr>
      <w:r>
        <w:rPr>
          <w:rFonts w:ascii="Calibri" w:hAnsi="Calibri" w:eastAsia="Microsoft YaHei"/>
          <w:b w:val="0"/>
          <w:i w:val="0"/>
          <w:color w:val="203040"/>
          <w:sz w:val="19"/>
        </w:rPr>
        <w:t>四张表应有版本、负责人、截止日和变更记录，并与关账日历联动。</w:t>
      </w:r>
    </w:p>
    <w:p>
      <w:pPr>
        <w:pStyle w:val="Heading2"/>
        <w:keepNext/>
      </w:pPr>
      <w:r>
        <w:rPr>
          <w:rFonts w:ascii="Calibri" w:hAnsi="Calibri" w:eastAsia="Microsoft YaHei"/>
          <w:b/>
          <w:i w:val="0"/>
          <w:color w:val="2E74B5"/>
          <w:sz w:val="26"/>
        </w:rPr>
        <w:t>2. 三道复核</w:t>
      </w:r>
    </w:p>
    <w:p>
      <w:pPr>
        <w:spacing w:after="16" w:line="259" w:lineRule="auto"/>
        <w:numPr>
          <w:ilvl w:val="0"/>
          <w:numId w:val="90"/>
        </w:numPr>
      </w:pPr>
      <w:r>
        <w:rPr>
          <w:rFonts w:ascii="Calibri" w:hAnsi="Calibri" w:eastAsia="Microsoft YaHei"/>
          <w:b w:val="0"/>
          <w:i w:val="0"/>
          <w:color w:val="203040"/>
          <w:sz w:val="19"/>
        </w:rPr>
        <w:t>第一道是报送主体自检，确保单体数据和内部交易确认；第二道是合并人员逻辑复核；第三道是负责人对范围、重大判断、异常波动和披露完整性复核。</w:t>
      </w:r>
    </w:p>
    <w:p>
      <w:pPr>
        <w:pStyle w:val="Heading2"/>
        <w:keepNext/>
      </w:pPr>
      <w:r>
        <w:rPr>
          <w:rFonts w:ascii="Calibri" w:hAnsi="Calibri" w:eastAsia="Microsoft YaHei"/>
          <w:b/>
          <w:i w:val="0"/>
          <w:color w:val="2E74B5"/>
          <w:sz w:val="26"/>
        </w:rPr>
        <w:t>3. 差异闭环</w:t>
      </w:r>
    </w:p>
    <w:p>
      <w:pPr>
        <w:spacing w:after="16" w:line="259" w:lineRule="auto"/>
        <w:numPr>
          <w:ilvl w:val="0"/>
          <w:numId w:val="90"/>
        </w:numPr>
      </w:pPr>
      <w:r>
        <w:rPr>
          <w:rFonts w:ascii="Calibri" w:hAnsi="Calibri" w:eastAsia="Microsoft YaHei"/>
          <w:b w:val="0"/>
          <w:i w:val="0"/>
          <w:color w:val="203040"/>
          <w:sz w:val="19"/>
        </w:rPr>
        <w:t>将差异分为口径、时间、币种、科目、金额和主体六类，规定临时处理、根因整改和下期验证。重复差异要修改流程或系统，不应每月手工修补。</w:t>
      </w:r>
    </w:p>
    <w:p>
      <w:pPr>
        <w:pStyle w:val="Heading1"/>
        <w:keepNext/>
      </w:pPr>
      <w:r>
        <w:rPr>
          <w:rFonts w:ascii="Calibri" w:hAnsi="Calibri" w:eastAsia="Microsoft YaHei"/>
          <w:b/>
          <w:i w:val="0"/>
          <w:color w:val="2E74B5"/>
          <w:sz w:val="32"/>
        </w:rPr>
        <w:t>八、财务人的合并报表能力进阶路线</w:t>
      </w:r>
    </w:p>
    <w:p>
      <w:pPr>
        <w:pStyle w:val="Heading2"/>
        <w:keepNext/>
      </w:pPr>
      <w:r>
        <w:rPr>
          <w:rFonts w:ascii="Calibri" w:hAnsi="Calibri" w:eastAsia="Microsoft YaHei"/>
          <w:b/>
          <w:i w:val="0"/>
          <w:color w:val="2E74B5"/>
          <w:sz w:val="26"/>
        </w:rPr>
        <w:t>1. 第一阶段：做对单项抵销</w:t>
      </w:r>
    </w:p>
    <w:p>
      <w:pPr>
        <w:spacing w:after="16" w:line="259" w:lineRule="auto"/>
        <w:numPr>
          <w:ilvl w:val="0"/>
          <w:numId w:val="90"/>
        </w:numPr>
      </w:pPr>
      <w:r>
        <w:rPr>
          <w:rFonts w:ascii="Calibri" w:hAnsi="Calibri" w:eastAsia="Microsoft YaHei"/>
          <w:b w:val="0"/>
          <w:i w:val="0"/>
          <w:color w:val="203040"/>
          <w:sz w:val="19"/>
        </w:rPr>
        <w:t>掌握控制判断、投资权益、内部往来、购销与未实现损益、现金流等基础模块，能解释每笔分录为何影响集团而不影响单体。</w:t>
      </w:r>
    </w:p>
    <w:p>
      <w:pPr>
        <w:pStyle w:val="Heading2"/>
        <w:keepNext/>
      </w:pPr>
      <w:r>
        <w:rPr>
          <w:rFonts w:ascii="Calibri" w:hAnsi="Calibri" w:eastAsia="Microsoft YaHei"/>
          <w:b/>
          <w:i w:val="0"/>
          <w:color w:val="2E74B5"/>
          <w:sz w:val="26"/>
        </w:rPr>
        <w:t>2. 第二阶段：独立组织月度或年度合并</w:t>
      </w:r>
    </w:p>
    <w:p>
      <w:pPr>
        <w:spacing w:after="16" w:line="259" w:lineRule="auto"/>
        <w:numPr>
          <w:ilvl w:val="0"/>
          <w:numId w:val="90"/>
        </w:numPr>
      </w:pPr>
      <w:r>
        <w:rPr>
          <w:rFonts w:ascii="Calibri" w:hAnsi="Calibri" w:eastAsia="Microsoft YaHei"/>
          <w:b w:val="0"/>
          <w:i w:val="0"/>
          <w:color w:val="203040"/>
          <w:sz w:val="19"/>
        </w:rPr>
        <w:t>建立关账日历、合并包、问题台账和复核清单，能协调多主体按时交付，并对重大差异形成书面结论。</w:t>
      </w:r>
    </w:p>
    <w:p>
      <w:pPr>
        <w:pStyle w:val="Heading2"/>
        <w:keepNext/>
      </w:pPr>
      <w:r>
        <w:rPr>
          <w:rFonts w:ascii="Calibri" w:hAnsi="Calibri" w:eastAsia="Microsoft YaHei"/>
          <w:b/>
          <w:i w:val="0"/>
          <w:color w:val="2E74B5"/>
          <w:sz w:val="26"/>
        </w:rPr>
        <w:t>3. 第三阶段：建设系统和团队</w:t>
      </w:r>
    </w:p>
    <w:p>
      <w:pPr>
        <w:spacing w:after="16" w:line="259" w:lineRule="auto"/>
        <w:numPr>
          <w:ilvl w:val="0"/>
          <w:numId w:val="90"/>
        </w:numPr>
      </w:pPr>
      <w:r>
        <w:rPr>
          <w:rFonts w:ascii="Calibri" w:hAnsi="Calibri" w:eastAsia="Microsoft YaHei"/>
          <w:b w:val="0"/>
          <w:i w:val="0"/>
          <w:color w:val="203040"/>
          <w:sz w:val="19"/>
        </w:rPr>
        <w:t>推动主数据、关联交易、科目映射和抵销规则系统化；培训子公司财务，形成标准、例外和升级机制。</w:t>
      </w:r>
    </w:p>
    <w:p>
      <w:pPr>
        <w:spacing w:after="16" w:line="259" w:lineRule="auto"/>
        <w:numPr>
          <w:ilvl w:val="0"/>
          <w:numId w:val="90"/>
        </w:numPr>
      </w:pPr>
      <w:r>
        <w:rPr>
          <w:rFonts w:ascii="Calibri" w:hAnsi="Calibri" w:eastAsia="Microsoft YaHei"/>
          <w:b w:val="0"/>
          <w:i w:val="0"/>
          <w:color w:val="203040"/>
          <w:sz w:val="19"/>
        </w:rPr>
        <w:t>最终目标不是个人成为“救火专家”，而是让集团合并流程稳定、透明、可审计并支持经营决策。</w:t>
      </w:r>
    </w:p>
    <w:sectPr w:rsidR="00FC693F" w:rsidRPr="0006063C" w:rsidSect="00034616">
      <w:headerReference w:type="default" r:id="rId9"/>
      <w:footerReference w:type="default" r:id="rId10"/>
      <w:pgSz w:w="12240" w:h="15840"/>
      <w:pgMar w:top="1037" w:right="1440" w:bottom="1037"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64748B"/>
        <w:sz w:val="18"/>
      </w:rPr>
      <w:t xml:space="preserve">第 </w:t>
    </w:r>
    <w:r>
      <w:rPr>
        <w:rFonts w:ascii="Calibri" w:hAnsi="Calibri" w:eastAsia="Microsoft YaHei"/>
        <w:b w:val="0"/>
        <w:i w:val="0"/>
        <w:color w:val="64748B"/>
        <w:sz w:val="18"/>
      </w:rPr>
      <w:fldChar w:fldCharType="begin"/>
      <w:instrText xml:space="preserve">PAGE</w:instrText>
      <w:fldChar w:fldCharType="end"/>
    </w:r>
    <w:r>
      <w:rPr>
        <w:rFonts w:ascii="Calibri" w:hAnsi="Calibri" w:eastAsia="Microsoft YaHei"/>
        <w:b w:val="0"/>
        <w:i w:val="0"/>
        <w:color w:val="64748B"/>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YaHei"/>
        <w:b/>
        <w:i w:val="0"/>
        <w:color w:val="64748B"/>
        <w:sz w:val="18"/>
      </w:rPr>
      <w:t>齐昊老师 · 学员实战案例 第 49 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suff w:val="tab"/>
      <w:pPr>
        <w:tabs>
          <w:tab w:val="num" w:pos="540"/>
        </w:tabs>
        <w:ind w:left="540" w:hanging="270"/>
        <w:spacing w:after="80" w:line="300" w:lineRule="auto"/>
      </w:pPr>
      <w:rPr>
        <w:rFonts w:ascii="Calibri" w:hAnsi="Calibri" w:eastAsia="Microsoft YaHei"/>
      </w:rPr>
    </w:lvl>
  </w:abstractNum>
  <w:abstractNum w:abstractNumId="91">
    <w:multiLevelType w:val="singleLevel"/>
    <w:lvl w:ilvl="0">
      <w:start w:val="1"/>
      <w:numFmt w:val="decimal"/>
      <w:lvlText w:val="%1."/>
      <w:suff w:val="tab"/>
      <w:pPr>
        <w:tabs>
          <w:tab w:val="num" w:pos="540"/>
        </w:tabs>
        <w:ind w:left="540" w:hanging="270"/>
        <w:spacing w:after="80" w:line="300" w:lineRule="auto"/>
      </w:pPr>
      <w:rPr>
        <w:rFonts w:ascii="Calibri" w:hAnsi="Calibri" w:eastAsia="Microsoft YaHei"/>
      </w:rPr>
    </w:lvl>
  </w:abstract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eastAsia="Microsoft YaHei"/>
      <w:b/>
      <w:bCs/>
      <w:color w:val="2E74B5"/>
      <w:sz w:val="29"/>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Calibri" w:hAnsi="Calibri" w:eastAsia="Microsoft YaHe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齐昊老师学员实战案例第49集：合并报表：从底层逻辑到六步实操</dc:title>
  <dc:subject>财务管理与财务总监实战案例整理</dc:subject>
  <dc:creator>Codex</dc:creator>
  <cp:keywords>财务管理, 财务经理, 财务总监, 业财融合, 实战案例</cp:keywords>
  <dc:description>generated by python-docx</dc:description>
  <cp:lastModifiedBy/>
  <cp:revision>1</cp:revision>
  <dcterms:created xsi:type="dcterms:W3CDTF">2013-12-23T23:15:00Z</dcterms:created>
  <dcterms:modified xsi:type="dcterms:W3CDTF">2013-12-23T23:15:00Z</dcterms:modified>
  <cp:category/>
</cp:coreProperties>
</file>