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5 集｜酒店经营必须掌握的财务数据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中端商务酒店：从经营指标、成本结构到前台稽核与舞弊防控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2024-08-18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07:15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7404299369547173170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酒店财务不能只在月末看利润，而要把客房利用率、人员配置、成本率和前台日审连成一套经营控制体系；既要提高收入，也要守住跑冒滴漏和舞弊风险。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案例对象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一位南昌中端商务酒店学员的经营数据与管理经验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核心指标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GOP率 → 净利率 → OCC入住率 → 人房比 → 分项成本率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成本主线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固定成本与可控成本分开管理，重点盯人工、能耗、客用品、洗涤与早餐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风险主线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销售飞单 → 前台差价截留 → 虚开发票 → 开房不入账 → 日审交叉核验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一、酒店经营要先看懂五组核心数据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GOP率与净利率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视频将GOP（经营毛利润）率约60%作为中端商务酒店的参考目标，用来观察门店经营层面的盈利能力。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净利率通常约15%—25%；多数酒店已难长期维持30%，若只有约10%，投资回收周期会明显拉长。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利润指标必须结合租金、折旧摊销、品牌管理费等结构判断，不能只横向比较一个百分比。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OCC入住率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OCC＝已售客房数÷可售客房数，是判断客房资源利用效率的核心指标。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视频以70%以上作为经营参考线；入住率不足时，要进一步检查房价、渠道、客源结构和淡旺季策略。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人房比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中端商务酒店可参考每100间房配置约19—20名员工，这是人数配置关系，不是百分比。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加盟店往往压缩店总、总监等管理岗位；直营店或样板店通常保留相对完整的管理团队。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人员配置要与服务标准、餐饮配套、入住率和自动化水平联动，不能机械套用单一标准。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二、成本管理：固定成本与可控成本分开盯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固定或短期难调整成本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房租、筹备期摊销、集团管理费和平台代理佣金，通常在一定期间内相对刚性。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商业保险包括公众/住客责任险、雇主责任险和财产险等，应在预算中单独列示。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对刚性成本的管理重点是合同谈判、期限结构和单店模型，而不是月末临时压缩。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重点可控成本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餐饮采购要防范供应商回扣与采购舞弊，并通过验收、比价和耗用分析建立闭环。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人工成本要提高排班与岗位效率，避免人员配置脱离入住率和业务量。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能耗是重点项目；入住率较低时可集中安排楼层并关闭空置楼层空调，降低无效耗电。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一次性客用品包括瓶装水、牙具、拖鞋等，可在不损害体验和合规的前提下优化配置标准。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布草洗涤、早餐和低值易耗品应以入住人次、间夜数等业务量做单位耗用分析。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视频给出的成本率参考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人工成本：案例中端商务酒店约占收入22%，经济型酒店参考约18%。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能耗：案例约10%，经济型酒店参考约8.5%。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一次性客用品：案例约4%，经济型酒店参考约2.7%。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营销业务费：案例约5%，部分经济型门店通常较少或不单列。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洗涤费：案例约3%，经济型酒店参考约1.5%—2%；早餐成本案例约10元/人，经济型约4元/人。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以上数字是视频案例口径，只适合做经营诊断线索，应用时应按品牌定位、城市和门店模型重算。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三、开源不只靠提价：先堵住销售飞单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什么是销售飞单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销售人员将会议、旅游团或培训团等客源转给其他酒店，从竞争门店获取佣金，视频举例约为15%。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飞单会造成收入流失，也说明客户资源、报价审批和销售激励机制没有沉淀在公司。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管理动作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建立客户报备、询价、报价、合同和回款台账，让团队客源全流程可追踪。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将销售提成与真实毛利、回款和复购绑定，避免只按签单额激励。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定期复盘流失客户与异常退单，分析是否存在价格越权、客户转移或利益冲突。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四、酒店财务的关键阵地在前台日审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三类常见舞弊场景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客人按门市价付款，前台却用会员折扣价入账并截留差额。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团队实际按较低房价结算，却要求酒店按更高金额开票，形成异常价差或虚开风险。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实际发放房卡、客人入住，但系统不登记开房，现金收入被截留。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日审交叉核验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核对房价、折扣、免房、退房和夜审调整，重点抽查超权限折扣与异常低价。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把门锁/房卡发放记录与PMS开房记录对比，识别有卡无房、有房无收入等异常。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将洗涤布草对应的房间数与实际开房数对比，用非财务数据验证收入完整性。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酒店财务的控制重点前置到每日；月末结账可以不复杂，但日审必须持续、细致、可追溯。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五、财务经理可落地的酒店经营看板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每日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入住率、平均房价、可售房收入、渠道结构、折扣异常、房卡与开房差异、现金与平台到账差异。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每周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团队客源转化、客户流失、能耗/间夜、洗涤/间夜、早餐/入住人次和客用品/间夜。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每月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GOP率、净利率、人工成本率、能耗率、租金率和各项可控成本预算差异。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异常指标必须落实到责任岗位、原因、纠偏动作和完成期限，形成经营闭环。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六、口径提醒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人数与政策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视频提到员工少于30人可能涉及残疾人就业保障金减免口径；该表述具有发布时间和地区背景，实务中必须核对现行国家及当地政策。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指标适用性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所有比例均来自视频案例或讲师经验，受城市、品牌、租金、客群、淡旺季和直营/加盟模式影响，不应直接当成统一行业标准。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来源与准确性说明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视频来源：</w:t>
      </w:r>
      <w:r>
        <w:rPr>
          <w:rFonts w:ascii="Calibri" w:hAnsi="Calibri" w:eastAsia="Microsoft YaHei"/>
          <w:b w:val="0"/>
          <w:i w:val="0"/>
          <w:color w:val="203040"/>
          <w:sz w:val="22"/>
        </w:rPr>
        <w:t>抖音账号“齐昊老师”，学员实战案例第 5 集；视频编号 7404299369547173170。</w:t>
      </w:r>
    </w:p>
    <w:p>
      <w:pPr>
        <w:spacing w:after="120"/>
      </w:pPr>
      <w:r>
        <w:rPr>
          <w:rFonts w:ascii="Calibri" w:hAnsi="Calibri" w:eastAsia="Microsoft YaHei"/>
          <w:b/>
          <w:i w:val="0"/>
          <w:color w:val="64748B"/>
          <w:sz w:val="20"/>
        </w:rPr>
        <w:t>原链接：</w:t>
      </w:r>
      <w:r>
        <w:rPr>
          <w:rFonts w:ascii="Calibri" w:hAnsi="Calibri" w:eastAsia="Microsoft YaHei"/>
          <w:b w:val="0"/>
          <w:i w:val="0"/>
          <w:color w:val="64748B"/>
          <w:sz w:val="18"/>
        </w:rPr>
        <w:t>https://www.douyin.com/user/self?from_tab_name=main&amp;modal_id=7404299369547173170&amp;showSubTab=favorite_folder&amp;showTab=favorite_collection</w:t>
      </w:r>
    </w:p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使用提醒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本文用于财务管理学习与案例复盘，不构成税务、法律或投资意见。视频中的案例数字及政策表述，落地前应结合最新法规、主管机关口径和企业真实合同重新论证。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5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齐昊老师学员实战案例第5集：酒店经营必须掌握的财务数据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