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Microsoft YaHei"/>
          <w:b/>
          <w:i w:val="0"/>
          <w:color w:val="A66B14"/>
          <w:sz w:val="22"/>
        </w:rPr>
        <w:t>财务管理实战案例</w:t>
      </w:r>
    </w:p>
    <w:p>
      <w:pPr>
        <w:spacing w:after="200"/>
        <w:jc w:val="center"/>
      </w:pPr>
      <w:r>
        <w:rPr>
          <w:rFonts w:ascii="Calibri" w:hAnsi="Calibri" w:eastAsia="Microsoft YaHei"/>
          <w:b/>
          <w:i w:val="0"/>
          <w:color w:val="1F4D78"/>
          <w:sz w:val="44"/>
        </w:rPr>
        <w:t>第 51 集｜股权稀释后的控制权与红筹架构</w:t>
      </w:r>
    </w:p>
    <w:p>
      <w:pPr>
        <w:spacing w:after="520"/>
        <w:jc w:val="center"/>
      </w:pPr>
      <w:r>
        <w:rPr>
          <w:rFonts w:ascii="Calibri" w:hAnsi="Calibri" w:eastAsia="Microsoft YaHei"/>
          <w:b w:val="0"/>
          <w:i w:val="0"/>
          <w:color w:val="2E74B5"/>
          <w:sz w:val="28"/>
        </w:rPr>
        <w:t>19%持股案例 一致行动安排 境内外控股链条</w:t>
      </w:r>
    </w:p>
    <w:p>
      <w:pPr>
        <w:spacing w:after="60"/>
        <w:jc w:val="center"/>
      </w:pPr>
      <w:r>
        <w:rPr>
          <w:rFonts w:ascii="Calibri" w:hAnsi="Calibri" w:eastAsia="Microsoft YaHei"/>
          <w:b/>
          <w:i w:val="0"/>
          <w:color w:val="64748B"/>
          <w:sz w:val="21"/>
        </w:rPr>
        <w:t>主讲账号：</w:t>
      </w:r>
      <w:r>
        <w:rPr>
          <w:rFonts w:ascii="Calibri" w:hAnsi="Calibri" w:eastAsia="Microsoft YaHei"/>
          <w:b w:val="0"/>
          <w:i w:val="0"/>
          <w:color w:val="203040"/>
          <w:sz w:val="21"/>
        </w:rPr>
        <w:t>齐昊老师</w:t>
      </w:r>
    </w:p>
    <w:p>
      <w:pPr>
        <w:spacing w:after="60"/>
        <w:jc w:val="center"/>
      </w:pPr>
      <w:r>
        <w:rPr>
          <w:rFonts w:ascii="Calibri" w:hAnsi="Calibri" w:eastAsia="Microsoft YaHei"/>
          <w:b/>
          <w:i w:val="0"/>
          <w:color w:val="64748B"/>
          <w:sz w:val="21"/>
        </w:rPr>
        <w:t>发布时间：</w:t>
      </w:r>
      <w:r>
        <w:rPr>
          <w:rFonts w:ascii="Calibri" w:hAnsi="Calibri" w:eastAsia="Microsoft YaHei"/>
          <w:b w:val="0"/>
          <w:i w:val="0"/>
          <w:color w:val="203040"/>
          <w:sz w:val="21"/>
        </w:rPr>
        <w:t>2026-01-22</w:t>
      </w:r>
    </w:p>
    <w:p>
      <w:pPr>
        <w:spacing w:after="60"/>
        <w:jc w:val="center"/>
      </w:pPr>
      <w:r>
        <w:rPr>
          <w:rFonts w:ascii="Calibri" w:hAnsi="Calibri" w:eastAsia="Microsoft YaHei"/>
          <w:b/>
          <w:i w:val="0"/>
          <w:color w:val="64748B"/>
          <w:sz w:val="21"/>
        </w:rPr>
        <w:t>视频时长：</w:t>
      </w:r>
      <w:r>
        <w:rPr>
          <w:rFonts w:ascii="Calibri" w:hAnsi="Calibri" w:eastAsia="Microsoft YaHei"/>
          <w:b w:val="0"/>
          <w:i w:val="0"/>
          <w:color w:val="203040"/>
          <w:sz w:val="21"/>
        </w:rPr>
        <w:t>11:02</w:t>
      </w:r>
    </w:p>
    <w:p>
      <w:pPr>
        <w:spacing w:after="60"/>
        <w:jc w:val="center"/>
      </w:pPr>
      <w:r>
        <w:rPr>
          <w:rFonts w:ascii="Calibri" w:hAnsi="Calibri" w:eastAsia="Microsoft YaHei"/>
          <w:b/>
          <w:i w:val="0"/>
          <w:color w:val="64748B"/>
          <w:sz w:val="21"/>
        </w:rPr>
        <w:t>视频编号：</w:t>
      </w:r>
      <w:r>
        <w:rPr>
          <w:rFonts w:ascii="Calibri" w:hAnsi="Calibri" w:eastAsia="Microsoft YaHei"/>
          <w:b w:val="0"/>
          <w:i w:val="0"/>
          <w:color w:val="203040"/>
          <w:sz w:val="21"/>
        </w:rPr>
        <w:t>7598001053312797978</w:t>
      </w:r>
    </w:p>
    <w:p>
      <w:pPr>
        <w:spacing w:after="320"/>
      </w:pPr>
    </w:p>
    <w:p>
      <w:pPr>
        <w:shd w:fill="EAF3EE"/>
        <w:pBdr>
          <w:left w:val="single" w:sz="18" w:space="8" w:color="2F6B4F"/>
        </w:pBdr>
        <w:spacing w:before="100" w:after="140" w:line="288" w:lineRule="auto"/>
        <w:ind w:left="173" w:right="86"/>
      </w:pPr>
      <w:r>
        <w:rPr>
          <w:rFonts w:ascii="Calibri" w:hAnsi="Calibri" w:eastAsia="Microsoft YaHei"/>
          <w:b/>
          <w:i w:val="0"/>
          <w:color w:val="2F6B4F"/>
          <w:sz w:val="21"/>
        </w:rPr>
        <w:t xml:space="preserve">核心结论  </w:t>
      </w:r>
      <w:r>
        <w:rPr>
          <w:rFonts w:ascii="Calibri" w:hAnsi="Calibri" w:eastAsia="Microsoft YaHei"/>
          <w:b w:val="0"/>
          <w:i w:val="0"/>
          <w:color w:val="203040"/>
          <w:sz w:val="21"/>
        </w:rPr>
        <w:t>创始人持股降到19%，不必然意味着失去公司控制权；持股超过50%，也不自动解决全部治理风险。判断控制权，要同时看表决权、董事提名与任免、关键事项决策、一致行动协议的期限和可执行性。视频借一家中式连锁餐饮企业的股权演变，说明在搭建BVI、开曼、中国香港与境内控股链条时，应先理清实际控制和利益归属，再处理境外上市所需的法律、财务、税务和监管工作。</w:t>
      </w:r>
    </w:p>
    <w:p>
      <w:pPr>
        <w:shd w:fill="F4F6F9"/>
        <w:pBdr>
          <w:left w:val="single" w:sz="18" w:space="8" w:color="64748B"/>
        </w:pBdr>
        <w:spacing w:before="100" w:after="140" w:line="288" w:lineRule="auto"/>
        <w:ind w:left="173" w:right="86"/>
      </w:pPr>
      <w:r>
        <w:rPr>
          <w:rFonts w:ascii="Calibri" w:hAnsi="Calibri" w:eastAsia="Microsoft YaHei"/>
          <w:b/>
          <w:i w:val="0"/>
          <w:color w:val="64748B"/>
          <w:sz w:val="21"/>
        </w:rPr>
        <w:t xml:space="preserve">整理口径  </w:t>
      </w:r>
      <w:r>
        <w:rPr>
          <w:rFonts w:ascii="Calibri" w:hAnsi="Calibri" w:eastAsia="Microsoft YaHei"/>
          <w:b w:val="0"/>
          <w:i w:val="0"/>
          <w:color w:val="203040"/>
          <w:sz w:val="21"/>
        </w:rPr>
        <w:t>依据公开视频页面的标题、时长、时间轴与AI章节要点静音整理；不是逐字稿。案例数字和年份按视频叙述记录，未经独立核验，也不据此识别具体企业。红筹架构、控制权及境外上市要求结合中国证监会《境内企业境外发行证券和上市管理试行办法》作原则性校对；具体架构和一致行动安排应由具备资质的律师、会计师和税务顾问按交易文件与最新规则评估。</w:t>
      </w:r>
    </w:p>
    <w:p>
      <w:r>
        <w:br w:type="page"/>
      </w:r>
    </w:p>
    <w:p>
      <w:pPr>
        <w:pStyle w:val="Heading1"/>
        <w:keepNext/>
      </w:pPr>
      <w:r>
        <w:rPr>
          <w:rFonts w:ascii="Calibri" w:hAnsi="Calibri" w:eastAsia="Microsoft YaHei"/>
          <w:b/>
          <w:i w:val="0"/>
          <w:color w:val="2E74B5"/>
          <w:sz w:val="32"/>
        </w:rPr>
        <w:t>一页总览</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节点</w:t>
            </w:r>
          </w:p>
        </w:tc>
        <w:tc>
          <w:tcPr>
            <w:tcW w:type="dxa" w:w="7056"/>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核心内容</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看股权演变</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2016年创办 → 持股降至19% → 2020年超过75% → 2021年设香港控股公司</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看控制权</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持股比例 → 表决权 → 一致行动 → 董事会 → 保留事项</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看红筹链条</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境外个人或持股平台 → BVI → 开曼 → 香港 → 境内控股及运营主体</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看落地风险</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文件可执行性 → 税务外汇 → 信息披露 → 境外上市备案</w:t>
            </w:r>
          </w:p>
        </w:tc>
      </w:tr>
    </w:tbl>
    <w:p>
      <w:pPr>
        <w:shd w:fill="FFF7E8"/>
        <w:pBdr>
          <w:left w:val="single" w:sz="18" w:space="8" w:color="A66B14"/>
        </w:pBdr>
        <w:spacing w:before="100" w:after="140" w:line="288" w:lineRule="auto"/>
        <w:ind w:left="173" w:right="86"/>
      </w:pPr>
      <w:r>
        <w:rPr>
          <w:rFonts w:ascii="Calibri" w:hAnsi="Calibri" w:eastAsia="Microsoft YaHei"/>
          <w:b/>
          <w:i w:val="0"/>
          <w:color w:val="A66B14"/>
          <w:sz w:val="21"/>
        </w:rPr>
        <w:t xml:space="preserve">逻辑主线  </w:t>
      </w:r>
      <w:r>
        <w:rPr>
          <w:rFonts w:ascii="Calibri" w:hAnsi="Calibri" w:eastAsia="Microsoft YaHei"/>
          <w:b w:val="0"/>
          <w:i w:val="0"/>
          <w:color w:val="203040"/>
          <w:sz w:val="21"/>
        </w:rPr>
        <w:t>识别商业事实 → 找到管理根因 → 把财务控制嵌入业务流程 → 用数据支持经营决策</w:t>
      </w:r>
    </w:p>
    <w:p>
      <w:pPr>
        <w:pStyle w:val="Heading1"/>
        <w:keepNext/>
      </w:pPr>
      <w:r>
        <w:rPr>
          <w:rFonts w:ascii="Calibri" w:hAnsi="Calibri" w:eastAsia="Microsoft YaHei"/>
          <w:b/>
          <w:i w:val="0"/>
          <w:color w:val="2E74B5"/>
          <w:sz w:val="32"/>
        </w:rPr>
        <w:t>一、案例主线与时间轴</w:t>
      </w:r>
    </w:p>
    <w:p>
      <w:pPr>
        <w:pStyle w:val="Heading2"/>
        <w:keepNext/>
      </w:pPr>
      <w:r>
        <w:rPr>
          <w:rFonts w:ascii="Calibri" w:hAnsi="Calibri" w:eastAsia="Microsoft YaHei"/>
          <w:b/>
          <w:i w:val="0"/>
          <w:color w:val="2E74B5"/>
          <w:sz w:val="26"/>
        </w:rPr>
        <w:t>1. 企业背景</w:t>
      </w:r>
    </w:p>
    <w:p>
      <w:pPr>
        <w:spacing w:after="16" w:line="259" w:lineRule="auto"/>
        <w:numPr>
          <w:ilvl w:val="0"/>
          <w:numId w:val="90"/>
        </w:numPr>
      </w:pPr>
      <w:r>
        <w:rPr>
          <w:rFonts w:ascii="Calibri" w:hAnsi="Calibri" w:eastAsia="Microsoft YaHei"/>
          <w:b w:val="0"/>
          <w:i w:val="0"/>
          <w:color w:val="203040"/>
          <w:sz w:val="19"/>
        </w:rPr>
        <w:t>视频02:19介绍一家中式连锁餐饮企业，提到2025年上半年门店近700家、营业收入约27亿元、毛利率70.46%、净利率约14%。这些为视频案例口径，不应用于识别或评价某家上市公司。</w:t>
      </w:r>
    </w:p>
    <w:p>
      <w:pPr>
        <w:spacing w:after="16" w:line="259" w:lineRule="auto"/>
        <w:numPr>
          <w:ilvl w:val="0"/>
          <w:numId w:val="90"/>
        </w:numPr>
      </w:pPr>
      <w:r>
        <w:rPr>
          <w:rFonts w:ascii="Calibri" w:hAnsi="Calibri" w:eastAsia="Microsoft YaHei"/>
          <w:b w:val="0"/>
          <w:i w:val="0"/>
          <w:color w:val="203040"/>
          <w:sz w:val="19"/>
        </w:rPr>
        <w:t>案例重点不在经营数据本身，而在业务扩张和资本化过程中，创始人如何保持稳定的决策权。</w:t>
      </w:r>
    </w:p>
    <w:p>
      <w:pPr>
        <w:pStyle w:val="Heading2"/>
        <w:keepNext/>
      </w:pPr>
      <w:r>
        <w:rPr>
          <w:rFonts w:ascii="Calibri" w:hAnsi="Calibri" w:eastAsia="Microsoft YaHei"/>
          <w:b/>
          <w:i w:val="0"/>
          <w:color w:val="2E74B5"/>
          <w:sz w:val="26"/>
        </w:rPr>
        <w:t>2. 股权变化的四个节点</w:t>
      </w:r>
    </w:p>
    <w:p>
      <w:pPr>
        <w:spacing w:after="16" w:line="259" w:lineRule="auto"/>
        <w:numPr>
          <w:ilvl w:val="0"/>
          <w:numId w:val="90"/>
        </w:numPr>
      </w:pPr>
      <w:r>
        <w:rPr>
          <w:rFonts w:ascii="Calibri" w:hAnsi="Calibri" w:eastAsia="Microsoft YaHei"/>
          <w:b w:val="0"/>
          <w:i w:val="0"/>
          <w:color w:val="203040"/>
          <w:sz w:val="19"/>
        </w:rPr>
        <w:t>视频03:22称，2016年由6位自然人创办；同年10月创始人W的持股比例降至19%；到2020年其持股超过75%；2021年11月设立中国香港控股有限公司。</w:t>
      </w:r>
    </w:p>
    <w:p>
      <w:pPr>
        <w:spacing w:after="16" w:line="259" w:lineRule="auto"/>
        <w:numPr>
          <w:ilvl w:val="0"/>
          <w:numId w:val="90"/>
        </w:numPr>
      </w:pPr>
      <w:r>
        <w:rPr>
          <w:rFonts w:ascii="Calibri" w:hAnsi="Calibri" w:eastAsia="Microsoft YaHei"/>
          <w:b w:val="0"/>
          <w:i w:val="0"/>
          <w:color w:val="203040"/>
          <w:sz w:val="19"/>
        </w:rPr>
        <w:t>19%和75%反映不同时间点的股权结果。视频页面的章节摘要没有给出每次转让、增资或协议调整的完整文件，不能据此推断每一步的具体交易方式。</w:t>
      </w:r>
    </w:p>
    <w:p>
      <w:pPr>
        <w:pStyle w:val="Heading1"/>
        <w:keepNext/>
      </w:pPr>
      <w:r>
        <w:rPr>
          <w:rFonts w:ascii="Calibri" w:hAnsi="Calibri" w:eastAsia="Microsoft YaHei"/>
          <w:b/>
          <w:i w:val="0"/>
          <w:color w:val="2E74B5"/>
          <w:sz w:val="32"/>
        </w:rPr>
        <w:t>二、先分清红筹股 蓝筹股与红筹架构</w:t>
      </w:r>
    </w:p>
    <w:p>
      <w:pPr>
        <w:pStyle w:val="Heading2"/>
        <w:keepNext/>
      </w:pPr>
      <w:r>
        <w:rPr>
          <w:rFonts w:ascii="Calibri" w:hAnsi="Calibri" w:eastAsia="Microsoft YaHei"/>
          <w:b/>
          <w:i w:val="0"/>
          <w:color w:val="2E74B5"/>
          <w:sz w:val="26"/>
        </w:rPr>
        <w:t>1. 红筹股与蓝筹股不是同一维度</w:t>
      </w:r>
    </w:p>
    <w:p>
      <w:pPr>
        <w:spacing w:after="16" w:line="259" w:lineRule="auto"/>
        <w:numPr>
          <w:ilvl w:val="0"/>
          <w:numId w:val="90"/>
        </w:numPr>
      </w:pPr>
      <w:r>
        <w:rPr>
          <w:rFonts w:ascii="Calibri" w:hAnsi="Calibri" w:eastAsia="Microsoft YaHei"/>
          <w:b w:val="0"/>
          <w:i w:val="0"/>
          <w:color w:val="203040"/>
          <w:sz w:val="19"/>
        </w:rPr>
        <w:t>视频00:18区分红筹股和蓝筹股：前者通常强调境外注册与中资背景，后者通常指规模、业绩和市场地位较突出的公司；某家公司可能同时符合两种描述。</w:t>
      </w:r>
    </w:p>
    <w:p>
      <w:pPr>
        <w:spacing w:after="16" w:line="259" w:lineRule="auto"/>
        <w:numPr>
          <w:ilvl w:val="0"/>
          <w:numId w:val="90"/>
        </w:numPr>
      </w:pPr>
      <w:r>
        <w:rPr>
          <w:rFonts w:ascii="Calibri" w:hAnsi="Calibri" w:eastAsia="Microsoft YaHei"/>
          <w:b w:val="0"/>
          <w:i w:val="0"/>
          <w:color w:val="203040"/>
          <w:sz w:val="19"/>
        </w:rPr>
        <w:t>这些市场称谓不能替代法律上的注册地、上市主体、控股关系与监管适用判断。</w:t>
      </w:r>
    </w:p>
    <w:p>
      <w:pPr>
        <w:pStyle w:val="Heading2"/>
        <w:keepNext/>
      </w:pPr>
      <w:r>
        <w:rPr>
          <w:rFonts w:ascii="Calibri" w:hAnsi="Calibri" w:eastAsia="Microsoft YaHei"/>
          <w:b/>
          <w:i w:val="0"/>
          <w:color w:val="2E74B5"/>
          <w:sz w:val="26"/>
        </w:rPr>
        <w:t>2. 红筹架构是什么</w:t>
      </w:r>
    </w:p>
    <w:p>
      <w:pPr>
        <w:spacing w:after="16" w:line="259" w:lineRule="auto"/>
        <w:numPr>
          <w:ilvl w:val="0"/>
          <w:numId w:val="90"/>
        </w:numPr>
      </w:pPr>
      <w:r>
        <w:rPr>
          <w:rFonts w:ascii="Calibri" w:hAnsi="Calibri" w:eastAsia="Microsoft YaHei"/>
          <w:b w:val="0"/>
          <w:i w:val="0"/>
          <w:color w:val="203040"/>
          <w:sz w:val="19"/>
        </w:rPr>
        <w:t>视频06:20把境外部分概括为BVI公司、开曼公司和中国香港公司，境内部分为餐饮控股有限公司与餐饮管理有限公司。可把它理解为一条分层持股链。</w:t>
      </w:r>
    </w:p>
    <w:p>
      <w:pPr>
        <w:spacing w:after="16" w:line="259" w:lineRule="auto"/>
        <w:numPr>
          <w:ilvl w:val="0"/>
          <w:numId w:val="90"/>
        </w:numPr>
      </w:pPr>
      <w:r>
        <w:rPr>
          <w:rFonts w:ascii="Calibri" w:hAnsi="Calibri" w:eastAsia="Microsoft YaHei"/>
          <w:b w:val="0"/>
          <w:i w:val="0"/>
          <w:color w:val="203040"/>
          <w:sz w:val="19"/>
        </w:rPr>
        <w:t>各层主体通常承担不同职能：顶层融资或上市、投资人持股、跨境投资与境内运营。并非每个项目都必须照搬全部层级。</w:t>
      </w:r>
    </w:p>
    <w:p>
      <w:pPr>
        <w:pStyle w:val="Heading1"/>
        <w:keepNext/>
      </w:pPr>
      <w:r>
        <w:rPr>
          <w:rFonts w:ascii="Calibri" w:hAnsi="Calibri" w:eastAsia="Microsoft YaHei"/>
          <w:b/>
          <w:i w:val="0"/>
          <w:color w:val="2E74B5"/>
          <w:sz w:val="32"/>
        </w:rPr>
        <w:t>三、19%持股下如何判断控制权</w:t>
      </w:r>
    </w:p>
    <w:p>
      <w:pPr>
        <w:pStyle w:val="Heading2"/>
        <w:keepNext/>
      </w:pPr>
      <w:r>
        <w:rPr>
          <w:rFonts w:ascii="Calibri" w:hAnsi="Calibri" w:eastAsia="Microsoft YaHei"/>
          <w:b/>
          <w:i w:val="0"/>
          <w:color w:val="2E74B5"/>
          <w:sz w:val="26"/>
        </w:rPr>
        <w:t>1. 股权比例只是起点</w:t>
      </w:r>
    </w:p>
    <w:p>
      <w:pPr>
        <w:spacing w:after="16" w:line="259" w:lineRule="auto"/>
        <w:numPr>
          <w:ilvl w:val="0"/>
          <w:numId w:val="90"/>
        </w:numPr>
      </w:pPr>
      <w:r>
        <w:rPr>
          <w:rFonts w:ascii="Calibri" w:hAnsi="Calibri" w:eastAsia="Microsoft YaHei"/>
          <w:b w:val="0"/>
          <w:i w:val="0"/>
          <w:color w:val="203040"/>
          <w:sz w:val="19"/>
        </w:rPr>
        <w:t>先画出完全摊薄后的股权表，区分法律持股、实际受益人、表决权和潜在稀释。19%不能单独证明创始人控制或不控制企业。</w:t>
      </w:r>
    </w:p>
    <w:p>
      <w:pPr>
        <w:spacing w:after="16" w:line="259" w:lineRule="auto"/>
        <w:numPr>
          <w:ilvl w:val="0"/>
          <w:numId w:val="90"/>
        </w:numPr>
      </w:pPr>
      <w:r>
        <w:rPr>
          <w:rFonts w:ascii="Calibri" w:hAnsi="Calibri" w:eastAsia="Microsoft YaHei"/>
          <w:b w:val="0"/>
          <w:i w:val="0"/>
          <w:color w:val="203040"/>
          <w:sz w:val="19"/>
        </w:rPr>
        <w:t>同时检查其他股东是否分散、是否存在特殊表决权、董事席位如何产生以及关键管理人员由谁任免。</w:t>
      </w:r>
    </w:p>
    <w:p>
      <w:pPr>
        <w:pStyle w:val="Heading2"/>
        <w:keepNext/>
      </w:pPr>
      <w:r>
        <w:rPr>
          <w:rFonts w:ascii="Calibri" w:hAnsi="Calibri" w:eastAsia="Microsoft YaHei"/>
          <w:b/>
          <w:i w:val="0"/>
          <w:color w:val="2E74B5"/>
          <w:sz w:val="26"/>
        </w:rPr>
        <w:t>2. 一致行动安排的作用</w:t>
      </w:r>
    </w:p>
    <w:p>
      <w:pPr>
        <w:spacing w:after="16" w:line="259" w:lineRule="auto"/>
        <w:numPr>
          <w:ilvl w:val="0"/>
          <w:numId w:val="90"/>
        </w:numPr>
      </w:pPr>
      <w:r>
        <w:rPr>
          <w:rFonts w:ascii="Calibri" w:hAnsi="Calibri" w:eastAsia="Microsoft YaHei"/>
          <w:b w:val="0"/>
          <w:i w:val="0"/>
          <w:color w:val="203040"/>
          <w:sz w:val="19"/>
        </w:rPr>
        <w:t>一致行动协议可能约定股东在董事提名、股东会投票或特定事项上按同一意见行动，从而形成可计算的表决权组合。</w:t>
      </w:r>
    </w:p>
    <w:p>
      <w:pPr>
        <w:spacing w:after="16" w:line="259" w:lineRule="auto"/>
        <w:numPr>
          <w:ilvl w:val="0"/>
          <w:numId w:val="90"/>
        </w:numPr>
      </w:pPr>
      <w:r>
        <w:rPr>
          <w:rFonts w:ascii="Calibri" w:hAnsi="Calibri" w:eastAsia="Microsoft YaHei"/>
          <w:b w:val="0"/>
          <w:i w:val="0"/>
          <w:color w:val="203040"/>
          <w:sz w:val="19"/>
        </w:rPr>
        <w:t>必须核对签约主体、具体事项、期限、违约后果、退出方式和争议解决；口头默契或历史上常常投同意票，不等于稳定可执行的安排。</w:t>
      </w:r>
    </w:p>
    <w:p>
      <w:pPr>
        <w:pStyle w:val="Heading2"/>
        <w:keepNext/>
      </w:pPr>
      <w:r>
        <w:rPr>
          <w:rFonts w:ascii="Calibri" w:hAnsi="Calibri" w:eastAsia="Microsoft YaHei"/>
          <w:b/>
          <w:i w:val="0"/>
          <w:color w:val="2E74B5"/>
          <w:sz w:val="26"/>
        </w:rPr>
        <w:t>3. 控制权的三张表</w:t>
      </w:r>
    </w:p>
    <w:p>
      <w:pPr>
        <w:spacing w:after="16" w:line="259" w:lineRule="auto"/>
        <w:numPr>
          <w:ilvl w:val="0"/>
          <w:numId w:val="90"/>
        </w:numPr>
      </w:pPr>
      <w:r>
        <w:rPr>
          <w:rFonts w:ascii="Calibri" w:hAnsi="Calibri" w:eastAsia="Microsoft YaHei"/>
          <w:b w:val="0"/>
          <w:i w:val="0"/>
          <w:color w:val="203040"/>
          <w:sz w:val="19"/>
        </w:rPr>
        <w:t>股权表记录每个主体持股和潜在稀释；表决权表记录协议、委托与限制；决策权表记录董事会、重大事项否决权和管理层任免。</w:t>
      </w:r>
    </w:p>
    <w:p>
      <w:pPr>
        <w:spacing w:after="16" w:line="259" w:lineRule="auto"/>
        <w:numPr>
          <w:ilvl w:val="0"/>
          <w:numId w:val="90"/>
        </w:numPr>
      </w:pPr>
      <w:r>
        <w:rPr>
          <w:rFonts w:ascii="Calibri" w:hAnsi="Calibri" w:eastAsia="Microsoft YaHei"/>
          <w:b w:val="0"/>
          <w:i w:val="0"/>
          <w:color w:val="203040"/>
          <w:sz w:val="19"/>
        </w:rPr>
        <w:t>对融资前、融资后、上市前和上市后分别模拟，防止只在某一时点满足控制要求。</w:t>
      </w:r>
    </w:p>
    <w:p>
      <w:pPr>
        <w:pStyle w:val="Heading1"/>
        <w:keepNext/>
      </w:pPr>
      <w:r>
        <w:rPr>
          <w:rFonts w:ascii="Calibri" w:hAnsi="Calibri" w:eastAsia="Microsoft YaHei"/>
          <w:b/>
          <w:i w:val="0"/>
          <w:color w:val="2E74B5"/>
          <w:sz w:val="32"/>
        </w:rPr>
        <w:t>四、从境外到境内把控股链条画清楚</w:t>
      </w:r>
    </w:p>
    <w:p>
      <w:pPr>
        <w:pStyle w:val="Heading2"/>
        <w:keepNext/>
      </w:pPr>
      <w:r>
        <w:rPr>
          <w:rFonts w:ascii="Calibri" w:hAnsi="Calibri" w:eastAsia="Microsoft YaHei"/>
          <w:b/>
          <w:i w:val="0"/>
          <w:color w:val="2E74B5"/>
          <w:sz w:val="26"/>
        </w:rPr>
        <w:t>1. 境外层级</w:t>
      </w:r>
    </w:p>
    <w:p>
      <w:pPr>
        <w:spacing w:after="16" w:line="259" w:lineRule="auto"/>
        <w:numPr>
          <w:ilvl w:val="0"/>
          <w:numId w:val="90"/>
        </w:numPr>
      </w:pPr>
      <w:r>
        <w:rPr>
          <w:rFonts w:ascii="Calibri" w:hAnsi="Calibri" w:eastAsia="Microsoft YaHei"/>
          <w:b w:val="0"/>
          <w:i w:val="0"/>
          <w:color w:val="203040"/>
          <w:sz w:val="19"/>
        </w:rPr>
        <w:t>视频列出BVI、开曼和中国香港主体。项目文件应逐层列明股东、持股比例、受益所有人、董事、股份类别和资金流向。</w:t>
      </w:r>
    </w:p>
    <w:p>
      <w:pPr>
        <w:spacing w:after="16" w:line="259" w:lineRule="auto"/>
        <w:numPr>
          <w:ilvl w:val="0"/>
          <w:numId w:val="90"/>
        </w:numPr>
      </w:pPr>
      <w:r>
        <w:rPr>
          <w:rFonts w:ascii="Calibri" w:hAnsi="Calibri" w:eastAsia="Microsoft YaHei"/>
          <w:b w:val="0"/>
          <w:i w:val="0"/>
          <w:color w:val="203040"/>
          <w:sz w:val="19"/>
        </w:rPr>
        <w:t>顶层股权比例与境内实际经营决策权可能并不一致，需要逐层穿透到境内运营企业。</w:t>
      </w:r>
    </w:p>
    <w:p>
      <w:pPr>
        <w:pStyle w:val="Heading2"/>
        <w:keepNext/>
      </w:pPr>
      <w:r>
        <w:rPr>
          <w:rFonts w:ascii="Calibri" w:hAnsi="Calibri" w:eastAsia="Microsoft YaHei"/>
          <w:b/>
          <w:i w:val="0"/>
          <w:color w:val="2E74B5"/>
          <w:sz w:val="26"/>
        </w:rPr>
        <w:t>2. 境内层级</w:t>
      </w:r>
    </w:p>
    <w:p>
      <w:pPr>
        <w:spacing w:after="16" w:line="259" w:lineRule="auto"/>
        <w:numPr>
          <w:ilvl w:val="0"/>
          <w:numId w:val="90"/>
        </w:numPr>
      </w:pPr>
      <w:r>
        <w:rPr>
          <w:rFonts w:ascii="Calibri" w:hAnsi="Calibri" w:eastAsia="Microsoft YaHei"/>
          <w:b w:val="0"/>
          <w:i w:val="0"/>
          <w:color w:val="203040"/>
          <w:sz w:val="19"/>
        </w:rPr>
        <w:t>境内餐饮控股与餐饮管理等主体之间要核对股权、业务、许可、品牌、加盟或直营合同、资产归属和关联交易。</w:t>
      </w:r>
    </w:p>
    <w:p>
      <w:pPr>
        <w:spacing w:after="16" w:line="259" w:lineRule="auto"/>
        <w:numPr>
          <w:ilvl w:val="0"/>
          <w:numId w:val="90"/>
        </w:numPr>
      </w:pPr>
      <w:r>
        <w:rPr>
          <w:rFonts w:ascii="Calibri" w:hAnsi="Calibri" w:eastAsia="Microsoft YaHei"/>
          <w:b w:val="0"/>
          <w:i w:val="0"/>
          <w:color w:val="203040"/>
          <w:sz w:val="19"/>
        </w:rPr>
        <w:t>营业收入发生在哪个主体、商标由谁持有、门店由谁签约，会影响财务报告和投资人理解。</w:t>
      </w:r>
    </w:p>
    <w:p>
      <w:pPr>
        <w:pStyle w:val="Heading2"/>
        <w:keepNext/>
      </w:pPr>
      <w:r>
        <w:rPr>
          <w:rFonts w:ascii="Calibri" w:hAnsi="Calibri" w:eastAsia="Microsoft YaHei"/>
          <w:b/>
          <w:i w:val="0"/>
          <w:color w:val="2E74B5"/>
          <w:sz w:val="26"/>
        </w:rPr>
        <w:t>3. 文件与图谱同步</w:t>
      </w:r>
    </w:p>
    <w:p>
      <w:pPr>
        <w:spacing w:after="16" w:line="259" w:lineRule="auto"/>
        <w:numPr>
          <w:ilvl w:val="0"/>
          <w:numId w:val="90"/>
        </w:numPr>
      </w:pPr>
      <w:r>
        <w:rPr>
          <w:rFonts w:ascii="Calibri" w:hAnsi="Calibri" w:eastAsia="Microsoft YaHei"/>
          <w:b w:val="0"/>
          <w:i w:val="0"/>
          <w:color w:val="203040"/>
          <w:sz w:val="19"/>
        </w:rPr>
        <w:t>每次增资、转让、股权激励或一致行动协议变化后，更新组织图、股权表、治理文件和受益所有人台账，确保法律文件与招股披露一致。</w:t>
      </w:r>
    </w:p>
    <w:p>
      <w:pPr>
        <w:pStyle w:val="Heading1"/>
        <w:keepNext/>
      </w:pPr>
      <w:r>
        <w:rPr>
          <w:rFonts w:ascii="Calibri" w:hAnsi="Calibri" w:eastAsia="Microsoft YaHei"/>
          <w:b/>
          <w:i w:val="0"/>
          <w:color w:val="2E74B5"/>
          <w:sz w:val="32"/>
        </w:rPr>
        <w:t>五、财务负责人在搭架构时要核对什么</w:t>
      </w:r>
    </w:p>
    <w:p>
      <w:pPr>
        <w:pStyle w:val="Heading2"/>
        <w:keepNext/>
      </w:pPr>
      <w:r>
        <w:rPr>
          <w:rFonts w:ascii="Calibri" w:hAnsi="Calibri" w:eastAsia="Microsoft YaHei"/>
          <w:b/>
          <w:i w:val="0"/>
          <w:color w:val="2E74B5"/>
          <w:sz w:val="26"/>
        </w:rPr>
        <w:t>1. 历史沿革与资金</w:t>
      </w:r>
    </w:p>
    <w:p>
      <w:pPr>
        <w:spacing w:after="16" w:line="259" w:lineRule="auto"/>
        <w:numPr>
          <w:ilvl w:val="0"/>
          <w:numId w:val="90"/>
        </w:numPr>
      </w:pPr>
      <w:r>
        <w:rPr>
          <w:rFonts w:ascii="Calibri" w:hAnsi="Calibri" w:eastAsia="Microsoft YaHei"/>
          <w:b w:val="0"/>
          <w:i w:val="0"/>
          <w:color w:val="203040"/>
          <w:sz w:val="19"/>
        </w:rPr>
        <w:t>收集历次股权变动协议、付款凭证、估值依据、出资证明、工商与境外注册资料，核对是否存在代持、未结清对价或利益冲突。</w:t>
      </w:r>
    </w:p>
    <w:p>
      <w:pPr>
        <w:spacing w:after="16" w:line="259" w:lineRule="auto"/>
        <w:numPr>
          <w:ilvl w:val="0"/>
          <w:numId w:val="90"/>
        </w:numPr>
      </w:pPr>
      <w:r>
        <w:rPr>
          <w:rFonts w:ascii="Calibri" w:hAnsi="Calibri" w:eastAsia="Microsoft YaHei"/>
          <w:b w:val="0"/>
          <w:i w:val="0"/>
          <w:color w:val="203040"/>
          <w:sz w:val="19"/>
        </w:rPr>
        <w:t>资金进出、股利分配、关联借款与股权转让价款应形成可追溯链条，并与会计处理相互印证。</w:t>
      </w:r>
    </w:p>
    <w:p>
      <w:pPr>
        <w:pStyle w:val="Heading2"/>
        <w:keepNext/>
      </w:pPr>
      <w:r>
        <w:rPr>
          <w:rFonts w:ascii="Calibri" w:hAnsi="Calibri" w:eastAsia="Microsoft YaHei"/>
          <w:b/>
          <w:i w:val="0"/>
          <w:color w:val="2E74B5"/>
          <w:sz w:val="26"/>
        </w:rPr>
        <w:t>2. 集团报表与税务</w:t>
      </w:r>
    </w:p>
    <w:p>
      <w:pPr>
        <w:spacing w:after="16" w:line="259" w:lineRule="auto"/>
        <w:numPr>
          <w:ilvl w:val="0"/>
          <w:numId w:val="90"/>
        </w:numPr>
      </w:pPr>
      <w:r>
        <w:rPr>
          <w:rFonts w:ascii="Calibri" w:hAnsi="Calibri" w:eastAsia="Microsoft YaHei"/>
          <w:b w:val="0"/>
          <w:i w:val="0"/>
          <w:color w:val="203040"/>
          <w:sz w:val="19"/>
        </w:rPr>
        <w:t>确认合并范围、境内外会计政策、关联交易、外币折算和历史利润分配；核对重组可能涉及的企业所得税、个人所得税、印花税和跨境税务问题。</w:t>
      </w:r>
    </w:p>
    <w:p>
      <w:pPr>
        <w:spacing w:after="16" w:line="259" w:lineRule="auto"/>
        <w:numPr>
          <w:ilvl w:val="0"/>
          <w:numId w:val="90"/>
        </w:numPr>
      </w:pPr>
      <w:r>
        <w:rPr>
          <w:rFonts w:ascii="Calibri" w:hAnsi="Calibri" w:eastAsia="Microsoft YaHei"/>
          <w:b w:val="0"/>
          <w:i w:val="0"/>
          <w:color w:val="203040"/>
          <w:sz w:val="19"/>
        </w:rPr>
        <w:t>不要先完成结构图再补财务与税务证据，重大历史瑕疵会在融资或上市尽调中集中暴露。</w:t>
      </w:r>
    </w:p>
    <w:p>
      <w:pPr>
        <w:pStyle w:val="Heading2"/>
        <w:keepNext/>
      </w:pPr>
      <w:r>
        <w:rPr>
          <w:rFonts w:ascii="Calibri" w:hAnsi="Calibri" w:eastAsia="Microsoft YaHei"/>
          <w:b/>
          <w:i w:val="0"/>
          <w:color w:val="2E74B5"/>
          <w:sz w:val="26"/>
        </w:rPr>
        <w:t>3. 专业团队与分工</w:t>
      </w:r>
    </w:p>
    <w:p>
      <w:pPr>
        <w:spacing w:after="16" w:line="259" w:lineRule="auto"/>
        <w:numPr>
          <w:ilvl w:val="0"/>
          <w:numId w:val="90"/>
        </w:numPr>
      </w:pPr>
      <w:r>
        <w:rPr>
          <w:rFonts w:ascii="Calibri" w:hAnsi="Calibri" w:eastAsia="Microsoft YaHei"/>
          <w:b w:val="0"/>
          <w:i w:val="0"/>
          <w:color w:val="203040"/>
          <w:sz w:val="19"/>
        </w:rPr>
        <w:t>视频结尾强调律师和会计师团队。律师负责交易文件、监管路径和控制权法律判断；会计师核对财务信息、历史沿革与合并口径；税务及其他顾问处理适用专项问题。</w:t>
      </w:r>
    </w:p>
    <w:p>
      <w:pPr>
        <w:spacing w:after="16" w:line="259" w:lineRule="auto"/>
        <w:numPr>
          <w:ilvl w:val="0"/>
          <w:numId w:val="90"/>
        </w:numPr>
      </w:pPr>
      <w:r>
        <w:rPr>
          <w:rFonts w:ascii="Calibri" w:hAnsi="Calibri" w:eastAsia="Microsoft YaHei"/>
          <w:b w:val="0"/>
          <w:i w:val="0"/>
          <w:color w:val="203040"/>
          <w:sz w:val="19"/>
        </w:rPr>
        <w:t>财务负责人负责把这些意见汇总成一份可执行的时间表和问题台账，而非由单一顾问各自交付孤立报告。</w:t>
      </w:r>
    </w:p>
    <w:p>
      <w:pPr>
        <w:pStyle w:val="Heading1"/>
        <w:keepNext/>
      </w:pPr>
      <w:r>
        <w:rPr>
          <w:rFonts w:ascii="Calibri" w:hAnsi="Calibri" w:eastAsia="Microsoft YaHei"/>
          <w:b/>
          <w:i w:val="0"/>
          <w:color w:val="2E74B5"/>
          <w:sz w:val="32"/>
        </w:rPr>
        <w:t>六、监管与治理边界</w:t>
      </w:r>
    </w:p>
    <w:p>
      <w:pPr>
        <w:pStyle w:val="Heading2"/>
        <w:keepNext/>
      </w:pPr>
      <w:r>
        <w:rPr>
          <w:rFonts w:ascii="Calibri" w:hAnsi="Calibri" w:eastAsia="Microsoft YaHei"/>
          <w:b/>
          <w:i w:val="0"/>
          <w:color w:val="2E74B5"/>
          <w:sz w:val="26"/>
        </w:rPr>
        <w:t>1. 境外上市备案</w:t>
      </w:r>
    </w:p>
    <w:p>
      <w:pPr>
        <w:spacing w:after="16" w:line="259" w:lineRule="auto"/>
        <w:numPr>
          <w:ilvl w:val="0"/>
          <w:numId w:val="90"/>
        </w:numPr>
      </w:pPr>
      <w:r>
        <w:rPr>
          <w:rFonts w:ascii="Calibri" w:hAnsi="Calibri" w:eastAsia="Microsoft YaHei"/>
          <w:b w:val="0"/>
          <w:i w:val="0"/>
          <w:color w:val="203040"/>
          <w:sz w:val="19"/>
        </w:rPr>
        <w:t>中国证监会试行办法对境内企业直接和间接境外发行上市实行备案管理。红筹架构涉及境内主要经营活动时，应先判断备案义务与适用的其他监管要求。</w:t>
      </w:r>
    </w:p>
    <w:p>
      <w:pPr>
        <w:spacing w:after="16" w:line="259" w:lineRule="auto"/>
        <w:numPr>
          <w:ilvl w:val="0"/>
          <w:numId w:val="90"/>
        </w:numPr>
      </w:pPr>
      <w:r>
        <w:rPr>
          <w:rFonts w:ascii="Calibri" w:hAnsi="Calibri" w:eastAsia="Microsoft YaHei"/>
          <w:b w:val="0"/>
          <w:i w:val="0"/>
          <w:color w:val="203040"/>
          <w:sz w:val="19"/>
        </w:rPr>
        <w:t>架构层数、境外注册地或一致行动安排均不能代替监管判断，也不构成上市获批保证。</w:t>
      </w:r>
    </w:p>
    <w:p>
      <w:pPr>
        <w:pStyle w:val="Heading2"/>
        <w:keepNext/>
      </w:pPr>
      <w:r>
        <w:rPr>
          <w:rFonts w:ascii="Calibri" w:hAnsi="Calibri" w:eastAsia="Microsoft YaHei"/>
          <w:b/>
          <w:i w:val="0"/>
          <w:color w:val="2E74B5"/>
          <w:sz w:val="26"/>
        </w:rPr>
        <w:t>2. 一致行动不等于永远稳固</w:t>
      </w:r>
    </w:p>
    <w:p>
      <w:pPr>
        <w:spacing w:after="16" w:line="259" w:lineRule="auto"/>
        <w:numPr>
          <w:ilvl w:val="0"/>
          <w:numId w:val="90"/>
        </w:numPr>
      </w:pPr>
      <w:r>
        <w:rPr>
          <w:rFonts w:ascii="Calibri" w:hAnsi="Calibri" w:eastAsia="Microsoft YaHei"/>
          <w:b w:val="0"/>
          <w:i w:val="0"/>
          <w:color w:val="203040"/>
          <w:sz w:val="19"/>
        </w:rPr>
        <w:t>协议可能因期限届满、主体退出、争议、融资条款变化或治理结构变化而失效。应设置监测和触发复核机制。</w:t>
      </w:r>
    </w:p>
    <w:p>
      <w:pPr>
        <w:spacing w:after="16" w:line="259" w:lineRule="auto"/>
        <w:numPr>
          <w:ilvl w:val="0"/>
          <w:numId w:val="90"/>
        </w:numPr>
      </w:pPr>
      <w:r>
        <w:rPr>
          <w:rFonts w:ascii="Calibri" w:hAnsi="Calibri" w:eastAsia="Microsoft YaHei"/>
          <w:b w:val="0"/>
          <w:i w:val="0"/>
          <w:color w:val="203040"/>
          <w:sz w:val="19"/>
        </w:rPr>
        <w:t>如果控制权依赖少数股东协议，要在融资文件与披露中准确说明，不能仅用创始人头衔概括。</w:t>
      </w:r>
    </w:p>
    <w:p>
      <w:pPr>
        <w:pStyle w:val="Heading1"/>
        <w:keepNext/>
      </w:pPr>
      <w:r>
        <w:rPr>
          <w:rFonts w:ascii="Calibri" w:hAnsi="Calibri" w:eastAsia="Microsoft YaHei"/>
          <w:b/>
          <w:i w:val="0"/>
          <w:color w:val="2E74B5"/>
          <w:sz w:val="32"/>
        </w:rPr>
        <w:t>七、拿到类似项目时的四步工作法</w:t>
      </w:r>
    </w:p>
    <w:p>
      <w:pPr>
        <w:pStyle w:val="Heading2"/>
        <w:keepNext/>
      </w:pPr>
      <w:r>
        <w:rPr>
          <w:rFonts w:ascii="Calibri" w:hAnsi="Calibri" w:eastAsia="Microsoft YaHei"/>
          <w:b/>
          <w:i w:val="0"/>
          <w:color w:val="2E74B5"/>
          <w:sz w:val="26"/>
        </w:rPr>
        <w:t>1. 还原事实</w:t>
      </w:r>
    </w:p>
    <w:p>
      <w:pPr>
        <w:spacing w:after="16" w:line="259" w:lineRule="auto"/>
        <w:numPr>
          <w:ilvl w:val="0"/>
          <w:numId w:val="90"/>
        </w:numPr>
      </w:pPr>
      <w:r>
        <w:rPr>
          <w:rFonts w:ascii="Calibri" w:hAnsi="Calibri" w:eastAsia="Microsoft YaHei"/>
          <w:b w:val="0"/>
          <w:i w:val="0"/>
          <w:color w:val="203040"/>
          <w:sz w:val="19"/>
        </w:rPr>
        <w:t>按日期整理主体设立、增资、转让、协议、董事变化和实际控制链，区分已签署文件、已完成登记与仅有意向。</w:t>
      </w:r>
    </w:p>
    <w:p>
      <w:pPr>
        <w:pStyle w:val="Heading2"/>
        <w:keepNext/>
      </w:pPr>
      <w:r>
        <w:rPr>
          <w:rFonts w:ascii="Calibri" w:hAnsi="Calibri" w:eastAsia="Microsoft YaHei"/>
          <w:b/>
          <w:i w:val="0"/>
          <w:color w:val="2E74B5"/>
          <w:sz w:val="26"/>
        </w:rPr>
        <w:t>2. 穿透控制</w:t>
      </w:r>
    </w:p>
    <w:p>
      <w:pPr>
        <w:spacing w:after="16" w:line="259" w:lineRule="auto"/>
        <w:numPr>
          <w:ilvl w:val="0"/>
          <w:numId w:val="90"/>
        </w:numPr>
      </w:pPr>
      <w:r>
        <w:rPr>
          <w:rFonts w:ascii="Calibri" w:hAnsi="Calibri" w:eastAsia="Microsoft YaHei"/>
          <w:b w:val="0"/>
          <w:i w:val="0"/>
          <w:color w:val="203040"/>
          <w:sz w:val="19"/>
        </w:rPr>
        <w:t>用股权、表决权、董事会和保留事项四张视图，分别测算不同融资情景下谁能够决定相关活动。</w:t>
      </w:r>
    </w:p>
    <w:p>
      <w:pPr>
        <w:pStyle w:val="Heading2"/>
        <w:keepNext/>
      </w:pPr>
      <w:r>
        <w:rPr>
          <w:rFonts w:ascii="Calibri" w:hAnsi="Calibri" w:eastAsia="Microsoft YaHei"/>
          <w:b/>
          <w:i w:val="0"/>
          <w:color w:val="2E74B5"/>
          <w:sz w:val="26"/>
        </w:rPr>
        <w:t>3. 核对财务与合规</w:t>
      </w:r>
    </w:p>
    <w:p>
      <w:pPr>
        <w:spacing w:after="16" w:line="259" w:lineRule="auto"/>
        <w:numPr>
          <w:ilvl w:val="0"/>
          <w:numId w:val="90"/>
        </w:numPr>
      </w:pPr>
      <w:r>
        <w:rPr>
          <w:rFonts w:ascii="Calibri" w:hAnsi="Calibri" w:eastAsia="Microsoft YaHei"/>
          <w:b w:val="0"/>
          <w:i w:val="0"/>
          <w:color w:val="203040"/>
          <w:sz w:val="19"/>
        </w:rPr>
        <w:t>把业务、资金、税务、报表、外汇与备案要求放到同一问题台账，列明负责人和完成证据。</w:t>
      </w:r>
    </w:p>
    <w:p>
      <w:pPr>
        <w:pStyle w:val="Heading2"/>
        <w:keepNext/>
      </w:pPr>
      <w:r>
        <w:rPr>
          <w:rFonts w:ascii="Calibri" w:hAnsi="Calibri" w:eastAsia="Microsoft YaHei"/>
          <w:b/>
          <w:i w:val="0"/>
          <w:color w:val="2E74B5"/>
          <w:sz w:val="26"/>
        </w:rPr>
        <w:t>4. 形成可供决策的方案</w:t>
      </w:r>
    </w:p>
    <w:p>
      <w:pPr>
        <w:spacing w:after="16" w:line="259" w:lineRule="auto"/>
        <w:numPr>
          <w:ilvl w:val="0"/>
          <w:numId w:val="90"/>
        </w:numPr>
      </w:pPr>
      <w:r>
        <w:rPr>
          <w:rFonts w:ascii="Calibri" w:hAnsi="Calibri" w:eastAsia="Microsoft YaHei"/>
          <w:b w:val="0"/>
          <w:i w:val="0"/>
          <w:color w:val="203040"/>
          <w:sz w:val="19"/>
        </w:rPr>
        <w:t>向老板说明控制权、融资规模、稀释、治理约束和实施成本的取舍，取得专业意见后再确定架构。</w:t>
      </w:r>
    </w:p>
    <w:sectPr w:rsidR="00FC693F" w:rsidRPr="0006063C" w:rsidSect="00034616">
      <w:headerReference w:type="default" r:id="rId9"/>
      <w:footerReference w:type="default" r:id="rId10"/>
      <w:pgSz w:w="12240" w:h="15840"/>
      <w:pgMar w:top="1037"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4748B"/>
        <w:sz w:val="18"/>
      </w:rPr>
      <w:t xml:space="preserve">第 </w:t>
    </w:r>
    <w:r>
      <w:rPr>
        <w:rFonts w:ascii="Calibri" w:hAnsi="Calibri" w:eastAsia="Microsoft YaHei"/>
        <w:b w:val="0"/>
        <w:i w:val="0"/>
        <w:color w:val="64748B"/>
        <w:sz w:val="18"/>
      </w:rPr>
      <w:fldChar w:fldCharType="begin"/>
      <w:instrText xml:space="preserve">PAGE</w:instrText>
      <w:fldChar w:fldCharType="end"/>
    </w:r>
    <w:r>
      <w:rPr>
        <w:rFonts w:ascii="Calibri" w:hAnsi="Calibri" w:eastAsia="Microsoft YaHei"/>
        <w:b w:val="0"/>
        <w:i w:val="0"/>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i w:val="0"/>
        <w:color w:val="64748B"/>
        <w:sz w:val="18"/>
      </w:rPr>
      <w:t>齐昊老师 · 学员实战案例 第 51 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abstractNum w:abstractNumId="91">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eastAsia="Microsoft YaHei"/>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Calibri" w:hAnsi="Calibri" w:eastAsia="Microsoft YaHei"/>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齐昊老师学员实战案例第51集：股权稀释后的控制权与红筹架构</dc:title>
  <dc:subject>财务管理与财务总监实战案例整理</dc:subject>
  <dc:creator>Codex</dc:creator>
  <cp:keywords>财务管理, 财务经理, 财务总监, 业财融合, 实战案例</cp:keywords>
  <dc:description>generated by python-docx</dc:description>
  <cp:lastModifiedBy/>
  <cp:revision>1</cp:revision>
  <dcterms:created xsi:type="dcterms:W3CDTF">2013-12-23T23:15:00Z</dcterms:created>
  <dcterms:modified xsi:type="dcterms:W3CDTF">2013-12-23T23:15:00Z</dcterms:modified>
  <cp:category/>
</cp:coreProperties>
</file>