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9 集｜生产制造企业成本核算的核心逻辑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从料工费归集、BOM分摊到标准成本与成本动因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2024-09-12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05:04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7413563369455619337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制造业成本核算的目标不是追求绝对精准，而是在业务事实基础上做到尽量合理：先把材料、人工和制造费用正确归集，再依据产品消耗和成本动因分配到产成品、半成品与在制品。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两大阶段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料工费归集到生产成本 → 分配至产成品、半成品和在制品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材料逻辑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入库与领料 → 计价方法 → BOM物料清单 → 产品耗用分配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人工逻辑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直接人工与间接人工区分 → 计件或工时 → 匹配生产模式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制造费用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固定与变动区分 → 产量法或成本动因 → 标准分配率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一、成本核算影响的不只是会计报表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成本准确性会影响定价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以产品为核心的制造企业，成本数据直接影响报价、毛利、产品取舍和产销决策。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如果只会背会计分录，却不理解消耗、工艺和产能，核算结果很难支持经营。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不追求绝对精准，追求尽量合理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大量共同成本需要分配，任何方法都包含假设，因此成本核算难以达到绝对精准。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关键是选择与资源消耗关系最接近、可持续执行并能解释差异的方法。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二、成本核算的两大阶段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第一阶段：归集料工费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将直接材料、直接人工和制造费用归集到生产成本。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生产成本是中间归集科目，用于承接生产过程发生的各类成本。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第二阶段：分配到产品状态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根据产品完工程度和消耗情况，将生产成本分配到产成品、半成品和在制品。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分配结果决定存货价值与当期销售成本，因此完工数量和期末盘点同样重要。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三、直接材料：单据、计价和BOM缺一不可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数量来自入库与领料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采购入库单记录材料进入仓库，领料单记录材料进入生产环节。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没有真实、及时的出入库单据，后续计价和产品分配就失去基础。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材料计价方法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视频认为中小企业常用移动加权平均法或加权平均法，大型企业更常采用标准成本法。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有保质期的原材料应重视先进先出，避免账面成本与实物流转顺序脱节。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具体计价方法应与会计政策一致并保持一贯性，不宜为调节利润随意变更。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用BOM把材料分配到产品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BOM即物料清单，记录一个产品标准需要消耗哪些材料及其数量。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BOM必须与领料、退料、替代料和实际产量对应，才能分析标准耗用与实际耗用差异。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四、生产成本与销售费用的边界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判断标准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能与产品一一对应、在车间生产过程中形成产品组成部分的支出，通常进入生产成本。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产品离开生产环节后，为销售、展示或交付发生的支出，通常更接近销售费用或履约费用。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视频案例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婴儿辅食泥装入的玻璃瓶属于产品组成部分，计入生产成本。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成品进入直营店后提供给顾客的外带包装纸袋，视频将其作为销售费用处理。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实务仍需结合控制权转移、履约义务、材料用途和企业会计政策判断。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五、直接人工：先区分谁与产品直接相关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直接人工与间接人工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流水线或直接参与产品加工的工人工资属于直接人工。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工厂管理人员等不能直接对应某一产品的人工，通常通过制造费用归集后再分配。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视频还将工厂行政、财务岗位列入制造费用；实务应根据其是否直接服务生产、组织设置及会计政策审慎判断。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计件与工时的选择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劳动密集、非标加工较多时，计件工资能强化多劳多得并降低无效工时。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自动化程度高、机器主导生产时，工时或机器工时更能反映资源消耗。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工资制度服务于管理，而成本分配方法还应确保产品之间公平、可验证。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六、制造费用：按成本动因合理分配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制造费用的构成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视频列举工厂管理人员工资、厂房租金、机器折旧、生产水电、排污及仓储等与车间相关费用。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制造费用可进一步区分固定制造费用与变动制造费用。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常见产量法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中小企业常按产品产量分配，方法简单，但产量高的产品可能承担更多共同成本。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若不同产品工艺、机时或材料消耗差异很大，仅按产量可能失真。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作业成本法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作业成本法按成本动因分配，可采用生产工人工时、机器工时、直接材料成本等驱动因素。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该方法对数据基础和信息化水平要求较高，不一定适合所有中小企业。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七、标准成本的三个核心模块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材料标准成本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由标准用量和标准价格两个维度构成；差异可进一步拆成用量差异和价格差异。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人工标准成本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由标准工时和标准工资率构成，其中标准工时是否合理尤其重要。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财务对标准工时有疑问时，应到现场观察并抽样计时，而不是只在办公室争论。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制造费用标准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重点关注分配率及固定制造费用的标准分担，分析产能利用、效率和预算差异。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八、财务经理的落地检查清单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业务基础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工艺流程、产品结构、BOM版本、领退料、完工入库、在制品和期末盘点是否完整。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方法适配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材料计价、人工分配和制造费用分配是否与企业规模、生产方式和成本动因匹配。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差异闭环</w:t>
      </w:r>
    </w:p>
    <w:p>
      <w:pPr>
        <w:spacing w:after="80" w:line="300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2"/>
        </w:rPr>
        <w:t>标准与实际差异必须落实到价格、用量、效率、产能和责任部门，并推动后续改进。</w:t>
      </w:r>
    </w:p>
    <w:p>
      <w:pPr>
        <w:keepNext/>
        <w:spacing w:before="120" w:after="120"/>
      </w:pPr>
      <w:r>
        <w:rPr>
          <w:rFonts w:ascii="Calibri" w:hAnsi="Calibri" w:eastAsia="Microsoft YaHei"/>
          <w:b/>
          <w:i w:val="0"/>
          <w:color w:val="2E74B5"/>
          <w:sz w:val="32"/>
        </w:rPr>
        <w:t>来源与准确性说明</w:t>
      </w:r>
    </w:p>
    <w:p>
      <w:pPr>
        <w:spacing w:after="60" w:line="264" w:lineRule="auto"/>
      </w:pPr>
      <w:r>
        <w:rPr>
          <w:rFonts w:ascii="Calibri" w:hAnsi="Calibri" w:eastAsia="Microsoft YaHei"/>
          <w:b/>
          <w:i w:val="0"/>
          <w:color w:val="1F4D78"/>
          <w:sz w:val="22"/>
        </w:rPr>
        <w:t>视频来源：</w:t>
      </w:r>
      <w:r>
        <w:rPr>
          <w:rFonts w:ascii="Calibri" w:hAnsi="Calibri" w:eastAsia="Microsoft YaHei"/>
          <w:b w:val="0"/>
          <w:i w:val="0"/>
          <w:color w:val="203040"/>
          <w:sz w:val="22"/>
        </w:rPr>
        <w:t>抖音账号“齐昊老师”，学员实战案例第 9 集；视频编号 7413563369455619337。</w:t>
      </w:r>
    </w:p>
    <w:p>
      <w:pPr>
        <w:spacing w:after="40"/>
      </w:pPr>
      <w:r>
        <w:rPr>
          <w:rFonts w:ascii="Calibri" w:hAnsi="Calibri" w:eastAsia="Microsoft YaHei"/>
          <w:b/>
          <w:i w:val="0"/>
          <w:color w:val="64748B"/>
          <w:sz w:val="20"/>
        </w:rPr>
        <w:t>原链接：</w:t>
      </w:r>
      <w:r>
        <w:rPr>
          <w:rFonts w:ascii="Calibri" w:hAnsi="Calibri" w:eastAsia="Microsoft YaHei"/>
          <w:b w:val="0"/>
          <w:i w:val="0"/>
          <w:color w:val="64748B"/>
          <w:sz w:val="18"/>
        </w:rPr>
        <w:t>https://www.douyin.com/user/self?from_tab_name=main&amp;modal_id=7413563369455619337&amp;showSubTab=favorite_folder&amp;showTab=favorite_collection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9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齐昊老师学员实战案例第9集：生产制造企业成本核算的核心逻辑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